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64F87" w14:textId="2329051B" w:rsidR="009604BF" w:rsidRDefault="00D82A32">
      <w:r>
        <w:rPr>
          <w:noProof/>
        </w:rPr>
        <w:drawing>
          <wp:inline distT="0" distB="0" distL="0" distR="0" wp14:anchorId="20FF0BA5" wp14:editId="71BE0DEC">
            <wp:extent cx="4981575" cy="4715510"/>
            <wp:effectExtent l="0" t="0" r="952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471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3C136" w14:textId="77777777" w:rsidR="002C0546" w:rsidRDefault="002C0546" w:rsidP="002C0546">
      <w:pPr>
        <w:spacing w:line="360" w:lineRule="auto"/>
        <w:rPr>
          <w:rFonts w:ascii="Times New Roman" w:hAnsi="Times New Roman"/>
        </w:rPr>
      </w:pPr>
      <w:r w:rsidRPr="00C1442F">
        <w:rPr>
          <w:rFonts w:ascii="Times New Roman" w:hAnsi="Times New Roman"/>
        </w:rPr>
        <w:t>Supplementary Figure 1. (A</w:t>
      </w:r>
      <w:r>
        <w:rPr>
          <w:rFonts w:ascii="Times New Roman" w:hAnsi="Times New Roman"/>
        </w:rPr>
        <w:t>, B</w:t>
      </w:r>
      <w:r w:rsidRPr="00C1442F">
        <w:rPr>
          <w:rFonts w:ascii="Times New Roman" w:hAnsi="Times New Roman"/>
        </w:rPr>
        <w:t>) Downregulation of SRC-1 decreased the migration of HepG2 cells. Result from a representative cell migration assay and the calculated number from triplicates were shown.</w:t>
      </w:r>
    </w:p>
    <w:p w14:paraId="183A3D38" w14:textId="0D4B3B47" w:rsidR="009604BF" w:rsidRPr="002C0546" w:rsidRDefault="009604BF"/>
    <w:p w14:paraId="1A2DD389" w14:textId="6B18DFD8" w:rsidR="009604BF" w:rsidRDefault="009604BF"/>
    <w:p w14:paraId="345060B3" w14:textId="0A9A76FE" w:rsidR="009604BF" w:rsidRDefault="009604BF"/>
    <w:p w14:paraId="62D39815" w14:textId="6A7E451A" w:rsidR="009604BF" w:rsidRDefault="009604BF"/>
    <w:p w14:paraId="092DF0BB" w14:textId="4278FA32" w:rsidR="009604BF" w:rsidRDefault="009604BF"/>
    <w:p w14:paraId="362315D9" w14:textId="7B09FCD2" w:rsidR="009604BF" w:rsidRDefault="009604BF"/>
    <w:p w14:paraId="49350012" w14:textId="2A25F9A7" w:rsidR="009604BF" w:rsidRDefault="009604BF"/>
    <w:p w14:paraId="0DE74AF2" w14:textId="7D32E021" w:rsidR="009604BF" w:rsidRDefault="009604BF"/>
    <w:p w14:paraId="23CD575D" w14:textId="179D4A8D" w:rsidR="009604BF" w:rsidRDefault="009604BF"/>
    <w:p w14:paraId="0841CCCE" w14:textId="5F5ABC8C" w:rsidR="009604BF" w:rsidRDefault="009604BF"/>
    <w:p w14:paraId="37002C2A" w14:textId="1CAB10EA" w:rsidR="009604BF" w:rsidRDefault="009604BF"/>
    <w:p w14:paraId="69B4A9B0" w14:textId="52DEA61E" w:rsidR="009604BF" w:rsidRDefault="009604BF"/>
    <w:p w14:paraId="4297BD4B" w14:textId="5245AB67" w:rsidR="009604BF" w:rsidRDefault="009604BF"/>
    <w:p w14:paraId="55CD815B" w14:textId="47E87253" w:rsidR="009604BF" w:rsidRDefault="009604BF"/>
    <w:p w14:paraId="3B76B411" w14:textId="53E6C8D1" w:rsidR="009604BF" w:rsidRDefault="009604BF"/>
    <w:p w14:paraId="57B2CF31" w14:textId="01C37FC5" w:rsidR="009604BF" w:rsidRDefault="009604BF"/>
    <w:p w14:paraId="65A55BD6" w14:textId="0425BC7D" w:rsidR="009604BF" w:rsidRDefault="009604BF">
      <w:r>
        <w:rPr>
          <w:noProof/>
        </w:rPr>
        <w:lastRenderedPageBreak/>
        <w:drawing>
          <wp:inline distT="0" distB="0" distL="0" distR="0" wp14:anchorId="71B25B8B" wp14:editId="280B468A">
            <wp:extent cx="5274310" cy="3712845"/>
            <wp:effectExtent l="0" t="0" r="2540" b="190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41A23" w14:textId="77777777" w:rsidR="002C0546" w:rsidRPr="00C1442F" w:rsidRDefault="002C0546" w:rsidP="002C0546">
      <w:pPr>
        <w:spacing w:line="360" w:lineRule="auto"/>
        <w:rPr>
          <w:rFonts w:ascii="Times New Roman" w:hAnsi="Times New Roman"/>
        </w:rPr>
      </w:pPr>
      <w:r w:rsidRPr="00C1442F">
        <w:rPr>
          <w:rFonts w:ascii="Times New Roman" w:hAnsi="Times New Roman"/>
        </w:rPr>
        <w:t>Supplementary Figure 2</w:t>
      </w:r>
      <w:r>
        <w:rPr>
          <w:rFonts w:ascii="Times New Roman" w:hAnsi="Times New Roman"/>
        </w:rPr>
        <w:t>.</w:t>
      </w:r>
      <w:r w:rsidRPr="00C1442F">
        <w:rPr>
          <w:rFonts w:ascii="Times New Roman" w:hAnsi="Times New Roman"/>
        </w:rPr>
        <w:t xml:space="preserve"> (</w:t>
      </w:r>
      <w:r>
        <w:rPr>
          <w:rFonts w:ascii="Times New Roman" w:hAnsi="Times New Roman"/>
        </w:rPr>
        <w:t>A-</w:t>
      </w:r>
      <w:r w:rsidRPr="00C1442F">
        <w:rPr>
          <w:rFonts w:ascii="Times New Roman" w:hAnsi="Times New Roman"/>
        </w:rPr>
        <w:t xml:space="preserve">B) MMP-9 mRNA and enzymatic activity in SRC-1 knockdown transfected with MMP-9 HepG2 cells was confirmed by Q-RT-PCR and </w:t>
      </w:r>
      <w:r>
        <w:rPr>
          <w:rFonts w:ascii="Times New Roman" w:hAnsi="Times New Roman" w:hint="eastAsia"/>
        </w:rPr>
        <w:t>z</w:t>
      </w:r>
      <w:r w:rsidRPr="00270DFD">
        <w:rPr>
          <w:rFonts w:ascii="Times New Roman" w:hAnsi="Times New Roman"/>
        </w:rPr>
        <w:t>ymography</w:t>
      </w:r>
      <w:r w:rsidRPr="00C1442F">
        <w:rPr>
          <w:rFonts w:ascii="Times New Roman" w:hAnsi="Times New Roman"/>
        </w:rPr>
        <w:t xml:space="preserve"> analysis. (</w:t>
      </w:r>
      <w:r>
        <w:rPr>
          <w:rFonts w:ascii="Times New Roman" w:hAnsi="Times New Roman"/>
        </w:rPr>
        <w:t>C</w:t>
      </w:r>
      <w:r w:rsidRPr="00C1442F">
        <w:rPr>
          <w:rFonts w:ascii="Times New Roman" w:hAnsi="Times New Roman"/>
        </w:rPr>
        <w:t>) SRC-1 knockdown HepG2 cells transfected with MMP-9</w:t>
      </w:r>
      <w:r>
        <w:rPr>
          <w:rFonts w:ascii="Times New Roman" w:hAnsi="Times New Roman"/>
        </w:rPr>
        <w:t xml:space="preserve"> </w:t>
      </w:r>
      <w:r w:rsidRPr="00C1442F">
        <w:rPr>
          <w:rFonts w:ascii="Times New Roman" w:hAnsi="Times New Roman"/>
        </w:rPr>
        <w:t>showed increased migration ability. Result from a representative cell migration assay and the calculated number from triplicates were shown.</w:t>
      </w:r>
    </w:p>
    <w:p w14:paraId="70EC0EAC" w14:textId="2AFBD618" w:rsidR="009604BF" w:rsidRPr="002C0546" w:rsidRDefault="009604BF"/>
    <w:p w14:paraId="1A512911" w14:textId="77777777" w:rsidR="009604BF" w:rsidRDefault="009604BF"/>
    <w:p w14:paraId="5A8DB241" w14:textId="539DDF58" w:rsidR="009604BF" w:rsidRDefault="009604BF"/>
    <w:p w14:paraId="6A8E0A2F" w14:textId="66299765" w:rsidR="009604BF" w:rsidRDefault="009604BF"/>
    <w:p w14:paraId="64A1F43A" w14:textId="34233C8C" w:rsidR="009604BF" w:rsidRDefault="009604BF"/>
    <w:p w14:paraId="46D69AC7" w14:textId="31FCAEEB" w:rsidR="009604BF" w:rsidRDefault="009604BF"/>
    <w:p w14:paraId="45CF330E" w14:textId="38E67714" w:rsidR="009604BF" w:rsidRDefault="009604BF"/>
    <w:p w14:paraId="7C730FAE" w14:textId="652D891C" w:rsidR="009604BF" w:rsidRDefault="009604BF"/>
    <w:p w14:paraId="1EF1DD9A" w14:textId="3FCF1C09" w:rsidR="009604BF" w:rsidRDefault="009604BF"/>
    <w:p w14:paraId="07735CDD" w14:textId="6FBE4AB9" w:rsidR="009604BF" w:rsidRDefault="009604BF"/>
    <w:p w14:paraId="72457D23" w14:textId="6EDE9123" w:rsidR="009604BF" w:rsidRDefault="009604BF"/>
    <w:p w14:paraId="6B72DB6E" w14:textId="30590492" w:rsidR="009604BF" w:rsidRDefault="009604BF"/>
    <w:p w14:paraId="62112762" w14:textId="4720CC58" w:rsidR="009604BF" w:rsidRDefault="009604BF"/>
    <w:p w14:paraId="504C1B78" w14:textId="12C699B9" w:rsidR="009604BF" w:rsidRDefault="009604BF"/>
    <w:p w14:paraId="6803FA7D" w14:textId="7BAD74A8" w:rsidR="009604BF" w:rsidRDefault="009604BF"/>
    <w:p w14:paraId="48615CC6" w14:textId="5A30E8A0" w:rsidR="009604BF" w:rsidRDefault="009604BF"/>
    <w:p w14:paraId="21593405" w14:textId="762D5AE3" w:rsidR="009604BF" w:rsidRDefault="009604BF"/>
    <w:p w14:paraId="4504A3B6" w14:textId="5E0950A9" w:rsidR="009604BF" w:rsidRDefault="009604BF"/>
    <w:p w14:paraId="2668518A" w14:textId="0B0CF56D" w:rsidR="009604BF" w:rsidRDefault="009604BF"/>
    <w:p w14:paraId="503F0D11" w14:textId="4A173288" w:rsidR="009604BF" w:rsidRDefault="009604BF">
      <w:r>
        <w:rPr>
          <w:noProof/>
        </w:rPr>
        <w:drawing>
          <wp:inline distT="0" distB="0" distL="0" distR="0" wp14:anchorId="00C42726" wp14:editId="2CE2AF0E">
            <wp:extent cx="5274310" cy="6722110"/>
            <wp:effectExtent l="0" t="0" r="2540" b="254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2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BD766" w14:textId="77777777" w:rsidR="002C0546" w:rsidRPr="00C1442F" w:rsidRDefault="002C0546" w:rsidP="002C0546">
      <w:pPr>
        <w:spacing w:line="360" w:lineRule="auto"/>
        <w:rPr>
          <w:rFonts w:ascii="Times New Roman" w:hAnsi="Times New Roman"/>
        </w:rPr>
      </w:pPr>
      <w:bookmarkStart w:id="0" w:name="OLE_LINK22"/>
      <w:bookmarkStart w:id="1" w:name="OLE_LINK21"/>
      <w:r w:rsidRPr="00C1442F">
        <w:rPr>
          <w:rFonts w:ascii="Times New Roman" w:hAnsi="Times New Roman"/>
        </w:rPr>
        <w:t xml:space="preserve">Supplementary Figure </w:t>
      </w:r>
      <w:r>
        <w:rPr>
          <w:rFonts w:ascii="Times New Roman" w:hAnsi="Times New Roman"/>
        </w:rPr>
        <w:t>3</w:t>
      </w:r>
      <w:r w:rsidRPr="00C1442F">
        <w:rPr>
          <w:rFonts w:ascii="Times New Roman" w:hAnsi="Times New Roman"/>
        </w:rPr>
        <w:t>. (A)</w:t>
      </w:r>
      <w:r>
        <w:rPr>
          <w:rFonts w:ascii="Times New Roman" w:hAnsi="Times New Roman"/>
        </w:rPr>
        <w:t xml:space="preserve"> </w:t>
      </w:r>
      <w:r w:rsidRPr="00C1442F">
        <w:rPr>
          <w:rFonts w:ascii="Times New Roman" w:hAnsi="Times New Roman"/>
        </w:rPr>
        <w:t xml:space="preserve">SRC-1 </w:t>
      </w:r>
      <w:bookmarkStart w:id="2" w:name="_Hlk114153308"/>
      <w:r w:rsidRPr="00C1442F">
        <w:rPr>
          <w:rFonts w:ascii="Times New Roman" w:hAnsi="Times New Roman"/>
        </w:rPr>
        <w:t>cooperated with</w:t>
      </w:r>
      <w:bookmarkEnd w:id="2"/>
      <w:r w:rsidRPr="00C1442F">
        <w:rPr>
          <w:rFonts w:ascii="Times New Roman" w:hAnsi="Times New Roman"/>
        </w:rPr>
        <w:t xml:space="preserve"> PEA3 to enhance the promoter activities of MMP-9 in 293T cells.</w:t>
      </w:r>
      <w:bookmarkEnd w:id="0"/>
      <w:bookmarkEnd w:id="1"/>
      <w:r w:rsidRPr="00C1442F">
        <w:rPr>
          <w:rFonts w:ascii="Times New Roman" w:hAnsi="Times New Roman"/>
        </w:rPr>
        <w:t xml:space="preserve"> (B)</w:t>
      </w:r>
      <w:r>
        <w:rPr>
          <w:rFonts w:ascii="Times New Roman" w:hAnsi="Times New Roman"/>
        </w:rPr>
        <w:t xml:space="preserve"> </w:t>
      </w:r>
      <w:r w:rsidRPr="00C1442F">
        <w:rPr>
          <w:rFonts w:ascii="Times New Roman" w:hAnsi="Times New Roman"/>
        </w:rPr>
        <w:t>SRC-1 cooperated with Ets2 to enhance the promoter activities of MMP-9 in</w:t>
      </w:r>
      <w:r>
        <w:rPr>
          <w:rFonts w:ascii="Times New Roman" w:hAnsi="Times New Roman"/>
        </w:rPr>
        <w:t xml:space="preserve"> </w:t>
      </w:r>
      <w:r w:rsidRPr="00C1442F">
        <w:rPr>
          <w:rFonts w:ascii="Times New Roman" w:hAnsi="Times New Roman"/>
        </w:rPr>
        <w:t xml:space="preserve">293T cells. </w:t>
      </w:r>
      <w:bookmarkStart w:id="3" w:name="OLE_LINK27"/>
      <w:r w:rsidRPr="00C1442F">
        <w:rPr>
          <w:rFonts w:ascii="Times New Roman" w:hAnsi="Times New Roman"/>
        </w:rPr>
        <w:t>(C) SRC-1 cooperated with p65 to enhance the promoter activities of NF-</w:t>
      </w:r>
      <w:proofErr w:type="spellStart"/>
      <w:r w:rsidRPr="00C1442F">
        <w:rPr>
          <w:rFonts w:ascii="Times New Roman" w:hAnsi="Times New Roman"/>
        </w:rPr>
        <w:t>κB</w:t>
      </w:r>
      <w:proofErr w:type="spellEnd"/>
      <w:r w:rsidRPr="00C1442F">
        <w:rPr>
          <w:rFonts w:ascii="Times New Roman" w:hAnsi="Times New Roman"/>
        </w:rPr>
        <w:t xml:space="preserve"> in 293T cells.</w:t>
      </w:r>
      <w:bookmarkEnd w:id="3"/>
      <w:r w:rsidRPr="00C1442F">
        <w:rPr>
          <w:rFonts w:ascii="Times New Roman" w:hAnsi="Times New Roman"/>
        </w:rPr>
        <w:t xml:space="preserve"> (D) SRC-1 cooperated with c-Jun to enhance the promoter activities of AP-1 in 293T cells.</w:t>
      </w:r>
      <w:r>
        <w:rPr>
          <w:rFonts w:ascii="Times New Roman" w:hAnsi="Times New Roman"/>
        </w:rPr>
        <w:t xml:space="preserve"> </w:t>
      </w:r>
      <w:r w:rsidRPr="00C1442F">
        <w:rPr>
          <w:rFonts w:ascii="Times New Roman" w:hAnsi="Times New Roman"/>
        </w:rPr>
        <w:t xml:space="preserve">(E) </w:t>
      </w:r>
      <w:bookmarkStart w:id="4" w:name="_Hlk114153282"/>
      <w:r w:rsidRPr="00C1442F">
        <w:rPr>
          <w:rFonts w:ascii="Times New Roman" w:hAnsi="Times New Roman"/>
        </w:rPr>
        <w:t>PEA3,</w:t>
      </w:r>
      <w:r>
        <w:rPr>
          <w:rFonts w:ascii="Times New Roman" w:hAnsi="Times New Roman"/>
        </w:rPr>
        <w:t xml:space="preserve"> </w:t>
      </w:r>
      <w:r w:rsidRPr="00C1442F">
        <w:rPr>
          <w:rFonts w:ascii="Times New Roman" w:hAnsi="Times New Roman"/>
        </w:rPr>
        <w:t xml:space="preserve">Ets2, NF-kB and AP-1 </w:t>
      </w:r>
      <w:bookmarkEnd w:id="4"/>
      <w:r w:rsidRPr="00C1442F">
        <w:rPr>
          <w:rFonts w:ascii="Times New Roman" w:hAnsi="Times New Roman"/>
        </w:rPr>
        <w:t>binding motifs in the core promoter region of MMP-9.</w:t>
      </w:r>
    </w:p>
    <w:p w14:paraId="78BB9B71" w14:textId="50474047" w:rsidR="009604BF" w:rsidRPr="002C0546" w:rsidRDefault="009604BF"/>
    <w:p w14:paraId="5879B1F1" w14:textId="0F627B70" w:rsidR="009604BF" w:rsidRDefault="009604BF"/>
    <w:p w14:paraId="502638E0" w14:textId="6560C443" w:rsidR="009604BF" w:rsidRDefault="009604BF"/>
    <w:p w14:paraId="1A9D5CE5" w14:textId="6DB93169" w:rsidR="009604BF" w:rsidRDefault="009604BF">
      <w:r>
        <w:rPr>
          <w:noProof/>
        </w:rPr>
        <w:drawing>
          <wp:inline distT="0" distB="0" distL="0" distR="0" wp14:anchorId="029B04B7" wp14:editId="1F5EC73A">
            <wp:extent cx="5274310" cy="680593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0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F8DAB" w14:textId="77777777" w:rsidR="002C0546" w:rsidRPr="00C1442F" w:rsidRDefault="002C0546" w:rsidP="002C0546">
      <w:pPr>
        <w:spacing w:line="360" w:lineRule="auto"/>
        <w:rPr>
          <w:rFonts w:ascii="Times New Roman" w:hAnsi="Times New Roman"/>
        </w:rPr>
      </w:pPr>
      <w:bookmarkStart w:id="5" w:name="OLE_LINK25"/>
      <w:bookmarkStart w:id="6" w:name="OLE_LINK26"/>
      <w:r w:rsidRPr="00C1442F">
        <w:rPr>
          <w:rFonts w:ascii="Times New Roman" w:hAnsi="Times New Roman"/>
        </w:rPr>
        <w:t>Supplementary Figure 4.</w:t>
      </w:r>
      <w:bookmarkEnd w:id="5"/>
      <w:bookmarkEnd w:id="6"/>
      <w:r w:rsidRPr="00C1442F">
        <w:rPr>
          <w:rFonts w:ascii="Times New Roman" w:hAnsi="Times New Roman"/>
        </w:rPr>
        <w:t xml:space="preserve"> (A-B) SRC-1 and MMP-9 expression was increased </w:t>
      </w:r>
      <w:bookmarkStart w:id="7" w:name="_Hlk114153646"/>
      <w:r w:rsidRPr="00C1442F">
        <w:rPr>
          <w:rFonts w:ascii="Times New Roman" w:hAnsi="Times New Roman"/>
        </w:rPr>
        <w:t>in the circulating tumor cells</w:t>
      </w:r>
      <w:bookmarkEnd w:id="7"/>
      <w:r w:rsidRPr="00C1442F">
        <w:rPr>
          <w:rFonts w:ascii="Times New Roman" w:hAnsi="Times New Roman"/>
        </w:rPr>
        <w:t xml:space="preserve"> comparing with primary tumor. (C-D)</w:t>
      </w:r>
      <w:bookmarkStart w:id="8" w:name="_Hlk114153518"/>
      <w:r w:rsidRPr="00C1442F">
        <w:rPr>
          <w:rFonts w:ascii="Times New Roman" w:hAnsi="Times New Roman"/>
        </w:rPr>
        <w:t xml:space="preserve"> SRC-1 expression and MMP-9 expression were higher</w:t>
      </w:r>
      <w:bookmarkEnd w:id="8"/>
      <w:r w:rsidRPr="00C1442F">
        <w:rPr>
          <w:rFonts w:ascii="Times New Roman" w:hAnsi="Times New Roman"/>
        </w:rPr>
        <w:t xml:space="preserve"> in </w:t>
      </w:r>
      <w:bookmarkStart w:id="9" w:name="_Hlk114153657"/>
      <w:r w:rsidRPr="00C1442F">
        <w:rPr>
          <w:rFonts w:ascii="Times New Roman" w:hAnsi="Times New Roman"/>
        </w:rPr>
        <w:t>lung metastasis tumors</w:t>
      </w:r>
      <w:bookmarkEnd w:id="9"/>
      <w:r w:rsidRPr="00C1442F">
        <w:rPr>
          <w:rFonts w:ascii="Times New Roman" w:hAnsi="Times New Roman"/>
        </w:rPr>
        <w:t xml:space="preserve"> than that of primary HCC tumors in a cohort of HCC patients with lung metastasis or not. (E-F) SRC-1 expression and MMP-9 expression were higher in </w:t>
      </w:r>
      <w:bookmarkStart w:id="10" w:name="_Hlk114153672"/>
      <w:r w:rsidRPr="00C1442F">
        <w:rPr>
          <w:rFonts w:ascii="Times New Roman" w:hAnsi="Times New Roman"/>
          <w:sz w:val="22"/>
        </w:rPr>
        <w:t>adrenal gland</w:t>
      </w:r>
      <w:r w:rsidRPr="00C1442F">
        <w:rPr>
          <w:rFonts w:ascii="Times New Roman" w:hAnsi="Times New Roman"/>
        </w:rPr>
        <w:t xml:space="preserve"> metastasis tumors</w:t>
      </w:r>
      <w:bookmarkEnd w:id="10"/>
      <w:r w:rsidRPr="00C1442F">
        <w:rPr>
          <w:rFonts w:ascii="Times New Roman" w:hAnsi="Times New Roman"/>
        </w:rPr>
        <w:t xml:space="preserve"> than that of primary HCC tumors in a cohort of HCC patients with </w:t>
      </w:r>
      <w:r w:rsidRPr="00C1442F">
        <w:rPr>
          <w:rFonts w:ascii="Times New Roman" w:hAnsi="Times New Roman"/>
          <w:sz w:val="22"/>
        </w:rPr>
        <w:t>adrenal gland</w:t>
      </w:r>
      <w:r w:rsidRPr="00C1442F">
        <w:rPr>
          <w:rFonts w:ascii="Times New Roman" w:hAnsi="Times New Roman"/>
        </w:rPr>
        <w:t xml:space="preserve"> metastasis or not.</w:t>
      </w:r>
    </w:p>
    <w:p w14:paraId="4DEFD6D7" w14:textId="69A1D440" w:rsidR="009604BF" w:rsidRDefault="009604BF">
      <w:r>
        <w:rPr>
          <w:noProof/>
        </w:rPr>
        <w:drawing>
          <wp:inline distT="0" distB="0" distL="0" distR="0" wp14:anchorId="2C0F5B7A" wp14:editId="6B4F8973">
            <wp:extent cx="5274310" cy="3499485"/>
            <wp:effectExtent l="0" t="0" r="2540" b="571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F7A05" w14:textId="77777777" w:rsidR="002C0546" w:rsidRPr="00C1442F" w:rsidRDefault="002C0546" w:rsidP="002C0546">
      <w:pPr>
        <w:spacing w:line="360" w:lineRule="auto"/>
        <w:rPr>
          <w:rFonts w:ascii="Times New Roman" w:hAnsi="Times New Roman"/>
        </w:rPr>
      </w:pPr>
      <w:r w:rsidRPr="00C1442F">
        <w:rPr>
          <w:rFonts w:ascii="Times New Roman" w:hAnsi="Times New Roman"/>
        </w:rPr>
        <w:t>Supplementary Figure 5. (A)</w:t>
      </w:r>
      <w:bookmarkStart w:id="11" w:name="_Hlk114153773"/>
      <w:r w:rsidRPr="00C1442F">
        <w:rPr>
          <w:rFonts w:ascii="Times New Roman" w:hAnsi="Times New Roman"/>
        </w:rPr>
        <w:t>MMP-9 mRNA levels were higher in SRC-1 (-)/SRC-3(+) and SRC-1(+)/SRC-3(-), and SRC-1(+)/SRC-3(+) groups than that inSRC-1(-)/SRC-3 (-). (B) The model for the role of SRC-1 in HCC metastasis.</w:t>
      </w:r>
    </w:p>
    <w:bookmarkEnd w:id="11"/>
    <w:p w14:paraId="184EFDFC" w14:textId="297266EB" w:rsidR="009604BF" w:rsidRPr="002C0546" w:rsidRDefault="009604BF"/>
    <w:p w14:paraId="24E30BF5" w14:textId="354E6D87" w:rsidR="009604BF" w:rsidRDefault="009604BF"/>
    <w:p w14:paraId="1CCC9E60" w14:textId="70E4838B" w:rsidR="009604BF" w:rsidRDefault="009604BF"/>
    <w:p w14:paraId="09974DF5" w14:textId="0C965732" w:rsidR="009604BF" w:rsidRDefault="009604BF"/>
    <w:p w14:paraId="7E9BCC90" w14:textId="3A03A161" w:rsidR="009604BF" w:rsidRDefault="009604BF"/>
    <w:p w14:paraId="3852E3D3" w14:textId="77777777" w:rsidR="009604BF" w:rsidRDefault="009604BF"/>
    <w:p w14:paraId="3A105BFE" w14:textId="20A5E569" w:rsidR="009604BF" w:rsidRDefault="009604BF"/>
    <w:p w14:paraId="175EA139" w14:textId="245BC467" w:rsidR="009604BF" w:rsidRDefault="009604BF"/>
    <w:p w14:paraId="6F8A5BD6" w14:textId="29F21854" w:rsidR="009604BF" w:rsidRDefault="009604BF"/>
    <w:p w14:paraId="479C2475" w14:textId="4C2F8374" w:rsidR="009604BF" w:rsidRDefault="009604BF"/>
    <w:p w14:paraId="55D2E902" w14:textId="1741D2D6" w:rsidR="009604BF" w:rsidRDefault="009604BF"/>
    <w:p w14:paraId="53421ECD" w14:textId="2AA48E1E" w:rsidR="009604BF" w:rsidRDefault="009604BF"/>
    <w:p w14:paraId="05ECE11B" w14:textId="77777777" w:rsidR="009604BF" w:rsidRDefault="009604BF"/>
    <w:p w14:paraId="21608421" w14:textId="0EB9A023" w:rsidR="009604BF" w:rsidRDefault="009604BF"/>
    <w:p w14:paraId="02411065" w14:textId="77777777" w:rsidR="009604BF" w:rsidRDefault="009604BF"/>
    <w:sectPr w:rsidR="009604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CB462" w14:textId="77777777" w:rsidR="00043BF8" w:rsidRDefault="00043BF8" w:rsidP="002C0546">
      <w:r>
        <w:separator/>
      </w:r>
    </w:p>
  </w:endnote>
  <w:endnote w:type="continuationSeparator" w:id="0">
    <w:p w14:paraId="1E02ED70" w14:textId="77777777" w:rsidR="00043BF8" w:rsidRDefault="00043BF8" w:rsidP="002C0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66420" w14:textId="77777777" w:rsidR="00043BF8" w:rsidRDefault="00043BF8" w:rsidP="002C0546">
      <w:r>
        <w:separator/>
      </w:r>
    </w:p>
  </w:footnote>
  <w:footnote w:type="continuationSeparator" w:id="0">
    <w:p w14:paraId="7EAEC80A" w14:textId="77777777" w:rsidR="00043BF8" w:rsidRDefault="00043BF8" w:rsidP="002C05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7EF"/>
    <w:rsid w:val="00043BF8"/>
    <w:rsid w:val="001327EF"/>
    <w:rsid w:val="002C0546"/>
    <w:rsid w:val="00642CCE"/>
    <w:rsid w:val="009604BF"/>
    <w:rsid w:val="00D8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B49C08"/>
  <w15:chartTrackingRefBased/>
  <w15:docId w15:val="{13247C91-FD4C-4F2E-B32C-768E62F2A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05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05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05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05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勇</dc:creator>
  <cp:keywords/>
  <dc:description/>
  <cp:lastModifiedBy>张 勇</cp:lastModifiedBy>
  <cp:revision>5</cp:revision>
  <dcterms:created xsi:type="dcterms:W3CDTF">2022-06-30T04:18:00Z</dcterms:created>
  <dcterms:modified xsi:type="dcterms:W3CDTF">2022-09-15T10:13:00Z</dcterms:modified>
</cp:coreProperties>
</file>