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lang w:eastAsia="zh-CN"/>
        </w:rPr>
      </w:pPr>
      <w:r>
        <w:rPr>
          <w:rFonts w:hint="eastAsia" w:ascii="Times New Roman" w:hAnsi="Times New Roman" w:cs="Times New Roman"/>
          <w:b/>
          <w:bCs/>
          <w:lang w:val="en-US" w:eastAsia="zh-CN"/>
        </w:rPr>
        <w:t xml:space="preserve">Supplement </w:t>
      </w:r>
      <w:r>
        <w:rPr>
          <w:rFonts w:hint="default" w:ascii="Times New Roman" w:hAnsi="Times New Roman" w:cs="Times New Roman" w:eastAsiaTheme="minorEastAsia"/>
          <w:b/>
          <w:bCs/>
          <w:lang w:eastAsia="zh-CN"/>
        </w:rPr>
        <w:t xml:space="preserve">Table </w:t>
      </w:r>
      <w:r>
        <w:rPr>
          <w:rFonts w:hint="eastAsia" w:ascii="Times New Roman" w:hAnsi="Times New Roman" w:cs="Times New Roman"/>
          <w:b/>
          <w:bCs/>
          <w:lang w:val="en-US" w:eastAsia="zh-CN"/>
        </w:rPr>
        <w:t>3</w:t>
      </w:r>
      <w:r>
        <w:rPr>
          <w:rFonts w:hint="default" w:ascii="Times New Roman" w:hAnsi="Times New Roman" w:cs="Times New Roman" w:eastAsiaTheme="minorEastAsia"/>
          <w:b/>
          <w:bCs/>
          <w:lang w:eastAsia="zh-CN"/>
        </w:rPr>
        <w:t xml:space="preserve"> </w:t>
      </w:r>
      <w:r>
        <w:rPr>
          <w:rFonts w:hint="default" w:ascii="Times New Roman" w:hAnsi="Times New Roman" w:cs="Times New Roman" w:eastAsiaTheme="minorEastAsia"/>
          <w:lang w:eastAsia="zh-CN"/>
        </w:rPr>
        <w:t xml:space="preserve">Relative effect sizes of different exercise interventions’ efficacy based on </w:t>
      </w:r>
      <w:r>
        <w:rPr>
          <w:rFonts w:hint="eastAsia" w:ascii="Times New Roman" w:hAnsi="Times New Roman" w:cs="Times New Roman"/>
          <w:lang w:val="en-US" w:eastAsia="zh-CN"/>
        </w:rPr>
        <w:t>balance ability</w:t>
      </w:r>
    </w:p>
    <w:p>
      <w:pPr>
        <w:jc w:val="center"/>
        <w:rPr>
          <w:rFonts w:hint="eastAsia" w:eastAsiaTheme="minorEastAsia"/>
          <w:lang w:eastAsia="zh-CN"/>
        </w:rPr>
      </w:pPr>
      <w:r>
        <w:rPr>
          <w:rFonts w:hint="eastAsia" w:eastAsiaTheme="minorEastAsia"/>
          <w:lang w:eastAsia="zh-CN"/>
        </w:rPr>
        <w:drawing>
          <wp:inline distT="0" distB="0" distL="114300" distR="114300">
            <wp:extent cx="4752340" cy="2432685"/>
            <wp:effectExtent l="0" t="0" r="10160" b="5715"/>
            <wp:docPr id="1" name="图片 1" descr="Supplement Tab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 Table3"/>
                    <pic:cNvPicPr>
                      <a:picLocks noChangeAspect="1"/>
                    </pic:cNvPicPr>
                  </pic:nvPicPr>
                  <pic:blipFill>
                    <a:blip r:embed="rId4"/>
                    <a:srcRect l="22607" t="11573" b="18003"/>
                    <a:stretch>
                      <a:fillRect/>
                    </a:stretch>
                  </pic:blipFill>
                  <pic:spPr>
                    <a:xfrm>
                      <a:off x="0" y="0"/>
                      <a:ext cx="4752340" cy="2432685"/>
                    </a:xfrm>
                    <a:prstGeom prst="rect">
                      <a:avLst/>
                    </a:prstGeom>
                  </pic:spPr>
                </pic:pic>
              </a:graphicData>
            </a:graphic>
          </wp:inline>
        </w:drawing>
      </w:r>
    </w:p>
    <w:p>
      <w:pPr>
        <w:jc w:val="left"/>
        <w:rPr>
          <w:rFonts w:hint="eastAsia" w:eastAsiaTheme="minorEastAsia"/>
          <w:lang w:eastAsia="zh-CN"/>
        </w:rPr>
      </w:pPr>
      <w:r>
        <w:rPr>
          <w:rFonts w:hint="eastAsia" w:ascii="Times New Roman" w:hAnsi="Times New Roman" w:eastAsia="宋体" w:cs="Times New Roman"/>
          <w:sz w:val="18"/>
          <w:szCs w:val="18"/>
        </w:rPr>
        <w:t>Comparative effectiveness results for balance ability. Each cell shows an MD with a 95%CrI. Some numbers at the top of boxes are SUCRA values. The dark blue boxes indicate the type of campaign intervention, blue grey boxes represent significant pairwise comparisons were highlighted. AE, aerobic exercise; BE, balance exercise; CG, control group; Crl, credibility interval; MD, mean difference; RE, resistance exercise; SUCRA, surface under cumulative ranking curve values; WBE, weight-bearing exercise.</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NGJiOTdhYWEyYTgxMWIxNjEzMDE0NDEzNzU3ZDcifQ=="/>
  </w:docVars>
  <w:rsids>
    <w:rsidRoot w:val="00000000"/>
    <w:rsid w:val="12E43094"/>
    <w:rsid w:val="237B1A0C"/>
    <w:rsid w:val="51F1376A"/>
    <w:rsid w:val="61D93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97</Words>
  <Characters>552</Characters>
  <Lines>0</Lines>
  <Paragraphs>0</Paragraphs>
  <TotalTime>2</TotalTime>
  <ScaleCrop>false</ScaleCrop>
  <LinksUpToDate>false</LinksUpToDate>
  <CharactersWithSpaces>647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2022-09-14T07:58:00Z</dcterms:created>
  <dc:creator>Lenovo</dc:creator>
  <cp:lastModifiedBy>Lenovo</cp:lastModifiedBy>
  <dcterms:modified xsi:type="dcterms:W3CDTF">2022-09-28T09:15:13Z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EEB60C89BCD44097BF9EC207E76A1ADC</vt:lpwstr>
  </property>
</Properties>
</file>