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8170831" w14:textId="77777777" w:rsidR="00EC67A3" w:rsidRPr="00EC67A3" w:rsidRDefault="00EC67A3" w:rsidP="00EC67A3">
      <w:pPr>
        <w:widowControl w:val="0"/>
        <w:autoSpaceDE w:val="0"/>
        <w:autoSpaceDN w:val="0"/>
        <w:adjustRightInd w:val="0"/>
        <w:spacing w:line="480" w:lineRule="auto"/>
        <w:rPr>
          <w:rFonts w:ascii="Times New Roman" w:eastAsia="Times New Roman" w:hAnsi="Times New Roman" w:cs="Times New Roman"/>
          <w:i/>
          <w:iCs/>
          <w:lang w:val="en-US"/>
        </w:rPr>
      </w:pPr>
      <w:r w:rsidRPr="00EC67A3">
        <w:rPr>
          <w:rFonts w:ascii="Times New Roman" w:eastAsia="Times New Roman" w:hAnsi="Times New Roman" w:cs="Times New Roman"/>
          <w:i/>
          <w:iCs/>
          <w:lang w:val="en-US"/>
        </w:rPr>
        <w:t>Animal Models</w:t>
      </w:r>
    </w:p>
    <w:p w14:paraId="06A2240F" w14:textId="77777777" w:rsidR="00EC67A3" w:rsidRPr="00EC67A3" w:rsidRDefault="00EC67A3" w:rsidP="00EC67A3">
      <w:pPr>
        <w:widowControl w:val="0"/>
        <w:autoSpaceDE w:val="0"/>
        <w:autoSpaceDN w:val="0"/>
        <w:adjustRightInd w:val="0"/>
        <w:spacing w:after="120" w:line="480" w:lineRule="auto"/>
        <w:rPr>
          <w:rFonts w:ascii="Times New Roman" w:eastAsia="Times New Roman" w:hAnsi="Times New Roman" w:cs="Times New Roman"/>
          <w:lang w:val="en-US"/>
        </w:rPr>
      </w:pPr>
      <w:r w:rsidRPr="00EC67A3">
        <w:rPr>
          <w:rFonts w:ascii="Times New Roman" w:eastAsia="Times New Roman" w:hAnsi="Times New Roman" w:cs="Times New Roman"/>
          <w:lang w:val="en-US"/>
        </w:rPr>
        <w:t>All experiments were carried out in accordance with the guidelines established by the European Communities Council (Directive 114 2010/63/EU of September 22nd, 2010) and with Italian DL n.26/2014 and were approved by the local Ethical Committee and by the Italian Ministry of Health (Authorization No.97/2017-PR). The study included thirty 118/127-days-old mice (Jackson Laboratories, Bar Harbor, ME, USA): 15 B6SJL-Tg (SOD1*G93A)1Gur mice expressing high copy number of mutant human SOD1 with a Gly93Ala substitution (SOD1</w:t>
      </w:r>
      <w:r w:rsidRPr="00EC67A3">
        <w:rPr>
          <w:rFonts w:ascii="Times New Roman" w:eastAsia="Times New Roman" w:hAnsi="Times New Roman" w:cs="Times New Roman"/>
          <w:vertAlign w:val="superscript"/>
          <w:lang w:val="en-US"/>
        </w:rPr>
        <w:t>G93A</w:t>
      </w:r>
      <w:r w:rsidRPr="00EC67A3">
        <w:rPr>
          <w:rFonts w:ascii="Times New Roman" w:eastAsia="Times New Roman" w:hAnsi="Times New Roman" w:cs="Times New Roman"/>
          <w:lang w:val="en-US"/>
        </w:rPr>
        <w:t>) and 15 background-matched B6SJL wildtype mice, considered as “control group” [15]. All transgenic mice were bred in the animal facility of the Pharmacology and Toxicology Unit, Department of Pharmacy, University of Genoa (Italy) and identified by analyzing tissue extracts from tail tips, as previously described [16]. SOD1</w:t>
      </w:r>
      <w:r w:rsidRPr="00EC67A3">
        <w:rPr>
          <w:rFonts w:ascii="Times New Roman" w:eastAsia="Times New Roman" w:hAnsi="Times New Roman" w:cs="Times New Roman"/>
          <w:vertAlign w:val="superscript"/>
          <w:lang w:val="en-US"/>
        </w:rPr>
        <w:t>G93A</w:t>
      </w:r>
      <w:r w:rsidRPr="00EC67A3">
        <w:rPr>
          <w:rFonts w:ascii="Times New Roman" w:eastAsia="Times New Roman" w:hAnsi="Times New Roman" w:cs="Times New Roman"/>
          <w:lang w:val="en-US"/>
        </w:rPr>
        <w:t xml:space="preserve"> mice were studied at a late phase of disease and synchronized by motor impairment determination, defined by our validated method [17]. Age matched wildtype mice were used as controls. Both female and male mice were used in the experiments; sexes were balanced in each experimental group to avoid bias due to sex-related intrinsic differences. Animals were housed at constant temperature (22±1° C) and relative humidity (50%) with a regular 12 h light cycle (light 7 AM–7 PM). Food (type 4RF21 standard diet; </w:t>
      </w:r>
      <w:proofErr w:type="spellStart"/>
      <w:r w:rsidRPr="00EC67A3">
        <w:rPr>
          <w:rFonts w:ascii="Times New Roman" w:eastAsia="Times New Roman" w:hAnsi="Times New Roman" w:cs="Times New Roman"/>
          <w:lang w:val="en-US"/>
        </w:rPr>
        <w:t>Mucedola</w:t>
      </w:r>
      <w:proofErr w:type="spellEnd"/>
      <w:r w:rsidRPr="00EC67A3">
        <w:rPr>
          <w:rFonts w:ascii="Times New Roman" w:eastAsia="Times New Roman" w:hAnsi="Times New Roman" w:cs="Times New Roman"/>
          <w:lang w:val="en-US"/>
        </w:rPr>
        <w:t xml:space="preserve">, </w:t>
      </w:r>
      <w:proofErr w:type="spellStart"/>
      <w:r w:rsidRPr="00EC67A3">
        <w:rPr>
          <w:rFonts w:ascii="Times New Roman" w:eastAsia="Times New Roman" w:hAnsi="Times New Roman" w:cs="Times New Roman"/>
          <w:lang w:val="en-US"/>
        </w:rPr>
        <w:t>Settimo</w:t>
      </w:r>
      <w:proofErr w:type="spellEnd"/>
      <w:r w:rsidRPr="00EC67A3">
        <w:rPr>
          <w:rFonts w:ascii="Times New Roman" w:eastAsia="Times New Roman" w:hAnsi="Times New Roman" w:cs="Times New Roman"/>
          <w:lang w:val="en-US"/>
        </w:rPr>
        <w:t xml:space="preserve"> Milanese, Italy) and water were freely available. All efforts were made to minimize animal suffering and to use only the number of animals necessary to produce reliable results. All mice were euthanized by cervical dislocation. </w:t>
      </w:r>
    </w:p>
    <w:p w14:paraId="154E0847" w14:textId="77777777" w:rsidR="00EC67A3" w:rsidRPr="00EC67A3" w:rsidRDefault="00EC67A3" w:rsidP="00EC67A3">
      <w:pPr>
        <w:widowControl w:val="0"/>
        <w:autoSpaceDE w:val="0"/>
        <w:autoSpaceDN w:val="0"/>
        <w:adjustRightInd w:val="0"/>
        <w:spacing w:line="480" w:lineRule="auto"/>
        <w:rPr>
          <w:rFonts w:ascii="Times New Roman" w:eastAsia="Times New Roman" w:hAnsi="Times New Roman" w:cs="Times New Roman"/>
          <w:i/>
          <w:iCs/>
          <w:lang w:val="en-US"/>
        </w:rPr>
      </w:pPr>
      <w:r w:rsidRPr="00EC67A3">
        <w:rPr>
          <w:rFonts w:ascii="Times New Roman" w:eastAsia="Times New Roman" w:hAnsi="Times New Roman" w:cs="Times New Roman"/>
          <w:i/>
          <w:iCs/>
          <w:lang w:val="en-US"/>
        </w:rPr>
        <w:t>Experimental micro-PET imaging</w:t>
      </w:r>
    </w:p>
    <w:p w14:paraId="6DA04170" w14:textId="77777777" w:rsidR="00EC67A3" w:rsidRPr="00EC67A3" w:rsidRDefault="00EC67A3" w:rsidP="00EC67A3">
      <w:pPr>
        <w:widowControl w:val="0"/>
        <w:autoSpaceDE w:val="0"/>
        <w:autoSpaceDN w:val="0"/>
        <w:adjustRightInd w:val="0"/>
        <w:spacing w:after="120" w:line="480" w:lineRule="auto"/>
        <w:rPr>
          <w:rFonts w:ascii="Times New Roman" w:eastAsia="Times New Roman" w:hAnsi="Times New Roman" w:cs="Times New Roman"/>
          <w:lang w:val="en-US"/>
        </w:rPr>
      </w:pPr>
      <w:r w:rsidRPr="00EC67A3">
        <w:rPr>
          <w:rFonts w:ascii="Times New Roman" w:eastAsia="Times New Roman" w:hAnsi="Times New Roman" w:cs="Times New Roman"/>
          <w:lang w:val="en-US"/>
        </w:rPr>
        <w:t xml:space="preserve">Sample size of mice submitted to micro-PET imaging was defined based on the hypothesis of a 40% increase of skeletal muscle FDG uptake induced by ALS, coupled with an expected variation coefficient of tracer retention in this same tissue approaching 16%. These features were </w:t>
      </w:r>
      <w:r w:rsidRPr="00EC67A3">
        <w:rPr>
          <w:rFonts w:ascii="Times New Roman" w:eastAsia="Times New Roman" w:hAnsi="Times New Roman" w:cs="Times New Roman"/>
          <w:lang w:val="en-US"/>
        </w:rPr>
        <w:lastRenderedPageBreak/>
        <w:t xml:space="preserve">entered into a freely available calculator (http://www.rad.jhmi.edu/jeng/javarad/samplesize/#references) that estimated sample size to five mice per group as proposed by </w:t>
      </w:r>
      <w:proofErr w:type="spellStart"/>
      <w:r w:rsidRPr="00EC67A3">
        <w:rPr>
          <w:rFonts w:ascii="Times New Roman" w:eastAsia="Times New Roman" w:hAnsi="Times New Roman" w:cs="Times New Roman"/>
          <w:lang w:val="en-US"/>
        </w:rPr>
        <w:t>Eng</w:t>
      </w:r>
      <w:proofErr w:type="spellEnd"/>
      <w:r w:rsidRPr="00EC67A3">
        <w:rPr>
          <w:rFonts w:ascii="Times New Roman" w:eastAsia="Times New Roman" w:hAnsi="Times New Roman" w:cs="Times New Roman"/>
          <w:lang w:val="en-US"/>
        </w:rPr>
        <w:t xml:space="preserve"> et al. [18]. All animals were fasted for six hours, </w:t>
      </w:r>
      <w:proofErr w:type="gramStart"/>
      <w:r w:rsidRPr="00EC67A3">
        <w:rPr>
          <w:rFonts w:ascii="Times New Roman" w:eastAsia="Times New Roman" w:hAnsi="Times New Roman" w:cs="Times New Roman"/>
          <w:lang w:val="en-US"/>
        </w:rPr>
        <w:t>weighted</w:t>
      </w:r>
      <w:proofErr w:type="gramEnd"/>
      <w:r w:rsidRPr="00EC67A3">
        <w:rPr>
          <w:rFonts w:ascii="Times New Roman" w:eastAsia="Times New Roman" w:hAnsi="Times New Roman" w:cs="Times New Roman"/>
          <w:lang w:val="en-US"/>
        </w:rPr>
        <w:t xml:space="preserve"> and anesthetized with intra-peritoneal ketamine (100 mg/Kg) and xylazine (10 mg/kg). Serum glucose level was tested and FDG (3-4 MBq) was injected through a tail vein. Forty minutes later, mice underwent a 10-minutes static acquisition in a dedicated micro-PET system (</w:t>
      </w:r>
      <w:proofErr w:type="spellStart"/>
      <w:r w:rsidRPr="00EC67A3">
        <w:rPr>
          <w:rFonts w:ascii="Times New Roman" w:eastAsia="Times New Roman" w:hAnsi="Times New Roman" w:cs="Times New Roman"/>
          <w:lang w:val="en-US"/>
        </w:rPr>
        <w:t>Albira</w:t>
      </w:r>
      <w:proofErr w:type="spellEnd"/>
      <w:r w:rsidRPr="00EC67A3">
        <w:rPr>
          <w:rFonts w:ascii="Times New Roman" w:eastAsia="Times New Roman" w:hAnsi="Times New Roman" w:cs="Times New Roman"/>
          <w:lang w:val="en-US"/>
        </w:rPr>
        <w:t xml:space="preserve">, Bruker, USA) whose dual ring configuration allows the acquisition of the whole mouse body. After its completion mice were immediately euthanized by cervical dislocation. </w:t>
      </w:r>
    </w:p>
    <w:p w14:paraId="37FB67FD" w14:textId="77777777" w:rsidR="00EC67A3" w:rsidRPr="00EC67A3" w:rsidRDefault="00EC67A3" w:rsidP="00EC67A3">
      <w:pPr>
        <w:widowControl w:val="0"/>
        <w:autoSpaceDE w:val="0"/>
        <w:autoSpaceDN w:val="0"/>
        <w:adjustRightInd w:val="0"/>
        <w:spacing w:line="480" w:lineRule="auto"/>
        <w:rPr>
          <w:rFonts w:ascii="Times New Roman" w:eastAsia="Times New Roman" w:hAnsi="Times New Roman" w:cs="Times New Roman"/>
          <w:i/>
          <w:iCs/>
          <w:lang w:val="en-US"/>
        </w:rPr>
      </w:pPr>
      <w:r w:rsidRPr="00EC67A3">
        <w:rPr>
          <w:rFonts w:ascii="Times New Roman" w:eastAsia="Times New Roman" w:hAnsi="Times New Roman" w:cs="Times New Roman"/>
          <w:i/>
          <w:iCs/>
          <w:lang w:val="en-US"/>
        </w:rPr>
        <w:t>Ex vivo extraction fraction of FDG and glucose</w:t>
      </w:r>
    </w:p>
    <w:p w14:paraId="42D129F4" w14:textId="77777777" w:rsidR="00EC67A3" w:rsidRPr="00EC67A3" w:rsidRDefault="00EC67A3" w:rsidP="00EC67A3">
      <w:pPr>
        <w:widowControl w:val="0"/>
        <w:autoSpaceDE w:val="0"/>
        <w:autoSpaceDN w:val="0"/>
        <w:adjustRightInd w:val="0"/>
        <w:spacing w:line="480" w:lineRule="auto"/>
        <w:rPr>
          <w:rFonts w:ascii="Times New Roman" w:eastAsia="Times New Roman" w:hAnsi="Times New Roman" w:cs="Times New Roman"/>
          <w:lang w:val="en-US"/>
        </w:rPr>
      </w:pPr>
      <w:r w:rsidRPr="00EC67A3">
        <w:rPr>
          <w:rFonts w:ascii="Times New Roman" w:eastAsia="Times New Roman" w:hAnsi="Times New Roman" w:cs="Times New Roman"/>
          <w:lang w:val="en-US"/>
        </w:rPr>
        <w:t>Three mice per group were sacrificed, quadriceps and hearts were harvested to analyze ex vivo FDG uptake and glucose consumption. Quadriceps muscle side was randomly selected. Ex vivo FDG uptake of quadriceps and hearts was evaluated using the Ligand-Tracer White</w:t>
      </w:r>
      <w:r w:rsidRPr="00EC67A3">
        <w:rPr>
          <w:rFonts w:ascii="Times New Roman" w:eastAsia="Times New Roman" w:hAnsi="Times New Roman" w:cs="Times New Roman"/>
          <w:vertAlign w:val="superscript"/>
          <w:lang w:val="en-US"/>
        </w:rPr>
        <w:t>®</w:t>
      </w:r>
      <w:r w:rsidRPr="00EC67A3">
        <w:rPr>
          <w:rFonts w:ascii="Times New Roman" w:eastAsia="Times New Roman" w:hAnsi="Times New Roman" w:cs="Times New Roman"/>
          <w:lang w:val="en-US"/>
        </w:rPr>
        <w:t xml:space="preserve"> instrument (Ridgeview, Uppsala, SE) according to our previously validated procedure [12, 14, 19]. Briefly, the device consists of a beta-emission detector and a rotating platform harboring a standard Petri dish. The rotation axis is inclined at 30° from the vertical, so that the organ alternates its position from the nadir (for incubation) to the zenith (for counting) every minute. Slices (300 µm thick) of quadriceps or hearts were stuck in the outer ring of a Petri dish with octyl-cyanoacrylate (Dermabond, Ethicon, US) and covered with 3 mL solution collected from an input vial containing 4 mL of Dulbecco’s Modified Eagle’s Medium (DMEM) containing glucose and FDG at the concentration of 5.5 mM (1 g/L) and 2 MBq/mL, respectively. Time-activity curves were thus obtained by subtracting decay-corrected background counting rate from the corresponding target value, as previously described [12, 14, 19-20]. After 40 min, an aliquot of 0.5 mL was sampled both from the input vial and from the Petri dish (output) to measure the </w:t>
      </w:r>
      <w:r w:rsidRPr="00EC67A3">
        <w:rPr>
          <w:rFonts w:ascii="Times New Roman" w:eastAsia="Times New Roman" w:hAnsi="Times New Roman" w:cs="Times New Roman"/>
          <w:lang w:val="en-US"/>
        </w:rPr>
        <w:lastRenderedPageBreak/>
        <w:t xml:space="preserve">radioactivity concentration using a dose calibrator with an activity resolution &lt;10 </w:t>
      </w:r>
      <w:proofErr w:type="spellStart"/>
      <w:r w:rsidRPr="00EC67A3">
        <w:rPr>
          <w:rFonts w:ascii="Times New Roman" w:eastAsia="Times New Roman" w:hAnsi="Times New Roman" w:cs="Times New Roman"/>
          <w:lang w:val="en-US"/>
        </w:rPr>
        <w:t>KBq</w:t>
      </w:r>
      <w:proofErr w:type="spellEnd"/>
      <w:r w:rsidRPr="00EC67A3">
        <w:rPr>
          <w:rFonts w:ascii="Times New Roman" w:eastAsia="Times New Roman" w:hAnsi="Times New Roman" w:cs="Times New Roman"/>
          <w:lang w:val="en-US"/>
        </w:rPr>
        <w:t xml:space="preserve"> (</w:t>
      </w:r>
      <w:proofErr w:type="spellStart"/>
      <w:r w:rsidRPr="00EC67A3">
        <w:rPr>
          <w:rFonts w:ascii="Times New Roman" w:eastAsia="Times New Roman" w:hAnsi="Times New Roman" w:cs="Times New Roman"/>
          <w:lang w:val="en-US"/>
        </w:rPr>
        <w:t>Capintec</w:t>
      </w:r>
      <w:proofErr w:type="spellEnd"/>
      <w:r w:rsidRPr="00EC67A3">
        <w:rPr>
          <w:rFonts w:ascii="Times New Roman" w:eastAsia="Times New Roman" w:hAnsi="Times New Roman" w:cs="Times New Roman"/>
          <w:lang w:val="en-US"/>
        </w:rPr>
        <w:t xml:space="preserve"> CRC55). </w:t>
      </w:r>
    </w:p>
    <w:p w14:paraId="6D4355B2" w14:textId="77777777" w:rsidR="00EC67A3" w:rsidRPr="00EC67A3" w:rsidRDefault="00EC67A3" w:rsidP="00EC67A3">
      <w:pPr>
        <w:widowControl w:val="0"/>
        <w:autoSpaceDE w:val="0"/>
        <w:autoSpaceDN w:val="0"/>
        <w:adjustRightInd w:val="0"/>
        <w:spacing w:line="480" w:lineRule="auto"/>
        <w:rPr>
          <w:rFonts w:ascii="Times New Roman" w:eastAsia="Times New Roman" w:hAnsi="Times New Roman" w:cs="Times New Roman"/>
          <w:lang w:val="en-US"/>
        </w:rPr>
      </w:pPr>
      <w:r w:rsidRPr="00EC67A3">
        <w:rPr>
          <w:rFonts w:ascii="Times New Roman" w:eastAsia="Times New Roman" w:hAnsi="Times New Roman" w:cs="Times New Roman"/>
          <w:lang w:val="en-US"/>
        </w:rPr>
        <w:t>Fractional FDG uptake was thus calculated as:</w:t>
      </w:r>
    </w:p>
    <w:p w14:paraId="4B3B889F" w14:textId="77777777" w:rsidR="00EC67A3" w:rsidRPr="00EC67A3" w:rsidRDefault="00EC67A3" w:rsidP="00EC67A3">
      <w:pPr>
        <w:widowControl w:val="0"/>
        <w:autoSpaceDE w:val="0"/>
        <w:autoSpaceDN w:val="0"/>
        <w:adjustRightInd w:val="0"/>
        <w:spacing w:line="480" w:lineRule="auto"/>
        <w:rPr>
          <w:rFonts w:ascii="Times New Roman" w:eastAsia="Times New Roman" w:hAnsi="Times New Roman" w:cs="Times New Roman"/>
          <w:lang w:val="en-US"/>
        </w:rPr>
      </w:pPr>
      <m:oMathPara>
        <m:oMathParaPr>
          <m:jc m:val="left"/>
        </m:oMathParaPr>
        <m:oMath>
          <m:r>
            <w:rPr>
              <w:rFonts w:ascii="Cambria Math" w:eastAsia="Times New Roman" w:hAnsi="Cambria Math" w:cs="Cambria Math"/>
              <w:lang w:val="en-US"/>
            </w:rPr>
            <m:t>Fractional FDG uptake</m:t>
          </m:r>
          <m:r>
            <m:rPr>
              <m:sty m:val="p"/>
            </m:rPr>
            <w:rPr>
              <w:rFonts w:ascii="Cambria Math" w:eastAsia="Times New Roman" w:hAnsi="Cambria Math" w:cs="Cambria Math"/>
              <w:lang w:val="en-US"/>
            </w:rPr>
            <m:t>=</m:t>
          </m:r>
          <m:f>
            <m:fPr>
              <m:ctrlPr>
                <w:rPr>
                  <w:rFonts w:ascii="Cambria Math" w:eastAsia="Times New Roman" w:hAnsi="Cambria Math" w:cs="Times New Roman"/>
                  <w:lang w:val="en-US"/>
                </w:rPr>
              </m:ctrlPr>
            </m:fPr>
            <m:num>
              <m:sSub>
                <m:sSubPr>
                  <m:ctrlPr>
                    <w:rPr>
                      <w:rFonts w:ascii="Cambria Math" w:eastAsia="Times New Roman" w:hAnsi="Cambria Math" w:cs="Cambria Math"/>
                      <w:lang w:val="en-US"/>
                    </w:rPr>
                  </m:ctrlPr>
                </m:sSubPr>
                <m:e>
                  <m:r>
                    <w:rPr>
                      <w:rFonts w:ascii="Cambria Math" w:eastAsia="Times New Roman" w:hAnsi="Cambria Math" w:cs="Cambria Math"/>
                      <w:lang w:val="en-US"/>
                    </w:rPr>
                    <m:t>A</m:t>
                  </m:r>
                </m:e>
                <m:sub>
                  <m:r>
                    <w:rPr>
                      <w:rFonts w:ascii="Cambria Math" w:eastAsia="Times New Roman" w:hAnsi="Cambria Math" w:cs="Cambria Math"/>
                      <w:lang w:val="en-US"/>
                    </w:rPr>
                    <m:t>input</m:t>
                  </m:r>
                </m:sub>
              </m:sSub>
              <m:r>
                <m:rPr>
                  <m:sty m:val="p"/>
                </m:rPr>
                <w:rPr>
                  <w:rFonts w:ascii="Cambria Math" w:eastAsia="Times New Roman" w:hAnsi="Cambria Math" w:cs="Cambria Math"/>
                  <w:lang w:val="en-US"/>
                </w:rPr>
                <m:t>-</m:t>
              </m:r>
              <m:sSub>
                <m:sSubPr>
                  <m:ctrlPr>
                    <w:rPr>
                      <w:rFonts w:ascii="Cambria Math" w:eastAsia="Times New Roman" w:hAnsi="Cambria Math" w:cs="Cambria Math"/>
                      <w:lang w:val="en-US"/>
                    </w:rPr>
                  </m:ctrlPr>
                </m:sSubPr>
                <m:e>
                  <m:r>
                    <w:rPr>
                      <w:rFonts w:ascii="Cambria Math" w:eastAsia="Times New Roman" w:hAnsi="Cambria Math" w:cs="Cambria Math"/>
                      <w:lang w:val="en-US"/>
                    </w:rPr>
                    <m:t>A</m:t>
                  </m:r>
                </m:e>
                <m:sub>
                  <m:r>
                    <w:rPr>
                      <w:rFonts w:ascii="Cambria Math" w:eastAsia="Times New Roman" w:hAnsi="Cambria Math" w:cs="Cambria Math"/>
                      <w:lang w:val="en-US"/>
                    </w:rPr>
                    <m:t>output</m:t>
                  </m:r>
                </m:sub>
              </m:sSub>
            </m:num>
            <m:den>
              <m:sSub>
                <m:sSubPr>
                  <m:ctrlPr>
                    <w:rPr>
                      <w:rFonts w:ascii="Cambria Math" w:eastAsia="Times New Roman" w:hAnsi="Cambria Math" w:cs="Cambria Math"/>
                      <w:lang w:val="en-US"/>
                    </w:rPr>
                  </m:ctrlPr>
                </m:sSubPr>
                <m:e>
                  <m:r>
                    <w:rPr>
                      <w:rFonts w:ascii="Cambria Math" w:eastAsia="Times New Roman" w:hAnsi="Cambria Math" w:cs="Cambria Math"/>
                      <w:lang w:val="en-US"/>
                    </w:rPr>
                    <m:t>A</m:t>
                  </m:r>
                </m:e>
                <m:sub>
                  <m:r>
                    <w:rPr>
                      <w:rFonts w:ascii="Cambria Math" w:eastAsia="Times New Roman" w:hAnsi="Cambria Math" w:cs="Cambria Math"/>
                      <w:lang w:val="en-US"/>
                    </w:rPr>
                    <m:t>input</m:t>
                  </m:r>
                </m:sub>
              </m:sSub>
            </m:den>
          </m:f>
        </m:oMath>
      </m:oMathPara>
    </w:p>
    <w:p w14:paraId="45F51873" w14:textId="77777777" w:rsidR="00EC67A3" w:rsidRPr="00EC67A3" w:rsidRDefault="00EC67A3" w:rsidP="00EC67A3">
      <w:pPr>
        <w:widowControl w:val="0"/>
        <w:autoSpaceDE w:val="0"/>
        <w:autoSpaceDN w:val="0"/>
        <w:adjustRightInd w:val="0"/>
        <w:spacing w:line="480" w:lineRule="auto"/>
        <w:rPr>
          <w:rFonts w:ascii="Times New Roman" w:eastAsia="Times New Roman" w:hAnsi="Times New Roman" w:cs="Times New Roman"/>
          <w:lang w:val="en-US"/>
        </w:rPr>
      </w:pPr>
      <w:r w:rsidRPr="00EC67A3">
        <w:rPr>
          <w:rFonts w:ascii="Times New Roman" w:eastAsia="Times New Roman" w:hAnsi="Times New Roman" w:cs="Times New Roman"/>
          <w:lang w:val="en-US"/>
        </w:rPr>
        <w:t xml:space="preserve"> where </w:t>
      </w:r>
      <w:proofErr w:type="spellStart"/>
      <w:r w:rsidRPr="00EC67A3">
        <w:rPr>
          <w:rFonts w:ascii="Times New Roman" w:eastAsia="Times New Roman" w:hAnsi="Times New Roman" w:cs="Times New Roman"/>
          <w:lang w:val="en-US"/>
        </w:rPr>
        <w:t>A</w:t>
      </w:r>
      <w:r w:rsidRPr="00EC67A3">
        <w:rPr>
          <w:rFonts w:ascii="Times New Roman" w:eastAsia="Times New Roman" w:hAnsi="Times New Roman" w:cs="Times New Roman"/>
          <w:vertAlign w:val="subscript"/>
          <w:lang w:val="en-US"/>
        </w:rPr>
        <w:t>input</w:t>
      </w:r>
      <w:proofErr w:type="spellEnd"/>
      <w:r w:rsidRPr="00EC67A3">
        <w:rPr>
          <w:rFonts w:ascii="Times New Roman" w:eastAsia="Times New Roman" w:hAnsi="Times New Roman" w:cs="Times New Roman"/>
          <w:lang w:val="en-US"/>
        </w:rPr>
        <w:t xml:space="preserve"> and </w:t>
      </w:r>
      <w:proofErr w:type="spellStart"/>
      <w:r w:rsidRPr="00EC67A3">
        <w:rPr>
          <w:rFonts w:ascii="Times New Roman" w:eastAsia="Times New Roman" w:hAnsi="Times New Roman" w:cs="Times New Roman"/>
          <w:lang w:val="en-US"/>
        </w:rPr>
        <w:t>A</w:t>
      </w:r>
      <w:r w:rsidRPr="00EC67A3">
        <w:rPr>
          <w:rFonts w:ascii="Times New Roman" w:eastAsia="Times New Roman" w:hAnsi="Times New Roman" w:cs="Times New Roman"/>
          <w:vertAlign w:val="subscript"/>
          <w:lang w:val="en-US"/>
        </w:rPr>
        <w:t>output</w:t>
      </w:r>
      <w:proofErr w:type="spellEnd"/>
      <w:r w:rsidRPr="00EC67A3">
        <w:rPr>
          <w:rFonts w:ascii="Times New Roman" w:eastAsia="Times New Roman" w:hAnsi="Times New Roman" w:cs="Times New Roman"/>
          <w:lang w:val="en-US"/>
        </w:rPr>
        <w:t xml:space="preserve"> represent activity (MBq) in the </w:t>
      </w:r>
      <w:proofErr w:type="spellStart"/>
      <w:r w:rsidRPr="00EC67A3">
        <w:rPr>
          <w:rFonts w:ascii="Times New Roman" w:eastAsia="Times New Roman" w:hAnsi="Times New Roman" w:cs="Times New Roman"/>
          <w:lang w:val="en-US"/>
        </w:rPr>
        <w:t>surnatant</w:t>
      </w:r>
      <w:proofErr w:type="spellEnd"/>
      <w:r w:rsidRPr="00EC67A3">
        <w:rPr>
          <w:rFonts w:ascii="Times New Roman" w:eastAsia="Times New Roman" w:hAnsi="Times New Roman" w:cs="Times New Roman"/>
          <w:lang w:val="en-US"/>
        </w:rPr>
        <w:t xml:space="preserve"> before and after exposure to the muscle specimen, respectively.</w:t>
      </w:r>
    </w:p>
    <w:p w14:paraId="66B7C1B3" w14:textId="77777777" w:rsidR="00EC67A3" w:rsidRPr="00EC67A3" w:rsidRDefault="00EC67A3" w:rsidP="00EC67A3">
      <w:pPr>
        <w:widowControl w:val="0"/>
        <w:autoSpaceDE w:val="0"/>
        <w:autoSpaceDN w:val="0"/>
        <w:adjustRightInd w:val="0"/>
        <w:spacing w:line="480" w:lineRule="auto"/>
        <w:rPr>
          <w:rFonts w:ascii="Times New Roman" w:eastAsia="Times New Roman" w:hAnsi="Times New Roman" w:cs="Times New Roman"/>
          <w:lang w:val="en-US"/>
        </w:rPr>
      </w:pPr>
      <w:r w:rsidRPr="00EC67A3">
        <w:rPr>
          <w:rFonts w:ascii="Times New Roman" w:eastAsia="Times New Roman" w:hAnsi="Times New Roman" w:cs="Times New Roman"/>
          <w:lang w:val="en-US"/>
        </w:rPr>
        <w:t>After the measurement of FDG radioactivity concentration, the medium aliquots were appropriately stored for glucose assay. Glucose consumption was measured as:</w:t>
      </w:r>
    </w:p>
    <w:p w14:paraId="328EECA2" w14:textId="77777777" w:rsidR="00EC67A3" w:rsidRPr="00EC67A3" w:rsidRDefault="00EC67A3" w:rsidP="00EC67A3">
      <w:pPr>
        <w:widowControl w:val="0"/>
        <w:autoSpaceDE w:val="0"/>
        <w:autoSpaceDN w:val="0"/>
        <w:adjustRightInd w:val="0"/>
        <w:spacing w:line="480" w:lineRule="auto"/>
        <w:rPr>
          <w:rFonts w:ascii="Times New Roman" w:eastAsia="Times New Roman" w:hAnsi="Times New Roman" w:cs="Times New Roman"/>
          <w:lang w:val="en-US"/>
        </w:rPr>
      </w:pPr>
      <m:oMathPara>
        <m:oMathParaPr>
          <m:jc m:val="left"/>
        </m:oMathParaPr>
        <m:oMath>
          <m:r>
            <w:rPr>
              <w:rFonts w:ascii="Cambria Math" w:eastAsia="Times New Roman" w:hAnsi="Cambria Math" w:cs="Times New Roman"/>
              <w:lang w:val="en-US"/>
            </w:rPr>
            <m:t>Fractional Glucose intake=</m:t>
          </m:r>
          <m:d>
            <m:dPr>
              <m:begChr m:val="["/>
              <m:endChr m:val="]"/>
              <m:ctrlPr>
                <w:rPr>
                  <w:rFonts w:ascii="Cambria Math" w:eastAsia="Times New Roman" w:hAnsi="Cambria Math" w:cs="Times New Roman"/>
                  <w:i/>
                  <w:lang w:val="en-US"/>
                </w:rPr>
              </m:ctrlPr>
            </m:dPr>
            <m:e>
              <m:f>
                <m:fPr>
                  <m:ctrlPr>
                    <w:rPr>
                      <w:rFonts w:ascii="Cambria Math" w:eastAsia="Times New Roman" w:hAnsi="Cambria Math" w:cs="Times New Roman"/>
                      <w:i/>
                      <w:lang w:val="en-US"/>
                    </w:rPr>
                  </m:ctrlPr>
                </m:fPr>
                <m:num>
                  <m:sSub>
                    <m:sSubPr>
                      <m:ctrlPr>
                        <w:rPr>
                          <w:rFonts w:ascii="Cambria Math" w:eastAsia="Times New Roman" w:hAnsi="Cambria Math" w:cs="Times New Roman"/>
                          <w:i/>
                          <w:lang w:val="en-US"/>
                        </w:rPr>
                      </m:ctrlPr>
                    </m:sSubPr>
                    <m:e>
                      <m:r>
                        <w:rPr>
                          <w:rFonts w:ascii="Cambria Math" w:eastAsia="Times New Roman" w:hAnsi="Cambria Math" w:cs="Times New Roman"/>
                          <w:lang w:val="en-US"/>
                        </w:rPr>
                        <m:t>C</m:t>
                      </m:r>
                    </m:e>
                    <m:sub>
                      <m:r>
                        <w:rPr>
                          <w:rFonts w:ascii="Cambria Math" w:eastAsia="Times New Roman" w:hAnsi="Cambria Math" w:cs="Times New Roman"/>
                          <w:lang w:val="en-US"/>
                        </w:rPr>
                        <m:t>input</m:t>
                      </m:r>
                    </m:sub>
                  </m:sSub>
                  <m:r>
                    <w:rPr>
                      <w:rFonts w:ascii="Cambria Math" w:eastAsia="Times New Roman" w:hAnsi="Cambria Math" w:cs="Times New Roman"/>
                      <w:lang w:val="en-US"/>
                    </w:rPr>
                    <m:t>-</m:t>
                  </m:r>
                  <m:sSub>
                    <m:sSubPr>
                      <m:ctrlPr>
                        <w:rPr>
                          <w:rFonts w:ascii="Cambria Math" w:eastAsia="Times New Roman" w:hAnsi="Cambria Math" w:cs="Times New Roman"/>
                          <w:i/>
                          <w:lang w:val="en-US"/>
                        </w:rPr>
                      </m:ctrlPr>
                    </m:sSubPr>
                    <m:e>
                      <m:r>
                        <w:rPr>
                          <w:rFonts w:ascii="Cambria Math" w:eastAsia="Times New Roman" w:hAnsi="Cambria Math" w:cs="Times New Roman"/>
                          <w:lang w:val="en-US"/>
                        </w:rPr>
                        <m:t>C</m:t>
                      </m:r>
                    </m:e>
                    <m:sub>
                      <m:r>
                        <w:rPr>
                          <w:rFonts w:ascii="Cambria Math" w:eastAsia="Times New Roman" w:hAnsi="Cambria Math" w:cs="Times New Roman"/>
                          <w:lang w:val="en-US"/>
                        </w:rPr>
                        <m:t>output</m:t>
                      </m:r>
                    </m:sub>
                  </m:sSub>
                </m:num>
                <m:den>
                  <m:sSub>
                    <m:sSubPr>
                      <m:ctrlPr>
                        <w:rPr>
                          <w:rFonts w:ascii="Cambria Math" w:eastAsia="Times New Roman" w:hAnsi="Cambria Math" w:cs="Times New Roman"/>
                          <w:i/>
                          <w:lang w:val="en-US"/>
                        </w:rPr>
                      </m:ctrlPr>
                    </m:sSubPr>
                    <m:e>
                      <m:r>
                        <w:rPr>
                          <w:rFonts w:ascii="Cambria Math" w:eastAsia="Times New Roman" w:hAnsi="Cambria Math" w:cs="Times New Roman"/>
                          <w:lang w:val="en-US"/>
                        </w:rPr>
                        <m:t>C</m:t>
                      </m:r>
                    </m:e>
                    <m:sub>
                      <m:r>
                        <w:rPr>
                          <w:rFonts w:ascii="Cambria Math" w:eastAsia="Times New Roman" w:hAnsi="Cambria Math" w:cs="Times New Roman"/>
                          <w:lang w:val="en-US"/>
                        </w:rPr>
                        <m:t>input</m:t>
                      </m:r>
                    </m:sub>
                  </m:sSub>
                </m:den>
              </m:f>
            </m:e>
          </m:d>
          <m:r>
            <w:rPr>
              <w:rFonts w:ascii="Cambria Math" w:eastAsia="Times New Roman" w:hAnsi="Cambria Math" w:cs="Times New Roman"/>
              <w:lang w:val="en-US"/>
            </w:rPr>
            <m:t xml:space="preserve"> </m:t>
          </m:r>
        </m:oMath>
      </m:oMathPara>
    </w:p>
    <w:p w14:paraId="3018DF50" w14:textId="77777777" w:rsidR="00EC67A3" w:rsidRPr="00EC67A3" w:rsidRDefault="00EC67A3" w:rsidP="00EC67A3">
      <w:pPr>
        <w:widowControl w:val="0"/>
        <w:autoSpaceDE w:val="0"/>
        <w:autoSpaceDN w:val="0"/>
        <w:adjustRightInd w:val="0"/>
        <w:spacing w:after="120" w:line="480" w:lineRule="auto"/>
        <w:rPr>
          <w:rFonts w:ascii="Times New Roman" w:eastAsia="Times New Roman" w:hAnsi="Times New Roman" w:cs="Times New Roman"/>
          <w:lang w:val="en-US"/>
        </w:rPr>
      </w:pPr>
      <w:r w:rsidRPr="00EC67A3">
        <w:rPr>
          <w:rFonts w:ascii="Times New Roman" w:eastAsia="Times New Roman" w:hAnsi="Times New Roman" w:cs="Times New Roman"/>
          <w:lang w:val="en-US"/>
        </w:rPr>
        <w:t xml:space="preserve">where </w:t>
      </w:r>
      <w:proofErr w:type="spellStart"/>
      <w:r w:rsidRPr="00EC67A3">
        <w:rPr>
          <w:rFonts w:ascii="Times New Roman" w:eastAsia="Times New Roman" w:hAnsi="Times New Roman" w:cs="Times New Roman"/>
          <w:lang w:val="en-US"/>
        </w:rPr>
        <w:t>C</w:t>
      </w:r>
      <w:r w:rsidRPr="00EC67A3">
        <w:rPr>
          <w:rFonts w:ascii="Times New Roman" w:eastAsia="Times New Roman" w:hAnsi="Times New Roman" w:cs="Times New Roman"/>
          <w:vertAlign w:val="subscript"/>
          <w:lang w:val="en-US"/>
        </w:rPr>
        <w:t>input</w:t>
      </w:r>
      <w:proofErr w:type="spellEnd"/>
      <w:r w:rsidRPr="00EC67A3">
        <w:rPr>
          <w:rFonts w:ascii="Times New Roman" w:eastAsia="Times New Roman" w:hAnsi="Times New Roman" w:cs="Times New Roman"/>
          <w:lang w:val="en-US"/>
        </w:rPr>
        <w:t xml:space="preserve"> and </w:t>
      </w:r>
      <w:proofErr w:type="spellStart"/>
      <w:r w:rsidRPr="00EC67A3">
        <w:rPr>
          <w:rFonts w:ascii="Times New Roman" w:eastAsia="Times New Roman" w:hAnsi="Times New Roman" w:cs="Times New Roman"/>
          <w:lang w:val="en-US"/>
        </w:rPr>
        <w:t>C</w:t>
      </w:r>
      <w:r w:rsidRPr="00EC67A3">
        <w:rPr>
          <w:rFonts w:ascii="Times New Roman" w:eastAsia="Times New Roman" w:hAnsi="Times New Roman" w:cs="Times New Roman"/>
          <w:vertAlign w:val="subscript"/>
          <w:lang w:val="en-US"/>
        </w:rPr>
        <w:t>output</w:t>
      </w:r>
      <w:proofErr w:type="spellEnd"/>
      <w:r w:rsidRPr="00EC67A3">
        <w:rPr>
          <w:rFonts w:ascii="Times New Roman" w:eastAsia="Times New Roman" w:hAnsi="Times New Roman" w:cs="Times New Roman"/>
          <w:lang w:val="en-US"/>
        </w:rPr>
        <w:t xml:space="preserve"> represent the corresponding mM concentrations in the </w:t>
      </w:r>
      <w:proofErr w:type="spellStart"/>
      <w:r w:rsidRPr="00EC67A3">
        <w:rPr>
          <w:rFonts w:ascii="Times New Roman" w:eastAsia="Times New Roman" w:hAnsi="Times New Roman" w:cs="Times New Roman"/>
          <w:lang w:val="en-US"/>
        </w:rPr>
        <w:t>surnatant</w:t>
      </w:r>
      <w:proofErr w:type="spellEnd"/>
      <w:r w:rsidRPr="00EC67A3">
        <w:rPr>
          <w:rFonts w:ascii="Times New Roman" w:eastAsia="Times New Roman" w:hAnsi="Times New Roman" w:cs="Times New Roman"/>
          <w:lang w:val="en-US"/>
        </w:rPr>
        <w:t xml:space="preserve"> before and after exposure to the muscle specimen, respectively. Medium glucose concentration was assayed following the reduction of NADP, at 340 nm, using the following solutions: 100 mM Tris-HCl pH 7.4, 2 mM MgCl2, 2 mM ATP, 4 mg HK/G6PD (Sigma-Aldrich). </w:t>
      </w:r>
    </w:p>
    <w:p w14:paraId="453BDF72" w14:textId="77777777" w:rsidR="00EC67A3" w:rsidRPr="00EC67A3" w:rsidRDefault="00EC67A3" w:rsidP="00EC67A3">
      <w:pPr>
        <w:widowControl w:val="0"/>
        <w:autoSpaceDE w:val="0"/>
        <w:autoSpaceDN w:val="0"/>
        <w:adjustRightInd w:val="0"/>
        <w:spacing w:line="480" w:lineRule="auto"/>
        <w:rPr>
          <w:rFonts w:ascii="Times New Roman" w:eastAsia="Times New Roman" w:hAnsi="Times New Roman" w:cs="Times New Roman"/>
          <w:i/>
          <w:iCs/>
          <w:lang w:val="en-US"/>
        </w:rPr>
      </w:pPr>
      <w:r w:rsidRPr="00EC67A3">
        <w:rPr>
          <w:rFonts w:ascii="Times New Roman" w:eastAsia="Times New Roman" w:hAnsi="Times New Roman" w:cs="Times New Roman"/>
          <w:i/>
          <w:iCs/>
          <w:lang w:val="en-US"/>
        </w:rPr>
        <w:t>Sample Preparation for Biochemical Analyses</w:t>
      </w:r>
    </w:p>
    <w:p w14:paraId="24F7FB06" w14:textId="77777777" w:rsidR="00EC67A3" w:rsidRPr="00EC67A3" w:rsidRDefault="00EC67A3" w:rsidP="00EC67A3">
      <w:pPr>
        <w:widowControl w:val="0"/>
        <w:autoSpaceDE w:val="0"/>
        <w:autoSpaceDN w:val="0"/>
        <w:adjustRightInd w:val="0"/>
        <w:spacing w:after="120" w:line="480" w:lineRule="auto"/>
        <w:rPr>
          <w:rFonts w:ascii="Times New Roman" w:eastAsia="Times New Roman" w:hAnsi="Times New Roman" w:cs="Times New Roman"/>
          <w:lang w:val="en-US"/>
        </w:rPr>
      </w:pPr>
      <w:r w:rsidRPr="00EC67A3">
        <w:rPr>
          <w:rFonts w:ascii="Times New Roman" w:eastAsia="Times New Roman" w:hAnsi="Times New Roman" w:cs="Times New Roman"/>
          <w:lang w:val="en-US"/>
        </w:rPr>
        <w:t>Three dedicated quadriceps and three hearts of each group were homogenized with a Potter-</w:t>
      </w:r>
      <w:proofErr w:type="spellStart"/>
      <w:r w:rsidRPr="00EC67A3">
        <w:rPr>
          <w:rFonts w:ascii="Times New Roman" w:eastAsia="Times New Roman" w:hAnsi="Times New Roman" w:cs="Times New Roman"/>
          <w:lang w:val="en-US"/>
        </w:rPr>
        <w:t>Elvehjem</w:t>
      </w:r>
      <w:proofErr w:type="spellEnd"/>
      <w:r w:rsidRPr="00EC67A3">
        <w:rPr>
          <w:rFonts w:ascii="Times New Roman" w:eastAsia="Times New Roman" w:hAnsi="Times New Roman" w:cs="Times New Roman"/>
          <w:lang w:val="en-US"/>
        </w:rPr>
        <w:t xml:space="preserve"> in 1 mL of homogenization buffer (0.25 M sucrose, 0.15 M </w:t>
      </w:r>
      <w:proofErr w:type="spellStart"/>
      <w:r w:rsidRPr="00EC67A3">
        <w:rPr>
          <w:rFonts w:ascii="Times New Roman" w:eastAsia="Times New Roman" w:hAnsi="Times New Roman" w:cs="Times New Roman"/>
          <w:lang w:val="en-US"/>
        </w:rPr>
        <w:t>KCl</w:t>
      </w:r>
      <w:proofErr w:type="spellEnd"/>
      <w:r w:rsidRPr="00EC67A3">
        <w:rPr>
          <w:rFonts w:ascii="Times New Roman" w:eastAsia="Times New Roman" w:hAnsi="Times New Roman" w:cs="Times New Roman"/>
          <w:lang w:val="en-US"/>
        </w:rPr>
        <w:t>, 1 mM EDTA, 10 Mm Tris-HCl pH 7.4). An aliquot of obtained homogenate was immediately frozen at -80°C while</w:t>
      </w:r>
      <w:r w:rsidRPr="00EC67A3">
        <w:rPr>
          <w:rStyle w:val="CommentReference"/>
          <w:rFonts w:ascii="Times New Roman" w:eastAsia="Times New Roman" w:hAnsi="Times New Roman" w:cs="Times New Roman"/>
          <w:lang w:val="en-US"/>
        </w:rPr>
        <w:t xml:space="preserve"> t</w:t>
      </w:r>
      <w:r w:rsidRPr="00EC67A3">
        <w:rPr>
          <w:rFonts w:ascii="Times New Roman" w:eastAsia="Times New Roman" w:hAnsi="Times New Roman" w:cs="Times New Roman"/>
          <w:lang w:val="en-US"/>
        </w:rPr>
        <w:t xml:space="preserve">he remaining sample was immediately used for mitochondria isolation. Briefly, the homogenate was centrifuged at 800 x g for 10 min to precipitate nuclei and cellular debris. The supernatant collected was centrifuged for 15 min at 12,000 x g. The pellet obtained, containing mitochondria, was resuspended in a solution buffer (0.225 M sucrose, 0.075 M mannitol, 10 mM Tris-HCl pH 7.4, 1 mM EDTA), centrifuged for 10 min at 1,000 x g and washed by centrifugation at 12,000 g </w:t>
      </w:r>
      <w:r w:rsidRPr="00EC67A3">
        <w:rPr>
          <w:rFonts w:ascii="Times New Roman" w:eastAsia="Times New Roman" w:hAnsi="Times New Roman" w:cs="Times New Roman"/>
          <w:lang w:val="en-US"/>
        </w:rPr>
        <w:lastRenderedPageBreak/>
        <w:t>for 15 min [21]. Protein concentration was tested by Bradford analysis [22].</w:t>
      </w:r>
    </w:p>
    <w:p w14:paraId="5865CA27" w14:textId="77777777" w:rsidR="00EC67A3" w:rsidRPr="00EC67A3" w:rsidRDefault="00EC67A3" w:rsidP="00EC67A3">
      <w:pPr>
        <w:widowControl w:val="0"/>
        <w:autoSpaceDE w:val="0"/>
        <w:autoSpaceDN w:val="0"/>
        <w:adjustRightInd w:val="0"/>
        <w:spacing w:line="480" w:lineRule="auto"/>
        <w:rPr>
          <w:rFonts w:ascii="Times New Roman" w:eastAsia="Times New Roman" w:hAnsi="Times New Roman" w:cs="Times New Roman"/>
          <w:i/>
          <w:iCs/>
          <w:lang w:val="en-US"/>
        </w:rPr>
      </w:pPr>
      <w:r w:rsidRPr="00EC67A3">
        <w:rPr>
          <w:rFonts w:ascii="Times New Roman" w:eastAsia="Times New Roman" w:hAnsi="Times New Roman" w:cs="Times New Roman"/>
          <w:i/>
          <w:iCs/>
          <w:lang w:val="en-US"/>
        </w:rPr>
        <w:t>Oxygen consumption and ATP synthesis assay in isolated mitochondria</w:t>
      </w:r>
    </w:p>
    <w:p w14:paraId="5409241E" w14:textId="77777777" w:rsidR="00EC67A3" w:rsidRPr="00EC67A3" w:rsidRDefault="00EC67A3" w:rsidP="00EC67A3">
      <w:pPr>
        <w:widowControl w:val="0"/>
        <w:autoSpaceDE w:val="0"/>
        <w:autoSpaceDN w:val="0"/>
        <w:adjustRightInd w:val="0"/>
        <w:spacing w:line="480" w:lineRule="auto"/>
        <w:rPr>
          <w:rFonts w:ascii="Times New Roman" w:eastAsia="Times New Roman" w:hAnsi="Times New Roman" w:cs="Times New Roman"/>
          <w:lang w:val="en-US"/>
        </w:rPr>
      </w:pPr>
      <w:r w:rsidRPr="00EC67A3">
        <w:rPr>
          <w:rFonts w:ascii="Times New Roman" w:eastAsia="Times New Roman" w:hAnsi="Times New Roman" w:cs="Times New Roman"/>
          <w:lang w:val="en-US"/>
        </w:rPr>
        <w:t xml:space="preserve">Oxygen consumption was measured in fresh mitochondria by means of an </w:t>
      </w:r>
      <w:proofErr w:type="spellStart"/>
      <w:r w:rsidRPr="00EC67A3">
        <w:rPr>
          <w:rFonts w:ascii="Times New Roman" w:eastAsia="Times New Roman" w:hAnsi="Times New Roman" w:cs="Times New Roman"/>
          <w:lang w:val="en-US"/>
        </w:rPr>
        <w:t>amperometric</w:t>
      </w:r>
      <w:proofErr w:type="spellEnd"/>
      <w:r w:rsidRPr="00EC67A3">
        <w:rPr>
          <w:rFonts w:ascii="Times New Roman" w:eastAsia="Times New Roman" w:hAnsi="Times New Roman" w:cs="Times New Roman"/>
          <w:lang w:val="en-US"/>
        </w:rPr>
        <w:t xml:space="preserve"> oxygen electrode (</w:t>
      </w:r>
      <w:proofErr w:type="spellStart"/>
      <w:r w:rsidRPr="00EC67A3">
        <w:rPr>
          <w:rFonts w:ascii="Times New Roman" w:eastAsia="Times New Roman" w:hAnsi="Times New Roman" w:cs="Times New Roman"/>
          <w:lang w:val="en-US"/>
        </w:rPr>
        <w:t>Microrespiration</w:t>
      </w:r>
      <w:proofErr w:type="spellEnd"/>
      <w:r w:rsidRPr="00EC67A3">
        <w:rPr>
          <w:rFonts w:ascii="Times New Roman" w:eastAsia="Times New Roman" w:hAnsi="Times New Roman" w:cs="Times New Roman"/>
          <w:lang w:val="en-US"/>
        </w:rPr>
        <w:t xml:space="preserve">, </w:t>
      </w:r>
      <w:proofErr w:type="spellStart"/>
      <w:r w:rsidRPr="00EC67A3">
        <w:rPr>
          <w:rFonts w:ascii="Times New Roman" w:eastAsia="Times New Roman" w:hAnsi="Times New Roman" w:cs="Times New Roman"/>
          <w:lang w:val="en-US"/>
        </w:rPr>
        <w:t>Unisense</w:t>
      </w:r>
      <w:proofErr w:type="spellEnd"/>
      <w:r w:rsidRPr="00EC67A3">
        <w:rPr>
          <w:rFonts w:ascii="Times New Roman" w:eastAsia="Times New Roman" w:hAnsi="Times New Roman" w:cs="Times New Roman"/>
          <w:lang w:val="en-US"/>
        </w:rPr>
        <w:t xml:space="preserve"> A/S, </w:t>
      </w:r>
      <w:proofErr w:type="spellStart"/>
      <w:r w:rsidRPr="00EC67A3">
        <w:rPr>
          <w:rFonts w:ascii="Times New Roman" w:eastAsia="Times New Roman" w:hAnsi="Times New Roman" w:cs="Times New Roman"/>
          <w:lang w:val="en-US"/>
        </w:rPr>
        <w:t>Århus</w:t>
      </w:r>
      <w:proofErr w:type="spellEnd"/>
      <w:r w:rsidRPr="00EC67A3">
        <w:rPr>
          <w:rFonts w:ascii="Times New Roman" w:eastAsia="Times New Roman" w:hAnsi="Times New Roman" w:cs="Times New Roman"/>
          <w:lang w:val="en-US"/>
        </w:rPr>
        <w:t xml:space="preserve">, Denmark) in a closed chamber (volume 1.7 ml) magnetically stirred, at room temperature. For each fresh sample, 25 µg of proteins were incubated in the respiration buffer composed of 120 mM </w:t>
      </w:r>
      <w:proofErr w:type="spellStart"/>
      <w:r w:rsidRPr="00EC67A3">
        <w:rPr>
          <w:rFonts w:ascii="Times New Roman" w:eastAsia="Times New Roman" w:hAnsi="Times New Roman" w:cs="Times New Roman"/>
          <w:lang w:val="en-US"/>
        </w:rPr>
        <w:t>KCl</w:t>
      </w:r>
      <w:proofErr w:type="spellEnd"/>
      <w:r w:rsidRPr="00EC67A3">
        <w:rPr>
          <w:rFonts w:ascii="Times New Roman" w:eastAsia="Times New Roman" w:hAnsi="Times New Roman" w:cs="Times New Roman"/>
          <w:lang w:val="en-US"/>
        </w:rPr>
        <w:t>, 2 mM MgCl</w:t>
      </w:r>
      <w:r w:rsidRPr="00EC67A3">
        <w:rPr>
          <w:rFonts w:ascii="Times New Roman" w:eastAsia="Times New Roman" w:hAnsi="Times New Roman" w:cs="Times New Roman"/>
          <w:vertAlign w:val="subscript"/>
          <w:lang w:val="en-US"/>
        </w:rPr>
        <w:t>2</w:t>
      </w:r>
      <w:r w:rsidRPr="00EC67A3">
        <w:rPr>
          <w:rFonts w:ascii="Times New Roman" w:eastAsia="Times New Roman" w:hAnsi="Times New Roman" w:cs="Times New Roman"/>
          <w:lang w:val="en-US"/>
        </w:rPr>
        <w:t>, 1 mM KH</w:t>
      </w:r>
      <w:r w:rsidRPr="00EC67A3">
        <w:rPr>
          <w:rFonts w:ascii="Times New Roman" w:eastAsia="Times New Roman" w:hAnsi="Times New Roman" w:cs="Times New Roman"/>
          <w:vertAlign w:val="subscript"/>
          <w:lang w:val="en-US"/>
        </w:rPr>
        <w:t>2</w:t>
      </w:r>
      <w:r w:rsidRPr="00EC67A3">
        <w:rPr>
          <w:rFonts w:ascii="Times New Roman" w:eastAsia="Times New Roman" w:hAnsi="Times New Roman" w:cs="Times New Roman"/>
          <w:lang w:val="en-US"/>
        </w:rPr>
        <w:t>PO</w:t>
      </w:r>
      <w:r w:rsidRPr="00EC67A3">
        <w:rPr>
          <w:rFonts w:ascii="Times New Roman" w:eastAsia="Times New Roman" w:hAnsi="Times New Roman" w:cs="Times New Roman"/>
          <w:vertAlign w:val="subscript"/>
          <w:lang w:val="en-US"/>
        </w:rPr>
        <w:t>4</w:t>
      </w:r>
      <w:r w:rsidRPr="00EC67A3">
        <w:rPr>
          <w:rFonts w:ascii="Times New Roman" w:eastAsia="Times New Roman" w:hAnsi="Times New Roman" w:cs="Times New Roman"/>
          <w:lang w:val="en-US"/>
        </w:rPr>
        <w:t xml:space="preserve">, 50 mM Tris HCl, pH 7.4, and 25 </w:t>
      </w:r>
      <w:proofErr w:type="spellStart"/>
      <w:r w:rsidRPr="00EC67A3">
        <w:rPr>
          <w:rFonts w:ascii="Times New Roman" w:eastAsia="Times New Roman" w:hAnsi="Times New Roman" w:cs="Times New Roman"/>
          <w:lang w:val="en-US"/>
        </w:rPr>
        <w:t>μg</w:t>
      </w:r>
      <w:proofErr w:type="spellEnd"/>
      <w:r w:rsidRPr="00EC67A3">
        <w:rPr>
          <w:rFonts w:ascii="Times New Roman" w:eastAsia="Times New Roman" w:hAnsi="Times New Roman" w:cs="Times New Roman"/>
          <w:lang w:val="en-US"/>
        </w:rPr>
        <w:t>/ml ampicillin. The following substrates were used: 5 mM pyruvate + 2.5 mM malate to stimulate complexes I – III – IV [23].</w:t>
      </w:r>
    </w:p>
    <w:p w14:paraId="7DBB6697" w14:textId="77777777" w:rsidR="00EC67A3" w:rsidRPr="00EC67A3" w:rsidRDefault="00EC67A3" w:rsidP="00EC67A3">
      <w:pPr>
        <w:widowControl w:val="0"/>
        <w:autoSpaceDE w:val="0"/>
        <w:autoSpaceDN w:val="0"/>
        <w:adjustRightInd w:val="0"/>
        <w:spacing w:after="120" w:line="480" w:lineRule="auto"/>
        <w:rPr>
          <w:rFonts w:ascii="Times New Roman" w:eastAsia="Times New Roman" w:hAnsi="Times New Roman" w:cs="Times New Roman"/>
          <w:lang w:val="en-US"/>
        </w:rPr>
      </w:pPr>
      <w:r w:rsidRPr="00EC67A3">
        <w:rPr>
          <w:rFonts w:ascii="Times New Roman" w:eastAsia="Times New Roman" w:hAnsi="Times New Roman" w:cs="Times New Roman"/>
          <w:lang w:val="en-US"/>
        </w:rPr>
        <w:t xml:space="preserve">A luciferin/luciferase chemiluminescence method was used to measure ATP synthase in fresh mitochondria. For each sample, 25 µg of proteins were incubated for 10 min at 37° C in a medium that contained: 10 mM Tris/HCl (pH 7.4), 100 mM </w:t>
      </w:r>
      <w:proofErr w:type="spellStart"/>
      <w:r w:rsidRPr="00EC67A3">
        <w:rPr>
          <w:rFonts w:ascii="Times New Roman" w:eastAsia="Times New Roman" w:hAnsi="Times New Roman" w:cs="Times New Roman"/>
          <w:lang w:val="en-US"/>
        </w:rPr>
        <w:t>KCl</w:t>
      </w:r>
      <w:proofErr w:type="spellEnd"/>
      <w:r w:rsidRPr="00EC67A3">
        <w:rPr>
          <w:rFonts w:ascii="Times New Roman" w:eastAsia="Times New Roman" w:hAnsi="Times New Roman" w:cs="Times New Roman"/>
          <w:lang w:val="en-US"/>
        </w:rPr>
        <w:t>, 1 mM EGTA, 2.5 mM EDTA, 5 mM MgCl</w:t>
      </w:r>
      <w:r w:rsidRPr="00EC67A3">
        <w:rPr>
          <w:rFonts w:ascii="Times New Roman" w:eastAsia="Times New Roman" w:hAnsi="Times New Roman" w:cs="Times New Roman"/>
          <w:vertAlign w:val="subscript"/>
          <w:lang w:val="en-US"/>
        </w:rPr>
        <w:t>2</w:t>
      </w:r>
      <w:r w:rsidRPr="00EC67A3">
        <w:rPr>
          <w:rFonts w:ascii="Times New Roman" w:eastAsia="Times New Roman" w:hAnsi="Times New Roman" w:cs="Times New Roman"/>
          <w:lang w:val="en-US"/>
        </w:rPr>
        <w:t>, 5 mM KH</w:t>
      </w:r>
      <w:r w:rsidRPr="00EC67A3">
        <w:rPr>
          <w:rFonts w:ascii="Times New Roman" w:eastAsia="Times New Roman" w:hAnsi="Times New Roman" w:cs="Times New Roman"/>
          <w:vertAlign w:val="subscript"/>
          <w:lang w:val="en-US"/>
        </w:rPr>
        <w:t>2</w:t>
      </w:r>
      <w:r w:rsidRPr="00EC67A3">
        <w:rPr>
          <w:rFonts w:ascii="Times New Roman" w:eastAsia="Times New Roman" w:hAnsi="Times New Roman" w:cs="Times New Roman"/>
          <w:lang w:val="en-US"/>
        </w:rPr>
        <w:t>PO</w:t>
      </w:r>
      <w:r w:rsidRPr="00EC67A3">
        <w:rPr>
          <w:rFonts w:ascii="Times New Roman" w:eastAsia="Times New Roman" w:hAnsi="Times New Roman" w:cs="Times New Roman"/>
          <w:vertAlign w:val="subscript"/>
          <w:lang w:val="en-US"/>
        </w:rPr>
        <w:t>4</w:t>
      </w:r>
      <w:r w:rsidRPr="00EC67A3">
        <w:rPr>
          <w:rFonts w:ascii="Times New Roman" w:eastAsia="Times New Roman" w:hAnsi="Times New Roman" w:cs="Times New Roman"/>
          <w:lang w:val="en-US"/>
        </w:rPr>
        <w:t xml:space="preserve">, 0.6 mM Ouabain, and Ampicillin (25 </w:t>
      </w:r>
      <w:proofErr w:type="spellStart"/>
      <w:r w:rsidRPr="00EC67A3">
        <w:rPr>
          <w:rFonts w:ascii="Times New Roman" w:eastAsia="Times New Roman" w:hAnsi="Times New Roman" w:cs="Times New Roman"/>
          <w:lang w:val="en-US"/>
        </w:rPr>
        <w:t>μg</w:t>
      </w:r>
      <w:proofErr w:type="spellEnd"/>
      <w:r w:rsidRPr="00EC67A3">
        <w:rPr>
          <w:rFonts w:ascii="Times New Roman" w:eastAsia="Times New Roman" w:hAnsi="Times New Roman" w:cs="Times New Roman"/>
          <w:lang w:val="en-US"/>
        </w:rPr>
        <w:t xml:space="preserve">/ml). The same substrates described for the </w:t>
      </w:r>
      <w:proofErr w:type="spellStart"/>
      <w:r w:rsidRPr="00EC67A3">
        <w:rPr>
          <w:rFonts w:ascii="Times New Roman" w:eastAsia="Times New Roman" w:hAnsi="Times New Roman" w:cs="Times New Roman"/>
          <w:lang w:val="en-US"/>
        </w:rPr>
        <w:t>oxymetric</w:t>
      </w:r>
      <w:proofErr w:type="spellEnd"/>
      <w:r w:rsidRPr="00EC67A3">
        <w:rPr>
          <w:rFonts w:ascii="Times New Roman" w:eastAsia="Times New Roman" w:hAnsi="Times New Roman" w:cs="Times New Roman"/>
          <w:lang w:val="en-US"/>
        </w:rPr>
        <w:t xml:space="preserve"> analysis were used. After 10 min of incubation, 0.1 mM ADP was added, to induce ATP synthesis, which was measured by means of a luminometer (</w:t>
      </w:r>
      <w:proofErr w:type="spellStart"/>
      <w:r w:rsidRPr="00EC67A3">
        <w:rPr>
          <w:rFonts w:ascii="Times New Roman" w:eastAsia="Times New Roman" w:hAnsi="Times New Roman" w:cs="Times New Roman"/>
          <w:lang w:val="en-US"/>
        </w:rPr>
        <w:t>Glomax</w:t>
      </w:r>
      <w:proofErr w:type="spellEnd"/>
      <w:r w:rsidRPr="00EC67A3">
        <w:rPr>
          <w:rFonts w:ascii="Times New Roman" w:eastAsia="Times New Roman" w:hAnsi="Times New Roman" w:cs="Times New Roman"/>
          <w:lang w:val="en-US"/>
        </w:rPr>
        <w:t xml:space="preserve"> 20/20 Luminometer, Promega Italia, Milano, Italy). ATP standard solutions in the concentration range 10</w:t>
      </w:r>
      <w:r w:rsidRPr="00EC67A3">
        <w:rPr>
          <w:rFonts w:ascii="Times New Roman" w:eastAsia="Times New Roman" w:hAnsi="Times New Roman" w:cs="Times New Roman"/>
          <w:vertAlign w:val="superscript"/>
          <w:lang w:val="en-US"/>
        </w:rPr>
        <w:t>-9</w:t>
      </w:r>
      <w:r w:rsidRPr="00EC67A3">
        <w:rPr>
          <w:rFonts w:ascii="Times New Roman" w:eastAsia="Times New Roman" w:hAnsi="Times New Roman" w:cs="Times New Roman"/>
          <w:lang w:val="en-US"/>
        </w:rPr>
        <w:t>–10</w:t>
      </w:r>
      <w:r w:rsidRPr="00EC67A3">
        <w:rPr>
          <w:rFonts w:ascii="Times New Roman" w:eastAsia="Times New Roman" w:hAnsi="Times New Roman" w:cs="Times New Roman"/>
          <w:vertAlign w:val="superscript"/>
          <w:lang w:val="en-US"/>
        </w:rPr>
        <w:t>-5</w:t>
      </w:r>
      <w:r w:rsidRPr="00EC67A3">
        <w:rPr>
          <w:rFonts w:ascii="Times New Roman" w:eastAsia="Times New Roman" w:hAnsi="Times New Roman" w:cs="Times New Roman"/>
          <w:lang w:val="en-US"/>
        </w:rPr>
        <w:t xml:space="preserve"> M were used for calibration [24].</w:t>
      </w:r>
    </w:p>
    <w:p w14:paraId="195BAAF0" w14:textId="77777777" w:rsidR="00EC67A3" w:rsidRPr="00EC67A3" w:rsidRDefault="00EC67A3" w:rsidP="00EC67A3">
      <w:pPr>
        <w:widowControl w:val="0"/>
        <w:autoSpaceDE w:val="0"/>
        <w:autoSpaceDN w:val="0"/>
        <w:adjustRightInd w:val="0"/>
        <w:spacing w:line="480" w:lineRule="auto"/>
        <w:rPr>
          <w:rFonts w:ascii="Times New Roman" w:eastAsia="Times New Roman" w:hAnsi="Times New Roman" w:cs="Times New Roman"/>
          <w:i/>
          <w:iCs/>
          <w:lang w:val="en-US"/>
        </w:rPr>
      </w:pPr>
      <w:r w:rsidRPr="00EC67A3">
        <w:rPr>
          <w:rFonts w:ascii="Times New Roman" w:eastAsia="Times New Roman" w:hAnsi="Times New Roman" w:cs="Times New Roman"/>
          <w:i/>
          <w:iCs/>
          <w:lang w:val="en-US"/>
        </w:rPr>
        <w:t>Enzymatic assay</w:t>
      </w:r>
    </w:p>
    <w:p w14:paraId="6CB98B3B" w14:textId="77777777" w:rsidR="00EC67A3" w:rsidRPr="00EC67A3" w:rsidRDefault="00EC67A3" w:rsidP="00EC67A3">
      <w:pPr>
        <w:widowControl w:val="0"/>
        <w:autoSpaceDE w:val="0"/>
        <w:autoSpaceDN w:val="0"/>
        <w:adjustRightInd w:val="0"/>
        <w:spacing w:line="480" w:lineRule="auto"/>
        <w:rPr>
          <w:rFonts w:ascii="Times New Roman" w:eastAsia="Times New Roman" w:hAnsi="Times New Roman" w:cs="Times New Roman"/>
          <w:lang w:val="en-US"/>
        </w:rPr>
      </w:pPr>
      <w:r w:rsidRPr="00EC67A3">
        <w:rPr>
          <w:rFonts w:ascii="Times New Roman" w:eastAsia="Times New Roman" w:hAnsi="Times New Roman" w:cs="Times New Roman"/>
          <w:lang w:val="en-US"/>
        </w:rPr>
        <w:t xml:space="preserve">Enzymatic assays were performed using frozen homogenates of three quadriceps and three hearts of each group. Enzymatic assays were performed in a double beam spectrophotometer (UNICAM UV2, Analytical </w:t>
      </w:r>
      <w:proofErr w:type="spellStart"/>
      <w:r w:rsidRPr="00EC67A3">
        <w:rPr>
          <w:rFonts w:ascii="Times New Roman" w:eastAsia="Times New Roman" w:hAnsi="Times New Roman" w:cs="Times New Roman"/>
          <w:lang w:val="en-US"/>
        </w:rPr>
        <w:t>S.n.c.</w:t>
      </w:r>
      <w:proofErr w:type="spellEnd"/>
      <w:r w:rsidRPr="00EC67A3">
        <w:rPr>
          <w:rFonts w:ascii="Times New Roman" w:eastAsia="Times New Roman" w:hAnsi="Times New Roman" w:cs="Times New Roman"/>
          <w:lang w:val="en-US"/>
        </w:rPr>
        <w:t>, Italy) [10-14].</w:t>
      </w:r>
    </w:p>
    <w:p w14:paraId="251F52AB" w14:textId="77777777" w:rsidR="00EC67A3" w:rsidRPr="00EC67A3" w:rsidRDefault="00EC67A3" w:rsidP="00EC67A3">
      <w:pPr>
        <w:widowControl w:val="0"/>
        <w:autoSpaceDE w:val="0"/>
        <w:autoSpaceDN w:val="0"/>
        <w:adjustRightInd w:val="0"/>
        <w:spacing w:line="480" w:lineRule="auto"/>
        <w:rPr>
          <w:rFonts w:ascii="Times New Roman" w:eastAsia="Times New Roman" w:hAnsi="Times New Roman" w:cs="Times New Roman"/>
          <w:lang w:val="en-US"/>
        </w:rPr>
      </w:pPr>
      <w:r w:rsidRPr="00EC67A3">
        <w:rPr>
          <w:rFonts w:ascii="Times New Roman" w:eastAsia="Times New Roman" w:hAnsi="Times New Roman" w:cs="Times New Roman"/>
          <w:lang w:val="en-US"/>
        </w:rPr>
        <w:t xml:space="preserve">Hexokinase (HK), hexose-6-phostate dehydrogenase (H6PD) and glucose-6-phosphate dehydrogenase (G6PD) activities were assayed following reduction of NADP, at 340 nm. Phosphofructokinase (PFK) activity was assayed following oxidation of NADH, at 340 nm. </w:t>
      </w:r>
    </w:p>
    <w:p w14:paraId="3DB323E4" w14:textId="77777777" w:rsidR="00EC67A3" w:rsidRPr="00EC67A3" w:rsidRDefault="00EC67A3" w:rsidP="00EC67A3">
      <w:pPr>
        <w:widowControl w:val="0"/>
        <w:autoSpaceDE w:val="0"/>
        <w:autoSpaceDN w:val="0"/>
        <w:adjustRightInd w:val="0"/>
        <w:spacing w:line="480" w:lineRule="auto"/>
        <w:rPr>
          <w:rFonts w:ascii="Times New Roman" w:eastAsia="Times New Roman" w:hAnsi="Times New Roman" w:cs="Times New Roman"/>
          <w:lang w:val="en-US"/>
        </w:rPr>
      </w:pPr>
      <w:r w:rsidRPr="00EC67A3">
        <w:rPr>
          <w:rFonts w:ascii="Times New Roman" w:eastAsia="Times New Roman" w:hAnsi="Times New Roman" w:cs="Times New Roman"/>
          <w:lang w:val="en-US"/>
        </w:rPr>
        <w:lastRenderedPageBreak/>
        <w:t>The following assays solutions were used: HK: Tris-HCl-pH 7.4-100 mM (TRIS7.4), MgCl</w:t>
      </w:r>
      <w:r w:rsidRPr="00EC67A3">
        <w:rPr>
          <w:rFonts w:ascii="Times New Roman" w:eastAsia="Times New Roman" w:hAnsi="Times New Roman" w:cs="Times New Roman"/>
          <w:vertAlign w:val="subscript"/>
          <w:lang w:val="en-US"/>
        </w:rPr>
        <w:t>2</w:t>
      </w:r>
      <w:r w:rsidRPr="00EC67A3">
        <w:rPr>
          <w:rFonts w:ascii="Times New Roman" w:eastAsia="Times New Roman" w:hAnsi="Times New Roman" w:cs="Times New Roman"/>
          <w:lang w:val="en-US"/>
        </w:rPr>
        <w:t xml:space="preserve"> 2mM, glucose 200mM, ATP 1mM, NADP 0.5mM, 2 UI G6PD (Sigma-Aldrich); H6PD: TRIS7.4, 2DG6P 10 mM, NADP 0.5 mM; G6PD: TRIS7.4, G6P 10 mM, NADP 0.5 mM; PFK: Tris-HCl pH 8 100 mM, MgCl</w:t>
      </w:r>
      <w:r w:rsidRPr="00EC67A3">
        <w:rPr>
          <w:rFonts w:ascii="Times New Roman" w:eastAsia="Times New Roman" w:hAnsi="Times New Roman" w:cs="Times New Roman"/>
          <w:vertAlign w:val="subscript"/>
          <w:lang w:val="en-US"/>
        </w:rPr>
        <w:t>2</w:t>
      </w:r>
      <w:r w:rsidRPr="00EC67A3">
        <w:rPr>
          <w:rFonts w:ascii="Times New Roman" w:eastAsia="Times New Roman" w:hAnsi="Times New Roman" w:cs="Times New Roman"/>
          <w:lang w:val="en-US"/>
        </w:rPr>
        <w:t xml:space="preserve"> 2 mM, </w:t>
      </w:r>
      <w:proofErr w:type="spellStart"/>
      <w:r w:rsidRPr="00EC67A3">
        <w:rPr>
          <w:rFonts w:ascii="Times New Roman" w:eastAsia="Times New Roman" w:hAnsi="Times New Roman" w:cs="Times New Roman"/>
          <w:lang w:val="en-US"/>
        </w:rPr>
        <w:t>KCl</w:t>
      </w:r>
      <w:proofErr w:type="spellEnd"/>
      <w:r w:rsidRPr="00EC67A3">
        <w:rPr>
          <w:rFonts w:ascii="Times New Roman" w:eastAsia="Times New Roman" w:hAnsi="Times New Roman" w:cs="Times New Roman"/>
          <w:lang w:val="en-US"/>
        </w:rPr>
        <w:t xml:space="preserve"> 5 mM, fruttose-6-phosphate 2 mM, ATP 1 mM, phosphoenolpyruvate (PEP) 0.5 mM, NADH 0.2 mM, 2 IU pyruvate kinase (PK)/ 4IU lactate dehydrogenase (LDH) (Sigma-Aldrich).</w:t>
      </w:r>
    </w:p>
    <w:p w14:paraId="1C74BD65" w14:textId="77777777" w:rsidR="00EC67A3" w:rsidRPr="00EC67A3" w:rsidRDefault="00EC67A3" w:rsidP="00EC67A3">
      <w:pPr>
        <w:widowControl w:val="0"/>
        <w:autoSpaceDE w:val="0"/>
        <w:autoSpaceDN w:val="0"/>
        <w:adjustRightInd w:val="0"/>
        <w:spacing w:line="480" w:lineRule="auto"/>
        <w:rPr>
          <w:rFonts w:ascii="Times New Roman" w:eastAsia="Times New Roman" w:hAnsi="Times New Roman" w:cs="Times New Roman"/>
          <w:lang w:val="en-US"/>
        </w:rPr>
      </w:pPr>
      <w:r w:rsidRPr="00EC67A3">
        <w:rPr>
          <w:rFonts w:ascii="Times New Roman" w:eastAsia="Times New Roman" w:hAnsi="Times New Roman" w:cs="Times New Roman"/>
          <w:lang w:val="en-US"/>
        </w:rPr>
        <w:t xml:space="preserve">Glutathione Reductase (GR) activity and NADPH/NADP ratio were evaluated spectrophotometrically, at 405 and 450 nm respectively, using GR Assay Kit (Abcam: ab83461) and NADP-NADPH Assay Kit (Abcam: ab65349), following the manufacturer’s instructions. </w:t>
      </w:r>
    </w:p>
    <w:p w14:paraId="45927DD2" w14:textId="77777777" w:rsidR="00EC67A3" w:rsidRPr="00EC67A3" w:rsidRDefault="00EC67A3" w:rsidP="00EC67A3">
      <w:pPr>
        <w:widowControl w:val="0"/>
        <w:autoSpaceDE w:val="0"/>
        <w:autoSpaceDN w:val="0"/>
        <w:adjustRightInd w:val="0"/>
        <w:spacing w:after="120" w:line="480" w:lineRule="auto"/>
        <w:rPr>
          <w:rFonts w:ascii="Times New Roman" w:eastAsia="Times New Roman" w:hAnsi="Times New Roman" w:cs="Times New Roman"/>
          <w:lang w:val="en-US"/>
        </w:rPr>
      </w:pPr>
      <w:r w:rsidRPr="00EC67A3">
        <w:rPr>
          <w:rFonts w:ascii="Times New Roman" w:eastAsia="Times New Roman" w:hAnsi="Times New Roman" w:cs="Times New Roman"/>
          <w:lang w:val="en-US"/>
        </w:rPr>
        <w:t xml:space="preserve">To assess lipid peroxidation, malondialdehyde (MDA) levels were evaluated, by the </w:t>
      </w:r>
      <w:proofErr w:type="spellStart"/>
      <w:r w:rsidRPr="00EC67A3">
        <w:rPr>
          <w:rFonts w:ascii="Times New Roman" w:eastAsia="Times New Roman" w:hAnsi="Times New Roman" w:cs="Times New Roman"/>
          <w:lang w:val="en-US"/>
        </w:rPr>
        <w:t>thiobarbituric</w:t>
      </w:r>
      <w:proofErr w:type="spellEnd"/>
      <w:r w:rsidRPr="00EC67A3">
        <w:rPr>
          <w:rFonts w:ascii="Times New Roman" w:eastAsia="Times New Roman" w:hAnsi="Times New Roman" w:cs="Times New Roman"/>
          <w:lang w:val="en-US"/>
        </w:rPr>
        <w:t xml:space="preserve"> acid reactive substances (TBARS) assay, with minor modifications [13, 25]. The activity assay of the Complex I was measured on 50μg of total protein as previously described [10, 12, 26].</w:t>
      </w:r>
    </w:p>
    <w:p w14:paraId="1FF1A8A0" w14:textId="77777777" w:rsidR="00EC67A3" w:rsidRPr="00EC67A3" w:rsidRDefault="00EC67A3" w:rsidP="00EC67A3">
      <w:pPr>
        <w:widowControl w:val="0"/>
        <w:autoSpaceDE w:val="0"/>
        <w:autoSpaceDN w:val="0"/>
        <w:adjustRightInd w:val="0"/>
        <w:spacing w:line="480" w:lineRule="auto"/>
        <w:rPr>
          <w:rFonts w:ascii="Times New Roman" w:eastAsia="Times New Roman" w:hAnsi="Times New Roman" w:cs="Times New Roman"/>
          <w:i/>
          <w:iCs/>
          <w:lang w:val="en-US"/>
        </w:rPr>
      </w:pPr>
      <w:r w:rsidRPr="00EC67A3">
        <w:rPr>
          <w:rFonts w:ascii="Times New Roman" w:eastAsia="Times New Roman" w:hAnsi="Times New Roman" w:cs="Times New Roman"/>
          <w:i/>
          <w:iCs/>
          <w:lang w:val="en-US"/>
        </w:rPr>
        <w:t xml:space="preserve">Western blot analysis </w:t>
      </w:r>
    </w:p>
    <w:p w14:paraId="14DEB29B" w14:textId="77777777" w:rsidR="00EC67A3" w:rsidRPr="00EC67A3" w:rsidRDefault="00EC67A3" w:rsidP="00EC67A3">
      <w:pPr>
        <w:widowControl w:val="0"/>
        <w:autoSpaceDE w:val="0"/>
        <w:autoSpaceDN w:val="0"/>
        <w:adjustRightInd w:val="0"/>
        <w:spacing w:after="120" w:line="480" w:lineRule="auto"/>
        <w:rPr>
          <w:rFonts w:ascii="Times New Roman" w:eastAsia="Times New Roman" w:hAnsi="Times New Roman" w:cs="Times New Roman"/>
          <w:lang w:val="en-US"/>
        </w:rPr>
      </w:pPr>
      <w:r w:rsidRPr="00EC67A3">
        <w:rPr>
          <w:rFonts w:ascii="Times New Roman" w:eastAsia="Times New Roman" w:hAnsi="Times New Roman" w:cs="Times New Roman"/>
          <w:lang w:val="en-US"/>
        </w:rPr>
        <w:t xml:space="preserve">Western blot (WB) experiments were performed according to the standard procedure. Frozen homogenates were prepared from the quadriceps of three mice per group and were sonicated twice for 10 sec in ice, with a break of 30 sec. Denaturing electrophoresis (SDS-PAGE) was performed using Mini PROTEAN TGX Precast gels (Bio Rad). For each sample, 25 µg of total protein were loaded. Run was performed at 4 °C, at 70 mA for each gel, for 30-40 min. Running buffer contained 0.05 M Tris (pH: 8.0), 0.4 M glycine, 1.8 mM EDTA, and 0.1% SDS. </w:t>
      </w:r>
      <w:proofErr w:type="spellStart"/>
      <w:r w:rsidRPr="00EC67A3">
        <w:rPr>
          <w:rFonts w:ascii="Times New Roman" w:eastAsia="Times New Roman" w:hAnsi="Times New Roman" w:cs="Times New Roman"/>
          <w:lang w:val="en-US"/>
        </w:rPr>
        <w:t>Electrophoretically</w:t>
      </w:r>
      <w:proofErr w:type="spellEnd"/>
      <w:r w:rsidRPr="00EC67A3">
        <w:rPr>
          <w:rFonts w:ascii="Times New Roman" w:eastAsia="Times New Roman" w:hAnsi="Times New Roman" w:cs="Times New Roman"/>
          <w:lang w:val="en-US"/>
        </w:rPr>
        <w:t xml:space="preserve"> separated samples were transferred onto nitrocellulose (NC) membranes by electroblotting, at 400 mA for 1 h in Tris– glycine buffer (50 mM Tris and 380 mM glycine) plus 20% (v/v) methanol, at 4 °C. NC membranes were incubated with the specific antibodies diluted </w:t>
      </w:r>
      <w:r w:rsidRPr="00EC67A3">
        <w:rPr>
          <w:rFonts w:ascii="Times New Roman" w:eastAsia="Times New Roman" w:hAnsi="Times New Roman" w:cs="Times New Roman"/>
          <w:lang w:val="en-US"/>
        </w:rPr>
        <w:lastRenderedPageBreak/>
        <w:t>in Tris Buffer Saline + 0.15% tween (TBST). We tested the following antibodies: anti-</w:t>
      </w:r>
      <w:proofErr w:type="spellStart"/>
      <w:r w:rsidRPr="00EC67A3">
        <w:rPr>
          <w:rFonts w:ascii="Times New Roman" w:eastAsia="Times New Roman" w:hAnsi="Times New Roman" w:cs="Times New Roman"/>
          <w:lang w:val="en-US"/>
        </w:rPr>
        <w:t>Mitofusin</w:t>
      </w:r>
      <w:proofErr w:type="spellEnd"/>
      <w:r w:rsidRPr="00EC67A3">
        <w:rPr>
          <w:rFonts w:ascii="Times New Roman" w:eastAsia="Times New Roman" w:hAnsi="Times New Roman" w:cs="Times New Roman"/>
          <w:lang w:val="en-US"/>
        </w:rPr>
        <w:t xml:space="preserve"> 2 (Mfn2, </w:t>
      </w:r>
      <w:proofErr w:type="spellStart"/>
      <w:r w:rsidRPr="00EC67A3">
        <w:rPr>
          <w:rFonts w:ascii="Times New Roman" w:eastAsia="Times New Roman" w:hAnsi="Times New Roman" w:cs="Times New Roman"/>
          <w:lang w:val="en-US"/>
        </w:rPr>
        <w:t>ThermoFisher</w:t>
      </w:r>
      <w:proofErr w:type="spellEnd"/>
      <w:r w:rsidRPr="00EC67A3">
        <w:rPr>
          <w:rFonts w:ascii="Times New Roman" w:eastAsia="Times New Roman" w:hAnsi="Times New Roman" w:cs="Times New Roman"/>
          <w:lang w:val="en-US"/>
        </w:rPr>
        <w:t xml:space="preserve">: PA5 72811, 1:1000), anti- Dynamin-1-like protein (Drp1, </w:t>
      </w:r>
      <w:proofErr w:type="spellStart"/>
      <w:r w:rsidRPr="00EC67A3">
        <w:rPr>
          <w:rFonts w:ascii="Times New Roman" w:eastAsia="Times New Roman" w:hAnsi="Times New Roman" w:cs="Times New Roman"/>
          <w:lang w:val="en-US"/>
        </w:rPr>
        <w:t>ThermoFisher</w:t>
      </w:r>
      <w:proofErr w:type="spellEnd"/>
      <w:r w:rsidRPr="00EC67A3">
        <w:rPr>
          <w:rFonts w:ascii="Times New Roman" w:eastAsia="Times New Roman" w:hAnsi="Times New Roman" w:cs="Times New Roman"/>
          <w:lang w:val="en-US"/>
        </w:rPr>
        <w:t>: PA5 34768, 1:2000), anti-Calnexin (</w:t>
      </w:r>
      <w:proofErr w:type="spellStart"/>
      <w:r w:rsidRPr="00EC67A3">
        <w:rPr>
          <w:rFonts w:ascii="Times New Roman" w:eastAsia="Times New Roman" w:hAnsi="Times New Roman" w:cs="Times New Roman"/>
          <w:lang w:val="en-US"/>
        </w:rPr>
        <w:t>ThermoFisher</w:t>
      </w:r>
      <w:proofErr w:type="spellEnd"/>
      <w:r w:rsidRPr="00EC67A3">
        <w:rPr>
          <w:rFonts w:ascii="Times New Roman" w:eastAsia="Times New Roman" w:hAnsi="Times New Roman" w:cs="Times New Roman"/>
          <w:lang w:val="en-US"/>
        </w:rPr>
        <w:t xml:space="preserve">: MA3-027, 1:500) and anti-GAPDH (Cell Signaling: #5174, 1:1000). After extensive washing with 0.15% TBST, 1 h of incubation with secondary horseradish peroxidase-conjugated Abs were diluted in TBST (1:10,000 for anti-mouse and anti-rabbit antibodies) was performed. </w:t>
      </w:r>
    </w:p>
    <w:p w14:paraId="3E76ABCA" w14:textId="77777777" w:rsidR="00EC67A3" w:rsidRPr="00EC67A3" w:rsidRDefault="00EC67A3" w:rsidP="00EC67A3">
      <w:pPr>
        <w:spacing w:line="480" w:lineRule="auto"/>
        <w:rPr>
          <w:rFonts w:ascii="Times New Roman" w:eastAsia="Times New Roman" w:hAnsi="Times New Roman" w:cs="Times New Roman"/>
          <w:i/>
          <w:iCs/>
          <w:lang w:val="en-US"/>
        </w:rPr>
      </w:pPr>
      <w:r w:rsidRPr="00EC67A3">
        <w:rPr>
          <w:rFonts w:ascii="Times New Roman" w:eastAsia="Times New Roman" w:hAnsi="Times New Roman" w:cs="Times New Roman"/>
          <w:i/>
          <w:iCs/>
          <w:lang w:val="en-US"/>
        </w:rPr>
        <w:t>Bioimaging by confocal microscopy</w:t>
      </w:r>
    </w:p>
    <w:p w14:paraId="69A94929" w14:textId="77777777" w:rsidR="00EC67A3" w:rsidRPr="00EC67A3" w:rsidRDefault="00EC67A3" w:rsidP="00EC67A3">
      <w:pPr>
        <w:spacing w:after="120" w:line="480" w:lineRule="auto"/>
        <w:rPr>
          <w:rFonts w:ascii="Times New Roman" w:eastAsia="Times New Roman" w:hAnsi="Times New Roman" w:cs="Times New Roman"/>
          <w:lang w:val="en-US"/>
        </w:rPr>
      </w:pPr>
      <w:r w:rsidRPr="00EC67A3">
        <w:rPr>
          <w:rFonts w:ascii="Times New Roman" w:eastAsia="Times New Roman" w:hAnsi="Times New Roman" w:cs="Times New Roman"/>
          <w:lang w:val="en-US"/>
        </w:rPr>
        <w:t>The experiments were performed on dedicated fresh skeletal muscle sections from three SOD1</w:t>
      </w:r>
      <w:r w:rsidRPr="00EC67A3">
        <w:rPr>
          <w:rFonts w:ascii="Times New Roman" w:eastAsia="Times New Roman" w:hAnsi="Times New Roman" w:cs="Times New Roman"/>
          <w:vertAlign w:val="superscript"/>
          <w:lang w:val="en-US"/>
        </w:rPr>
        <w:t>G93A</w:t>
      </w:r>
      <w:r w:rsidRPr="00EC67A3">
        <w:rPr>
          <w:rFonts w:ascii="Times New Roman" w:eastAsia="Times New Roman" w:hAnsi="Times New Roman" w:cs="Times New Roman"/>
          <w:lang w:val="en-US"/>
        </w:rPr>
        <w:t xml:space="preserve"> and three control mice, promptly after excision. The sections were gently stretched to reduce thickness without affecting viability of tissue cells (verified by exclusion of the non-permeable dye DAPI in parallel samples) and immediately incubated at 37°C  for 10 minutes with the fluorescent probes 2-[N-(7-nitrobenz-2-oxa-1,3-diazol-4-yl)amino]-2-deoxyglucose (2-NBDG) (50 </w:t>
      </w:r>
      <w:proofErr w:type="spellStart"/>
      <w:r w:rsidRPr="00EC67A3">
        <w:rPr>
          <w:rFonts w:ascii="Times New Roman" w:eastAsia="Times New Roman" w:hAnsi="Times New Roman" w:cs="Times New Roman"/>
          <w:lang w:val="en-US"/>
        </w:rPr>
        <w:t>microM</w:t>
      </w:r>
      <w:proofErr w:type="spellEnd"/>
      <w:r w:rsidRPr="00EC67A3">
        <w:rPr>
          <w:rFonts w:ascii="Times New Roman" w:eastAsia="Times New Roman" w:hAnsi="Times New Roman" w:cs="Times New Roman"/>
          <w:lang w:val="en-US"/>
        </w:rPr>
        <w:t xml:space="preserve"> ) and ER-</w:t>
      </w:r>
      <w:proofErr w:type="spellStart"/>
      <w:r w:rsidRPr="00EC67A3">
        <w:rPr>
          <w:rFonts w:ascii="Times New Roman" w:eastAsia="Times New Roman" w:hAnsi="Times New Roman" w:cs="Times New Roman"/>
          <w:lang w:val="en-US"/>
        </w:rPr>
        <w:t>Tracker</w:t>
      </w:r>
      <w:r w:rsidRPr="00EC67A3">
        <w:rPr>
          <w:rFonts w:ascii="Times New Roman" w:eastAsia="Times New Roman" w:hAnsi="Times New Roman" w:cs="Times New Roman"/>
          <w:vertAlign w:val="superscript"/>
          <w:lang w:val="en-US"/>
        </w:rPr>
        <w:t>TM</w:t>
      </w:r>
      <w:proofErr w:type="spellEnd"/>
      <w:r w:rsidRPr="00EC67A3">
        <w:rPr>
          <w:rFonts w:ascii="Times New Roman" w:eastAsia="Times New Roman" w:hAnsi="Times New Roman" w:cs="Times New Roman"/>
          <w:lang w:val="en-US"/>
        </w:rPr>
        <w:t xml:space="preserve"> Red (1 µM), both from Molecular Probes (</w:t>
      </w:r>
      <w:proofErr w:type="spellStart"/>
      <w:r w:rsidRPr="00EC67A3">
        <w:rPr>
          <w:rFonts w:ascii="Times New Roman" w:eastAsia="Times New Roman" w:hAnsi="Times New Roman" w:cs="Times New Roman"/>
          <w:lang w:val="en-US"/>
        </w:rPr>
        <w:t>InVitrogen</w:t>
      </w:r>
      <w:proofErr w:type="spellEnd"/>
      <w:r w:rsidRPr="00EC67A3">
        <w:rPr>
          <w:rFonts w:ascii="Times New Roman" w:eastAsia="Times New Roman" w:hAnsi="Times New Roman" w:cs="Times New Roman"/>
          <w:lang w:val="en-US"/>
        </w:rPr>
        <w:t xml:space="preserve">, Eugene, OR). Nuclei were stained with the cell-permeable dye Hoechst 33342 (10 µM). Images were obtained using the SP2-AOBS confocal microscope (Leica Microsystems, Mannheim, Germany). </w:t>
      </w:r>
    </w:p>
    <w:p w14:paraId="1E688F80" w14:textId="77777777" w:rsidR="00EC67A3" w:rsidRPr="00EC67A3" w:rsidRDefault="00EC67A3" w:rsidP="00EC67A3">
      <w:pPr>
        <w:widowControl w:val="0"/>
        <w:autoSpaceDE w:val="0"/>
        <w:autoSpaceDN w:val="0"/>
        <w:adjustRightInd w:val="0"/>
        <w:spacing w:line="480" w:lineRule="auto"/>
        <w:rPr>
          <w:rFonts w:ascii="Times New Roman" w:eastAsia="Times New Roman" w:hAnsi="Times New Roman" w:cs="Times New Roman"/>
          <w:i/>
          <w:iCs/>
          <w:lang w:val="en-US"/>
        </w:rPr>
      </w:pPr>
      <w:r w:rsidRPr="00EC67A3">
        <w:rPr>
          <w:rFonts w:ascii="Times New Roman" w:eastAsia="Times New Roman" w:hAnsi="Times New Roman" w:cs="Times New Roman"/>
          <w:i/>
          <w:iCs/>
          <w:lang w:val="en-US"/>
        </w:rPr>
        <w:t>Immunofluorescence and immunohistochemical analysis</w:t>
      </w:r>
    </w:p>
    <w:p w14:paraId="2C55E0AB" w14:textId="77777777" w:rsidR="00EC67A3" w:rsidRPr="00EC67A3" w:rsidRDefault="00EC67A3" w:rsidP="00EC67A3">
      <w:pPr>
        <w:widowControl w:val="0"/>
        <w:autoSpaceDE w:val="0"/>
        <w:autoSpaceDN w:val="0"/>
        <w:adjustRightInd w:val="0"/>
        <w:spacing w:line="480" w:lineRule="auto"/>
        <w:rPr>
          <w:rFonts w:ascii="Times New Roman" w:eastAsia="Times New Roman" w:hAnsi="Times New Roman" w:cs="Times New Roman"/>
          <w:lang w:val="en-US"/>
        </w:rPr>
      </w:pPr>
      <w:r w:rsidRPr="00EC67A3">
        <w:rPr>
          <w:rFonts w:ascii="Times New Roman" w:eastAsia="Times New Roman" w:hAnsi="Times New Roman" w:cs="Times New Roman"/>
          <w:lang w:val="en-US"/>
        </w:rPr>
        <w:t>Soon after sacrifice, 3 half-hearts and 3 quadriceps were harvested from controls and from SOD1</w:t>
      </w:r>
      <w:r w:rsidRPr="00EC67A3">
        <w:rPr>
          <w:rFonts w:ascii="Times New Roman" w:eastAsia="Times New Roman" w:hAnsi="Times New Roman" w:cs="Times New Roman"/>
          <w:vertAlign w:val="superscript"/>
          <w:lang w:val="en-US"/>
        </w:rPr>
        <w:t>G93A</w:t>
      </w:r>
      <w:r w:rsidRPr="00EC67A3">
        <w:rPr>
          <w:rFonts w:ascii="Times New Roman" w:eastAsia="Times New Roman" w:hAnsi="Times New Roman" w:cs="Times New Roman"/>
          <w:lang w:val="en-US"/>
        </w:rPr>
        <w:t xml:space="preserve"> mice, embedded in OCT and snap-frozen in precooled isopentane. Six µm-thick serial cryostat sections were obtained.</w:t>
      </w:r>
    </w:p>
    <w:p w14:paraId="7598B850" w14:textId="77777777" w:rsidR="00EC67A3" w:rsidRPr="00EC67A3" w:rsidRDefault="00EC67A3" w:rsidP="00EC67A3">
      <w:pPr>
        <w:widowControl w:val="0"/>
        <w:autoSpaceDE w:val="0"/>
        <w:autoSpaceDN w:val="0"/>
        <w:adjustRightInd w:val="0"/>
        <w:spacing w:line="480" w:lineRule="auto"/>
        <w:rPr>
          <w:rFonts w:ascii="Times New Roman" w:eastAsia="Times New Roman" w:hAnsi="Times New Roman" w:cs="Times New Roman"/>
          <w:lang w:val="en-US"/>
        </w:rPr>
      </w:pPr>
      <w:r w:rsidRPr="00EC67A3">
        <w:rPr>
          <w:rFonts w:ascii="Times New Roman" w:eastAsia="Times New Roman" w:hAnsi="Times New Roman" w:cs="Times New Roman"/>
          <w:lang w:val="en-US"/>
        </w:rPr>
        <w:t xml:space="preserve">For the immunofluorescence analysis: immediately after cutting the sections were fixed for 10 min in cold acetone, followed by incubation with </w:t>
      </w:r>
      <w:proofErr w:type="spellStart"/>
      <w:r w:rsidRPr="00EC67A3">
        <w:rPr>
          <w:rFonts w:ascii="Times New Roman" w:eastAsia="Times New Roman" w:hAnsi="Times New Roman" w:cs="Times New Roman"/>
          <w:lang w:val="en-US"/>
        </w:rPr>
        <w:t>MitoTracker</w:t>
      </w:r>
      <w:proofErr w:type="spellEnd"/>
      <w:r w:rsidRPr="00EC67A3">
        <w:rPr>
          <w:rFonts w:ascii="Times New Roman" w:eastAsia="Times New Roman" w:hAnsi="Times New Roman" w:cs="Times New Roman"/>
          <w:vertAlign w:val="superscript"/>
          <w:lang w:val="en-US"/>
        </w:rPr>
        <w:t>®</w:t>
      </w:r>
      <w:r w:rsidRPr="00EC67A3">
        <w:rPr>
          <w:rFonts w:ascii="Times New Roman" w:eastAsia="Times New Roman" w:hAnsi="Times New Roman" w:cs="Times New Roman"/>
          <w:lang w:val="en-US"/>
        </w:rPr>
        <w:t xml:space="preserve"> Red (Molecular Probes), at 10 </w:t>
      </w:r>
      <w:proofErr w:type="spellStart"/>
      <w:r w:rsidRPr="00EC67A3">
        <w:rPr>
          <w:rFonts w:ascii="Times New Roman" w:eastAsia="Times New Roman" w:hAnsi="Times New Roman" w:cs="Times New Roman"/>
          <w:lang w:val="en-US"/>
        </w:rPr>
        <w:t>nM</w:t>
      </w:r>
      <w:proofErr w:type="spellEnd"/>
      <w:r w:rsidRPr="00EC67A3">
        <w:rPr>
          <w:rFonts w:ascii="Times New Roman" w:eastAsia="Times New Roman" w:hAnsi="Times New Roman" w:cs="Times New Roman"/>
          <w:lang w:val="en-US"/>
        </w:rPr>
        <w:t xml:space="preserve"> for 20 min at 37°C. For reactive oxygen species (ROS) staining, serial sections from the </w:t>
      </w:r>
      <w:r w:rsidRPr="00EC67A3">
        <w:rPr>
          <w:rFonts w:ascii="Times New Roman" w:eastAsia="Times New Roman" w:hAnsi="Times New Roman" w:cs="Times New Roman"/>
          <w:lang w:val="en-US"/>
        </w:rPr>
        <w:lastRenderedPageBreak/>
        <w:t>same samples were fixed for 10 min in acetone, followed by incubation with 10 µM 2’,7’-dichlorofluorescein diacetate (H</w:t>
      </w:r>
      <w:r w:rsidRPr="00EC67A3">
        <w:rPr>
          <w:rFonts w:ascii="Times New Roman" w:eastAsia="Times New Roman" w:hAnsi="Times New Roman" w:cs="Times New Roman"/>
          <w:vertAlign w:val="subscript"/>
          <w:lang w:val="en-US"/>
        </w:rPr>
        <w:t>2</w:t>
      </w:r>
      <w:r w:rsidRPr="00EC67A3">
        <w:rPr>
          <w:rFonts w:ascii="Times New Roman" w:eastAsia="Times New Roman" w:hAnsi="Times New Roman" w:cs="Times New Roman"/>
          <w:lang w:val="en-US"/>
        </w:rPr>
        <w:t xml:space="preserve">DCFDA; Molecular Probes) for 30 min and a wash in PBS. </w:t>
      </w:r>
    </w:p>
    <w:p w14:paraId="7EE3DE1A" w14:textId="77777777" w:rsidR="00EC67A3" w:rsidRPr="00EC67A3" w:rsidRDefault="00EC67A3" w:rsidP="00EC67A3">
      <w:pPr>
        <w:widowControl w:val="0"/>
        <w:autoSpaceDE w:val="0"/>
        <w:autoSpaceDN w:val="0"/>
        <w:adjustRightInd w:val="0"/>
        <w:spacing w:after="120" w:line="480" w:lineRule="auto"/>
        <w:rPr>
          <w:rFonts w:ascii="Times New Roman" w:eastAsia="Times New Roman" w:hAnsi="Times New Roman" w:cs="Times New Roman"/>
          <w:lang w:val="en-US"/>
        </w:rPr>
      </w:pPr>
      <w:r w:rsidRPr="00EC67A3">
        <w:rPr>
          <w:rFonts w:ascii="Times New Roman" w:eastAsia="Times New Roman" w:hAnsi="Times New Roman" w:cs="Times New Roman"/>
          <w:lang w:val="en-US"/>
        </w:rPr>
        <w:t>For immunohistochemical staining of skeletal muscles infiltrated macrophages the following antibodies were used: rat anti-mouse CD206 (</w:t>
      </w:r>
      <w:proofErr w:type="spellStart"/>
      <w:r w:rsidRPr="00EC67A3">
        <w:rPr>
          <w:rFonts w:ascii="Times New Roman" w:eastAsia="Times New Roman" w:hAnsi="Times New Roman" w:cs="Times New Roman"/>
          <w:lang w:val="en-US"/>
        </w:rPr>
        <w:t>AbD</w:t>
      </w:r>
      <w:proofErr w:type="spellEnd"/>
      <w:r w:rsidRPr="00EC67A3">
        <w:rPr>
          <w:rFonts w:ascii="Times New Roman" w:eastAsia="Times New Roman" w:hAnsi="Times New Roman" w:cs="Times New Roman"/>
          <w:lang w:val="en-US"/>
        </w:rPr>
        <w:t xml:space="preserve"> </w:t>
      </w:r>
      <w:proofErr w:type="spellStart"/>
      <w:r w:rsidRPr="00EC67A3">
        <w:rPr>
          <w:rFonts w:ascii="Times New Roman" w:eastAsia="Times New Roman" w:hAnsi="Times New Roman" w:cs="Times New Roman"/>
          <w:lang w:val="en-US"/>
        </w:rPr>
        <w:t>Serotec</w:t>
      </w:r>
      <w:proofErr w:type="spellEnd"/>
      <w:r w:rsidRPr="00EC67A3">
        <w:rPr>
          <w:rFonts w:ascii="Times New Roman" w:eastAsia="Times New Roman" w:hAnsi="Times New Roman" w:cs="Times New Roman"/>
          <w:lang w:val="en-US"/>
        </w:rPr>
        <w:t>, 1:200, 5</w:t>
      </w:r>
      <w:r w:rsidRPr="00EC67A3">
        <w:rPr>
          <w:rFonts w:ascii="Times New Roman" w:eastAsia="Times New Roman" w:hAnsi="Times New Roman" w:cs="Times New Roman"/>
          <w:lang w:val="en-US"/>
        </w:rPr>
        <w:sym w:font="Symbol" w:char="F06D"/>
      </w:r>
      <w:r w:rsidRPr="00EC67A3">
        <w:rPr>
          <w:rFonts w:ascii="Times New Roman" w:eastAsia="Times New Roman" w:hAnsi="Times New Roman" w:cs="Times New Roman"/>
          <w:lang w:val="en-US"/>
        </w:rPr>
        <w:t>g/ml) to detect macrophages M2; rat anti-mouse CD86 clone PO.3 (Millipore, 1:100, 5</w:t>
      </w:r>
      <w:r w:rsidRPr="00EC67A3">
        <w:rPr>
          <w:rFonts w:ascii="Times New Roman" w:eastAsia="Times New Roman" w:hAnsi="Times New Roman" w:cs="Times New Roman"/>
          <w:lang w:val="en-US"/>
        </w:rPr>
        <w:sym w:font="Symbol" w:char="F06D"/>
      </w:r>
      <w:r w:rsidRPr="00EC67A3">
        <w:rPr>
          <w:rFonts w:ascii="Times New Roman" w:eastAsia="Times New Roman" w:hAnsi="Times New Roman" w:cs="Times New Roman"/>
          <w:lang w:val="en-US"/>
        </w:rPr>
        <w:t>g/ml) to detect macrophages M1; rat anti-mouse CD11b (Novus Biologicals, 1:200, 5</w:t>
      </w:r>
      <w:r w:rsidRPr="00EC67A3">
        <w:rPr>
          <w:rFonts w:ascii="Times New Roman" w:eastAsia="Times New Roman" w:hAnsi="Times New Roman" w:cs="Times New Roman"/>
          <w:lang w:val="en-US"/>
        </w:rPr>
        <w:sym w:font="Symbol" w:char="F06D"/>
      </w:r>
      <w:r w:rsidRPr="00EC67A3">
        <w:rPr>
          <w:rFonts w:ascii="Times New Roman" w:eastAsia="Times New Roman" w:hAnsi="Times New Roman" w:cs="Times New Roman"/>
          <w:lang w:val="en-US"/>
        </w:rPr>
        <w:t xml:space="preserve">g/ml). </w:t>
      </w:r>
    </w:p>
    <w:p w14:paraId="06CC9431" w14:textId="77777777" w:rsidR="00EC67A3" w:rsidRPr="00EC67A3" w:rsidRDefault="00EC67A3" w:rsidP="00EC67A3">
      <w:pPr>
        <w:spacing w:line="480" w:lineRule="auto"/>
        <w:rPr>
          <w:rFonts w:ascii="Times New Roman" w:eastAsia="Times New Roman" w:hAnsi="Times New Roman" w:cs="Times New Roman"/>
          <w:i/>
          <w:iCs/>
          <w:lang w:val="en-US"/>
        </w:rPr>
      </w:pPr>
      <w:r w:rsidRPr="00EC67A3">
        <w:rPr>
          <w:rFonts w:ascii="Times New Roman" w:eastAsia="Times New Roman" w:hAnsi="Times New Roman" w:cs="Times New Roman"/>
          <w:i/>
          <w:iCs/>
          <w:lang w:val="en-US"/>
        </w:rPr>
        <w:t xml:space="preserve">Ultrastructural analysis  </w:t>
      </w:r>
    </w:p>
    <w:p w14:paraId="715DE24E" w14:textId="77777777" w:rsidR="00EC67A3" w:rsidRPr="00EC67A3" w:rsidRDefault="00EC67A3" w:rsidP="00EC67A3">
      <w:pPr>
        <w:spacing w:after="120" w:line="480" w:lineRule="auto"/>
        <w:rPr>
          <w:rFonts w:ascii="Times New Roman" w:eastAsia="Times New Roman" w:hAnsi="Times New Roman" w:cs="Times New Roman"/>
          <w:lang w:val="en-US"/>
        </w:rPr>
      </w:pPr>
      <w:r w:rsidRPr="00EC67A3">
        <w:rPr>
          <w:rFonts w:ascii="Times New Roman" w:eastAsia="Times New Roman" w:hAnsi="Times New Roman" w:cs="Times New Roman"/>
          <w:lang w:val="en-US"/>
        </w:rPr>
        <w:t xml:space="preserve">Three quadriceps and three hearts per group were dissected and fixed in 0.1M cacodylate buffer containing 2.5% glutaraldehyde (Electron Microscopy Science, Hatfield, PA, USA), for 2 h at room temperature. Samples were post fixed in osmium tetroxide for 2 h and 1% uranyl acetate for 2 h. Samples were next dehydrated through a graded ethanol series and propylene oxide and embedded in epoxy resin (Poly-Bed; </w:t>
      </w:r>
      <w:proofErr w:type="spellStart"/>
      <w:r w:rsidRPr="00EC67A3">
        <w:rPr>
          <w:rFonts w:ascii="Times New Roman" w:eastAsia="Times New Roman" w:hAnsi="Times New Roman" w:cs="Times New Roman"/>
          <w:lang w:val="en-US"/>
        </w:rPr>
        <w:t>Polysciences</w:t>
      </w:r>
      <w:proofErr w:type="spellEnd"/>
      <w:r w:rsidRPr="00EC67A3">
        <w:rPr>
          <w:rFonts w:ascii="Times New Roman" w:eastAsia="Times New Roman" w:hAnsi="Times New Roman" w:cs="Times New Roman"/>
          <w:lang w:val="en-US"/>
        </w:rPr>
        <w:t xml:space="preserve">, Inc., Warrington, PA, USA) overnight at 42°C and 2 days at 60°C. Ultrathin sections (50 nm) were counterstained with 5% uranyl acetate and lead citrate and observed with transmission electron microscope (TEM) HT7880, Hitachi, Japan. </w:t>
      </w:r>
    </w:p>
    <w:p w14:paraId="39BFC79E" w14:textId="77777777" w:rsidR="00EC67A3" w:rsidRPr="00EC67A3" w:rsidRDefault="00EC67A3" w:rsidP="00EC67A3">
      <w:pPr>
        <w:spacing w:line="480" w:lineRule="auto"/>
        <w:rPr>
          <w:rFonts w:ascii="Times New Roman" w:eastAsia="Times New Roman" w:hAnsi="Times New Roman" w:cs="Times New Roman"/>
          <w:i/>
          <w:iCs/>
          <w:lang w:val="en-US"/>
        </w:rPr>
      </w:pPr>
      <w:r w:rsidRPr="00EC67A3">
        <w:rPr>
          <w:rFonts w:ascii="Times New Roman" w:eastAsia="Times New Roman" w:hAnsi="Times New Roman" w:cs="Times New Roman"/>
          <w:i/>
          <w:iCs/>
          <w:lang w:val="en-US"/>
        </w:rPr>
        <w:t>Image analysis</w:t>
      </w:r>
    </w:p>
    <w:p w14:paraId="0D59C6DA" w14:textId="77777777" w:rsidR="00EC67A3" w:rsidRPr="00EC67A3" w:rsidRDefault="00EC67A3" w:rsidP="00EC67A3">
      <w:pPr>
        <w:widowControl w:val="0"/>
        <w:autoSpaceDE w:val="0"/>
        <w:autoSpaceDN w:val="0"/>
        <w:adjustRightInd w:val="0"/>
        <w:spacing w:line="480" w:lineRule="auto"/>
        <w:rPr>
          <w:rFonts w:ascii="Times New Roman" w:eastAsia="Times New Roman" w:hAnsi="Times New Roman" w:cs="Times New Roman"/>
          <w:lang w:val="en-US"/>
        </w:rPr>
      </w:pPr>
      <w:r w:rsidRPr="00EC67A3">
        <w:rPr>
          <w:rFonts w:ascii="Times New Roman" w:eastAsia="Times New Roman" w:hAnsi="Times New Roman" w:cs="Times New Roman"/>
          <w:lang w:val="en-US"/>
        </w:rPr>
        <w:t>Micro-PET images were reconstructed using a Maximum-Likelihood Expectation-Maximization (MLEM) algorithm and were qualitatively inspected. Images were analyzed using the routine of a commercial software (PMOD, Zurich, CH). Two nuclear medicine physicians, unaware of model nature (transgenic or wildtype), drew volumes of interest (VOIs) on the left and right hindlimb skeletal muscles and on the metabolically active left ventricular myocardium to measure the mean standardized uptake value (SUV) according to the formula:</w:t>
      </w:r>
    </w:p>
    <w:p w14:paraId="482E537D" w14:textId="77777777" w:rsidR="00EC67A3" w:rsidRPr="00EC67A3" w:rsidRDefault="00EC67A3" w:rsidP="00EC67A3">
      <w:pPr>
        <w:widowControl w:val="0"/>
        <w:autoSpaceDE w:val="0"/>
        <w:autoSpaceDN w:val="0"/>
        <w:adjustRightInd w:val="0"/>
        <w:spacing w:line="480" w:lineRule="auto"/>
        <w:rPr>
          <w:rFonts w:ascii="Times New Roman" w:eastAsia="Times New Roman" w:hAnsi="Times New Roman" w:cs="Times New Roman"/>
          <w:lang w:val="en-US"/>
        </w:rPr>
      </w:pPr>
      <m:oMathPara>
        <m:oMathParaPr>
          <m:jc m:val="left"/>
        </m:oMathParaPr>
        <m:oMath>
          <m:r>
            <w:rPr>
              <w:rFonts w:ascii="Cambria Math" w:hAnsi="Cambria Math" w:cs="Times New Roman"/>
              <w:lang w:val="en-US"/>
            </w:rPr>
            <w:lastRenderedPageBreak/>
            <m:t>SUV=</m:t>
          </m:r>
          <m:f>
            <m:fPr>
              <m:ctrlPr>
                <w:rPr>
                  <w:rFonts w:ascii="Cambria Math" w:hAnsi="Cambria Math" w:cs="Times New Roman"/>
                  <w:i/>
                  <w:lang w:val="en-US"/>
                </w:rPr>
              </m:ctrlPr>
            </m:fPr>
            <m:num>
              <m:d>
                <m:dPr>
                  <m:begChr m:val="["/>
                  <m:endChr m:val="]"/>
                  <m:ctrlPr>
                    <w:rPr>
                      <w:rFonts w:ascii="Cambria Math" w:hAnsi="Cambria Math" w:cs="Times New Roman"/>
                      <w:i/>
                      <w:lang w:val="en-US"/>
                    </w:rPr>
                  </m:ctrlPr>
                </m:dPr>
                <m:e>
                  <m:r>
                    <w:rPr>
                      <w:rFonts w:ascii="Cambria Math" w:hAnsi="Cambria Math" w:cs="Times New Roman"/>
                      <w:lang w:val="en-US"/>
                    </w:rPr>
                    <m:t>FDG</m:t>
                  </m:r>
                </m:e>
              </m:d>
              <m:r>
                <w:rPr>
                  <w:rFonts w:ascii="Cambria Math" w:hAnsi="Cambria Math" w:cs="Times New Roman"/>
                  <w:lang w:val="en-US"/>
                </w:rPr>
                <m:t>× body weight</m:t>
              </m:r>
            </m:num>
            <m:den>
              <m:r>
                <w:rPr>
                  <w:rFonts w:ascii="Cambria Math" w:hAnsi="Cambria Math" w:cs="Times New Roman"/>
                  <w:lang w:val="en-US"/>
                </w:rPr>
                <m:t>Injected activity</m:t>
              </m:r>
            </m:den>
          </m:f>
        </m:oMath>
      </m:oMathPara>
    </w:p>
    <w:p w14:paraId="3445C863" w14:textId="77777777" w:rsidR="00EC67A3" w:rsidRPr="00EC67A3" w:rsidRDefault="00EC67A3" w:rsidP="00EC67A3">
      <w:pPr>
        <w:widowControl w:val="0"/>
        <w:autoSpaceDE w:val="0"/>
        <w:autoSpaceDN w:val="0"/>
        <w:adjustRightInd w:val="0"/>
        <w:spacing w:line="480" w:lineRule="auto"/>
        <w:rPr>
          <w:rFonts w:ascii="Times New Roman" w:eastAsia="Times New Roman" w:hAnsi="Times New Roman" w:cs="Times New Roman"/>
          <w:lang w:val="en-US"/>
        </w:rPr>
      </w:pPr>
      <w:r w:rsidRPr="00EC67A3">
        <w:rPr>
          <w:rFonts w:ascii="Times New Roman" w:eastAsia="Times New Roman" w:hAnsi="Times New Roman" w:cs="Times New Roman"/>
          <w:lang w:val="en-US"/>
        </w:rPr>
        <w:t xml:space="preserve">Where [FDG] indicates average FDG concentration in </w:t>
      </w:r>
      <w:proofErr w:type="spellStart"/>
      <w:r w:rsidRPr="00EC67A3">
        <w:rPr>
          <w:rFonts w:ascii="Times New Roman" w:eastAsia="Times New Roman" w:hAnsi="Times New Roman" w:cs="Times New Roman"/>
          <w:lang w:val="en-US"/>
        </w:rPr>
        <w:t>kBq</w:t>
      </w:r>
      <w:proofErr w:type="spellEnd"/>
      <w:r w:rsidRPr="00EC67A3">
        <w:rPr>
          <w:rFonts w:ascii="Times New Roman" w:eastAsia="Times New Roman" w:hAnsi="Times New Roman" w:cs="Times New Roman"/>
          <w:lang w:val="en-US"/>
        </w:rPr>
        <w:t>/ml within any given VOI, body weight is expressed in kilograms and injected activity in MBq. Skeletal muscle and myocardial FDG concentration were divided by the corresponding value in the blood pool to obtain the SUV ratio (</w:t>
      </w:r>
      <w:proofErr w:type="spellStart"/>
      <w:r w:rsidRPr="00EC67A3">
        <w:rPr>
          <w:rFonts w:ascii="Times New Roman" w:eastAsia="Times New Roman" w:hAnsi="Times New Roman" w:cs="Times New Roman"/>
          <w:lang w:val="en-US"/>
        </w:rPr>
        <w:t>SUVr</w:t>
      </w:r>
      <w:proofErr w:type="spellEnd"/>
      <w:r w:rsidRPr="00EC67A3">
        <w:rPr>
          <w:rFonts w:ascii="Times New Roman" w:eastAsia="Times New Roman" w:hAnsi="Times New Roman" w:cs="Times New Roman"/>
          <w:lang w:val="en-US"/>
        </w:rPr>
        <w:t>). For WB analysis, the signal was acquired with Alliance 6.7 WL 20M (UVITEC, Cambridge, UK), and UV1D software (UVITEC). Densitometry analysis was performed using the dedicated routine of ImageJ software (ImageJ Version 2.0.0-rc-65/1.51s). For colocalization analysis, six randomly selected fields were analyzed in three independent samples harvested from either SOD1</w:t>
      </w:r>
      <w:r w:rsidRPr="00EC67A3">
        <w:rPr>
          <w:rFonts w:ascii="Times New Roman" w:eastAsia="Times New Roman" w:hAnsi="Times New Roman" w:cs="Times New Roman"/>
          <w:vertAlign w:val="superscript"/>
          <w:lang w:val="en-US"/>
        </w:rPr>
        <w:t>G93A</w:t>
      </w:r>
      <w:r w:rsidRPr="00EC67A3">
        <w:rPr>
          <w:rFonts w:ascii="Times New Roman" w:eastAsia="Times New Roman" w:hAnsi="Times New Roman" w:cs="Times New Roman"/>
          <w:lang w:val="en-US"/>
        </w:rPr>
        <w:t xml:space="preserve"> </w:t>
      </w:r>
      <w:proofErr w:type="gramStart"/>
      <w:r w:rsidRPr="00EC67A3">
        <w:rPr>
          <w:rFonts w:ascii="Times New Roman" w:eastAsia="Times New Roman" w:hAnsi="Times New Roman" w:cs="Times New Roman"/>
          <w:lang w:val="en-US"/>
        </w:rPr>
        <w:t>and</w:t>
      </w:r>
      <w:proofErr w:type="gramEnd"/>
      <w:r w:rsidRPr="00EC67A3">
        <w:rPr>
          <w:rFonts w:ascii="Times New Roman" w:eastAsia="Times New Roman" w:hAnsi="Times New Roman" w:cs="Times New Roman"/>
          <w:lang w:val="en-US"/>
        </w:rPr>
        <w:t xml:space="preserve"> control mice. Original unadjusted and uncorrected images were processed using ImageJ software for the evaluation of colocalization, which was expressed as the percentage of above-background pixels in 2-NBDG images that overlapped above-background pixels in ER images, with background threshold set by the </w:t>
      </w:r>
      <w:proofErr w:type="spellStart"/>
      <w:r w:rsidRPr="00EC67A3">
        <w:rPr>
          <w:rFonts w:ascii="Times New Roman" w:eastAsia="Times New Roman" w:hAnsi="Times New Roman" w:cs="Times New Roman"/>
          <w:lang w:val="en-US"/>
        </w:rPr>
        <w:t>Costes</w:t>
      </w:r>
      <w:proofErr w:type="spellEnd"/>
      <w:r w:rsidRPr="00EC67A3">
        <w:rPr>
          <w:rFonts w:ascii="Times New Roman" w:eastAsia="Times New Roman" w:hAnsi="Times New Roman" w:cs="Times New Roman"/>
          <w:lang w:val="en-US"/>
        </w:rPr>
        <w:t xml:space="preserve">’ method [27]. </w:t>
      </w:r>
    </w:p>
    <w:p w14:paraId="74255FF8" w14:textId="77777777" w:rsidR="00EC67A3" w:rsidRPr="00EC67A3" w:rsidRDefault="00EC67A3" w:rsidP="00EC67A3">
      <w:pPr>
        <w:widowControl w:val="0"/>
        <w:autoSpaceDE w:val="0"/>
        <w:autoSpaceDN w:val="0"/>
        <w:adjustRightInd w:val="0"/>
        <w:spacing w:line="480" w:lineRule="auto"/>
        <w:rPr>
          <w:rFonts w:ascii="Times New Roman" w:eastAsia="Times New Roman" w:hAnsi="Times New Roman" w:cs="Times New Roman"/>
          <w:lang w:val="en-US"/>
        </w:rPr>
      </w:pPr>
      <w:r w:rsidRPr="00EC67A3">
        <w:rPr>
          <w:rFonts w:ascii="Times New Roman" w:eastAsia="Times New Roman" w:hAnsi="Times New Roman" w:cs="Times New Roman"/>
          <w:lang w:val="en-US"/>
        </w:rPr>
        <w:t xml:space="preserve">For immunofluorescence analysis, images were acquired by the </w:t>
      </w:r>
      <w:proofErr w:type="spellStart"/>
      <w:r w:rsidRPr="00EC67A3">
        <w:rPr>
          <w:rFonts w:ascii="Times New Roman" w:eastAsia="Times New Roman" w:hAnsi="Times New Roman" w:cs="Times New Roman"/>
          <w:lang w:val="en-US"/>
        </w:rPr>
        <w:t>Fluoview</w:t>
      </w:r>
      <w:proofErr w:type="spellEnd"/>
      <w:r w:rsidRPr="00EC67A3">
        <w:rPr>
          <w:rFonts w:ascii="Times New Roman" w:eastAsia="Times New Roman" w:hAnsi="Times New Roman" w:cs="Times New Roman"/>
          <w:lang w:val="en-US"/>
        </w:rPr>
        <w:t xml:space="preserve"> FV500 software and the fluorescence was quantified using the same ImageJ software. Immunohistochemical images were acquired with Leica DM RX microscopy and were analyzed using Scion Image software [28].</w:t>
      </w:r>
    </w:p>
    <w:p w14:paraId="58DF9D69" w14:textId="77777777" w:rsidR="00EC67A3" w:rsidRPr="00EC67A3" w:rsidRDefault="00EC67A3" w:rsidP="00EC67A3">
      <w:pPr>
        <w:widowControl w:val="0"/>
        <w:autoSpaceDE w:val="0"/>
        <w:autoSpaceDN w:val="0"/>
        <w:adjustRightInd w:val="0"/>
        <w:spacing w:after="120" w:line="480" w:lineRule="auto"/>
        <w:rPr>
          <w:rFonts w:ascii="Times New Roman" w:eastAsia="Times New Roman" w:hAnsi="Times New Roman" w:cs="Times New Roman"/>
          <w:lang w:val="en-US"/>
        </w:rPr>
      </w:pPr>
      <w:r w:rsidRPr="00EC67A3">
        <w:rPr>
          <w:rFonts w:ascii="Times New Roman" w:eastAsia="Times New Roman" w:hAnsi="Times New Roman" w:cs="Times New Roman"/>
          <w:lang w:val="en-US"/>
        </w:rPr>
        <w:t xml:space="preserve">Finally, for ultrastructural analysis, digital images were acquired with </w:t>
      </w:r>
      <w:proofErr w:type="spellStart"/>
      <w:r w:rsidRPr="00EC67A3">
        <w:rPr>
          <w:rFonts w:ascii="Times New Roman" w:eastAsia="Times New Roman" w:hAnsi="Times New Roman" w:cs="Times New Roman"/>
          <w:lang w:val="en-US"/>
        </w:rPr>
        <w:t>Megaview</w:t>
      </w:r>
      <w:proofErr w:type="spellEnd"/>
      <w:r w:rsidRPr="00EC67A3">
        <w:rPr>
          <w:rFonts w:ascii="Times New Roman" w:eastAsia="Times New Roman" w:hAnsi="Times New Roman" w:cs="Times New Roman"/>
          <w:lang w:val="en-US"/>
        </w:rPr>
        <w:t xml:space="preserve"> 3 camera (EMSIS GmbH, Germany).</w:t>
      </w:r>
    </w:p>
    <w:p w14:paraId="15A6A9C7" w14:textId="77777777" w:rsidR="00EC67A3" w:rsidRPr="00EC67A3" w:rsidRDefault="00EC67A3" w:rsidP="00EC67A3">
      <w:pPr>
        <w:widowControl w:val="0"/>
        <w:autoSpaceDE w:val="0"/>
        <w:autoSpaceDN w:val="0"/>
        <w:adjustRightInd w:val="0"/>
        <w:spacing w:line="480" w:lineRule="auto"/>
        <w:rPr>
          <w:rFonts w:ascii="Times New Roman" w:eastAsia="Times New Roman" w:hAnsi="Times New Roman" w:cs="Times New Roman"/>
          <w:i/>
          <w:iCs/>
          <w:lang w:val="en-US"/>
        </w:rPr>
      </w:pPr>
      <w:r w:rsidRPr="00EC67A3">
        <w:rPr>
          <w:rFonts w:ascii="Times New Roman" w:eastAsia="Times New Roman" w:hAnsi="Times New Roman" w:cs="Times New Roman"/>
          <w:i/>
          <w:iCs/>
          <w:lang w:val="en-US"/>
        </w:rPr>
        <w:t xml:space="preserve">Statistical analysis </w:t>
      </w:r>
    </w:p>
    <w:p w14:paraId="35CBE899" w14:textId="77777777" w:rsidR="00EC67A3" w:rsidRPr="00EC67A3" w:rsidRDefault="00EC67A3" w:rsidP="00EC67A3">
      <w:pPr>
        <w:widowControl w:val="0"/>
        <w:autoSpaceDE w:val="0"/>
        <w:autoSpaceDN w:val="0"/>
        <w:adjustRightInd w:val="0"/>
        <w:spacing w:line="480" w:lineRule="auto"/>
        <w:rPr>
          <w:rFonts w:ascii="Times New Roman" w:eastAsia="Times New Roman" w:hAnsi="Times New Roman" w:cs="Times New Roman"/>
          <w:lang w:val="en-US"/>
        </w:rPr>
      </w:pPr>
      <w:r w:rsidRPr="00EC67A3">
        <w:rPr>
          <w:rFonts w:ascii="Times New Roman" w:eastAsia="Times New Roman" w:hAnsi="Times New Roman" w:cs="Times New Roman"/>
          <w:lang w:val="en-US"/>
        </w:rPr>
        <w:t xml:space="preserve">Data are presented as mean ± standard deviation. Two-tailed student </w:t>
      </w:r>
      <w:r w:rsidRPr="00EC67A3">
        <w:rPr>
          <w:rFonts w:ascii="Times New Roman" w:eastAsia="Times New Roman" w:hAnsi="Times New Roman" w:cs="Times New Roman"/>
          <w:i/>
          <w:lang w:val="en-US"/>
        </w:rPr>
        <w:t>t</w:t>
      </w:r>
      <w:r w:rsidRPr="00EC67A3">
        <w:rPr>
          <w:rFonts w:ascii="Times New Roman" w:eastAsia="Times New Roman" w:hAnsi="Times New Roman" w:cs="Times New Roman"/>
          <w:lang w:val="en-US"/>
        </w:rPr>
        <w:t xml:space="preserve"> test for unpaired data, was used. </w:t>
      </w:r>
      <w:proofErr w:type="spellStart"/>
      <w:r w:rsidRPr="00EC67A3">
        <w:rPr>
          <w:rFonts w:ascii="Times New Roman" w:eastAsia="Times New Roman" w:hAnsi="Times New Roman" w:cs="Times New Roman"/>
          <w:lang w:val="en-US"/>
        </w:rPr>
        <w:t>Levene’s</w:t>
      </w:r>
      <w:proofErr w:type="spellEnd"/>
      <w:r w:rsidRPr="00EC67A3">
        <w:rPr>
          <w:rFonts w:ascii="Times New Roman" w:eastAsia="Times New Roman" w:hAnsi="Times New Roman" w:cs="Times New Roman"/>
          <w:lang w:val="en-US"/>
        </w:rPr>
        <w:t xml:space="preserve"> test for equality of variances was used to test the homogeneity of variances of the two groups. When homogeneity </w:t>
      </w:r>
      <w:proofErr w:type="gramStart"/>
      <w:r w:rsidRPr="00EC67A3">
        <w:rPr>
          <w:rFonts w:ascii="Times New Roman" w:eastAsia="Times New Roman" w:hAnsi="Times New Roman" w:cs="Times New Roman"/>
          <w:lang w:val="en-US"/>
        </w:rPr>
        <w:t>wasn’t</w:t>
      </w:r>
      <w:proofErr w:type="gramEnd"/>
      <w:r w:rsidRPr="00EC67A3">
        <w:rPr>
          <w:rFonts w:ascii="Times New Roman" w:eastAsia="Times New Roman" w:hAnsi="Times New Roman" w:cs="Times New Roman"/>
          <w:lang w:val="en-US"/>
        </w:rPr>
        <w:t xml:space="preserve"> satisfied the Welch-Satterthwaite method was used to adjust the p-value for this assumption violation. Statistical significance was considered for p &lt; </w:t>
      </w:r>
      <w:r w:rsidRPr="00EC67A3">
        <w:rPr>
          <w:rFonts w:ascii="Times New Roman" w:eastAsia="Times New Roman" w:hAnsi="Times New Roman" w:cs="Times New Roman"/>
          <w:lang w:val="en-US"/>
        </w:rPr>
        <w:lastRenderedPageBreak/>
        <w:t>0.05. In all analyses, p value was complemented by the evaluation of standardized difference between the two means estimated by Cohen's d index. A complete description of these evaluations is reported in Supplementary Table 1. Statistical analyses were performed using SPSS software 26.0 (Chicago, IL, USA).</w:t>
      </w:r>
    </w:p>
    <w:p w14:paraId="3891A284" w14:textId="77777777" w:rsidR="00E95803" w:rsidRPr="00EC67A3" w:rsidRDefault="00E95803"/>
    <w:sectPr w:rsidR="00E95803" w:rsidRPr="00EC67A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67A3"/>
    <w:rsid w:val="00E95803"/>
    <w:rsid w:val="00EC67A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5F721C"/>
  <w15:chartTrackingRefBased/>
  <w15:docId w15:val="{D82F2EE7-7E50-4C31-9C6D-175E2935E5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C67A3"/>
    <w:pPr>
      <w:spacing w:after="0" w:line="240" w:lineRule="auto"/>
    </w:pPr>
    <w:rPr>
      <w:rFonts w:eastAsiaTheme="minorEastAsia"/>
      <w:sz w:val="24"/>
      <w:szCs w:val="24"/>
      <w:lang w:val="it-IT" w:eastAsia="it-I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EC67A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9</Pages>
  <Words>2251</Words>
  <Characters>12836</Characters>
  <Application>Microsoft Office Word</Application>
  <DocSecurity>0</DocSecurity>
  <Lines>106</Lines>
  <Paragraphs>30</Paragraphs>
  <ScaleCrop>false</ScaleCrop>
  <Company/>
  <LinksUpToDate>false</LinksUpToDate>
  <CharactersWithSpaces>15057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Karina Bevins</dc:creator>
  <cp:keywords/>
  <dc:description/>
  <cp:lastModifiedBy>Karina Bevins</cp:lastModifiedBy>
  <cp:revision>1</cp:revision>
  <dcterms:created xsi:type="dcterms:W3CDTF">2020-06-15T15:27:00Z</dcterms:created>
  <dcterms:modified xsi:type="dcterms:W3CDTF">2020-06-15T15:28:00Z</dcterms:modified>
</cp:coreProperties>
</file>