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Subtitle"/>
        <w:rPr>
          <w:sz w:val="24"/>
          <w:szCs w:val="24"/>
        </w:rPr>
      </w:pPr>
      <w:bookmarkStart w:colFirst="0" w:colLast="0" w:name="_w39oio8nncnz" w:id="0"/>
      <w:bookmarkEnd w:id="0"/>
      <w:r w:rsidDel="00000000" w:rsidR="00000000" w:rsidRPr="00000000">
        <w:rPr>
          <w:rtl w:val="0"/>
        </w:rPr>
        <w:t xml:space="preserve">Supplementary materials</w:t>
      </w:r>
      <w:r w:rsidDel="00000000" w:rsidR="00000000" w:rsidRPr="00000000">
        <w:rPr>
          <w:rtl w:val="0"/>
        </w:rPr>
      </w:r>
    </w:p>
    <w:p w:rsidR="00000000" w:rsidDel="00000000" w:rsidP="00000000" w:rsidRDefault="00000000" w:rsidRPr="00000000" w14:paraId="00000002">
      <w:pPr>
        <w:pStyle w:val="Heading2"/>
        <w:rPr/>
      </w:pPr>
      <w:bookmarkStart w:colFirst="0" w:colLast="0" w:name="_hfolnf1q2hvr" w:id="1"/>
      <w:bookmarkEnd w:id="1"/>
      <w:r w:rsidDel="00000000" w:rsidR="00000000" w:rsidRPr="00000000">
        <w:rPr>
          <w:rtl w:val="0"/>
        </w:rPr>
        <w:t xml:space="preserve">Statistical analysis</w:t>
      </w:r>
    </w:p>
    <w:p w:rsidR="00000000" w:rsidDel="00000000" w:rsidP="00000000" w:rsidRDefault="00000000" w:rsidRPr="00000000" w14:paraId="00000003">
      <w:pPr>
        <w:pStyle w:val="Heading3"/>
        <w:rPr/>
      </w:pPr>
      <w:bookmarkStart w:colFirst="0" w:colLast="0" w:name="_ajl9mglf981d" w:id="2"/>
      <w:bookmarkEnd w:id="2"/>
      <w:r w:rsidDel="00000000" w:rsidR="00000000" w:rsidRPr="00000000">
        <w:rPr>
          <w:rtl w:val="0"/>
        </w:rPr>
        <w:t xml:space="preserve">Variable coding details</w:t>
      </w:r>
    </w:p>
    <w:p w:rsidR="00000000" w:rsidDel="00000000" w:rsidP="00000000" w:rsidRDefault="00000000" w:rsidRPr="00000000" w14:paraId="00000004">
      <w:pPr>
        <w:rPr>
          <w:b w:val="1"/>
          <w:sz w:val="24"/>
          <w:szCs w:val="24"/>
        </w:rPr>
      </w:pPr>
      <w:r w:rsidDel="00000000" w:rsidR="00000000" w:rsidRPr="00000000">
        <w:rPr>
          <w:b w:val="1"/>
          <w:sz w:val="24"/>
          <w:szCs w:val="24"/>
          <w:rtl w:val="0"/>
        </w:rPr>
        <w:t xml:space="preserve">Sociodemographic </w:t>
      </w:r>
      <w:r w:rsidDel="00000000" w:rsidR="00000000" w:rsidRPr="00000000">
        <w:rPr>
          <w:b w:val="1"/>
          <w:sz w:val="24"/>
          <w:szCs w:val="24"/>
          <w:rtl w:val="0"/>
        </w:rPr>
        <w:t xml:space="preserve">variables</w:t>
      </w: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Gender: </w:t>
      </w:r>
      <w:r w:rsidDel="00000000" w:rsidR="00000000" w:rsidRPr="00000000">
        <w:rPr>
          <w:rtl w:val="0"/>
        </w:rPr>
        <w:t xml:space="preserve">Since a low number of participants endorsed having a non-binary or prefer to self-define gender identity, these groups were collapsed together to create a three level gender variable. This includes “male”, “female” and “non-binary/prefer to self-define”.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Highest education: The following academic qualifications were measured as binary variables in the GLAD Study: university/college degree; AS/A-level; GCSEs/O-levels; CSEs; NVQ/HND/HNC. These variables were used to create a ‘highest education’ variable, where the participant was assigned to the category reflecting their highest educational qualification. If the participant did not have any of the measured academic qualifications, they were assigned to a “none of the above” category.</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Partnership status: The partnership variable was reduced to three levels as the response groups were comparable. Specifically, people who reported being in a relationship and living together, being in a relationship and not living together and those who were married/in a civil partnership were grouped into one category. By contrast, participants who were divorced, separated and widowed were recorded into another category. Participants who were single were treated as their own group.</w:t>
      </w:r>
    </w:p>
    <w:p w:rsidR="00000000" w:rsidDel="00000000" w:rsidP="00000000" w:rsidRDefault="00000000" w:rsidRPr="00000000" w14:paraId="0000000B">
      <w:pPr>
        <w:rPr>
          <w:b w:val="1"/>
        </w:rPr>
      </w:pPr>
      <w:r w:rsidDel="00000000" w:rsidR="00000000" w:rsidRPr="00000000">
        <w:rPr>
          <w:rtl w:val="0"/>
        </w:rPr>
      </w:r>
    </w:p>
    <w:p w:rsidR="00000000" w:rsidDel="00000000" w:rsidP="00000000" w:rsidRDefault="00000000" w:rsidRPr="00000000" w14:paraId="0000000C">
      <w:pPr>
        <w:rPr>
          <w:b w:val="1"/>
          <w:sz w:val="24"/>
          <w:szCs w:val="24"/>
        </w:rPr>
      </w:pPr>
      <w:r w:rsidDel="00000000" w:rsidR="00000000" w:rsidRPr="00000000">
        <w:rPr>
          <w:b w:val="1"/>
          <w:sz w:val="24"/>
          <w:szCs w:val="24"/>
          <w:rtl w:val="0"/>
        </w:rPr>
        <w:t xml:space="preserve">Assessment of mental health diagnoses</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i w:val="1"/>
        </w:rPr>
      </w:pPr>
      <w:r w:rsidDel="00000000" w:rsidR="00000000" w:rsidRPr="00000000">
        <w:rPr>
          <w:rtl w:val="0"/>
        </w:rPr>
        <w:t xml:space="preserve">As reported in our previous analyses with the COPING and RAMP studies (Young et al., 2021), the participants’ history of prior mental health diagnoses was assessed using a checklist (Table S1). This question had the following prompt: “Have you ever been diagnosed with one or more of the following mental health problems by a professional, even if you don't have it currently? </w:t>
      </w:r>
      <w:r w:rsidDel="00000000" w:rsidR="00000000" w:rsidRPr="00000000">
        <w:rPr>
          <w:i w:val="1"/>
          <w:rtl w:val="0"/>
        </w:rPr>
        <w:t xml:space="preserve">By professional we mean: any doctor, nurse or person with specialist training (such as a psychologist, psychiatrist etc.). Please include disorders even if you did not need treatment for them or if you did not agree with the diagnosis.”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Table</w:t>
      </w:r>
      <w:r w:rsidDel="00000000" w:rsidR="00000000" w:rsidRPr="00000000">
        <w:rPr>
          <w:b w:val="1"/>
          <w:rtl w:val="0"/>
        </w:rPr>
        <w:t xml:space="preserve"> S1. </w:t>
      </w:r>
      <w:r w:rsidDel="00000000" w:rsidR="00000000" w:rsidRPr="00000000">
        <w:rPr>
          <w:rtl w:val="0"/>
        </w:rPr>
        <w:t xml:space="preserve">Diagnosis questionnaire response options and categorisation used in analyses</w:t>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370"/>
        <w:gridCol w:w="3630"/>
        <w:tblGridChange w:id="0">
          <w:tblGrid>
            <w:gridCol w:w="5370"/>
            <w:gridCol w:w="3630"/>
          </w:tblGrid>
        </w:tblGridChange>
      </w:tblGrid>
      <w:tr>
        <w:trPr>
          <w:cantSplit w:val="0"/>
          <w:tblHeader w:val="0"/>
        </w:trPr>
        <w:tc>
          <w:tcPr>
            <w:tcBorders>
              <w:left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1">
            <w:pPr>
              <w:spacing w:line="240" w:lineRule="auto"/>
              <w:rPr>
                <w:b w:val="1"/>
              </w:rPr>
            </w:pPr>
            <w:r w:rsidDel="00000000" w:rsidR="00000000" w:rsidRPr="00000000">
              <w:rPr>
                <w:b w:val="1"/>
                <w:rtl w:val="0"/>
              </w:rPr>
              <w:t xml:space="preserve">Individual diagnoses (response options)</w:t>
            </w:r>
          </w:p>
        </w:tc>
        <w:tc>
          <w:tcPr>
            <w:tcBorders>
              <w:left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2">
            <w:pPr>
              <w:spacing w:line="240" w:lineRule="auto"/>
              <w:rPr>
                <w:b w:val="1"/>
              </w:rPr>
            </w:pPr>
            <w:r w:rsidDel="00000000" w:rsidR="00000000" w:rsidRPr="00000000">
              <w:rPr>
                <w:b w:val="1"/>
                <w:rtl w:val="0"/>
              </w:rPr>
              <w:t xml:space="preserve">Category</w:t>
            </w:r>
          </w:p>
        </w:tc>
      </w:tr>
      <w:tr>
        <w:trPr>
          <w:cantSplit w:val="0"/>
          <w:tblHeader w:val="0"/>
        </w:trPr>
        <w:tc>
          <w:tcPr>
            <w:tcBorders>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3">
            <w:pPr>
              <w:spacing w:line="240" w:lineRule="auto"/>
              <w:rPr/>
            </w:pPr>
            <w:r w:rsidDel="00000000" w:rsidR="00000000" w:rsidRPr="00000000">
              <w:rPr>
                <w:rtl w:val="0"/>
              </w:rPr>
              <w:t xml:space="preserve">Depression</w:t>
            </w:r>
          </w:p>
        </w:tc>
        <w:tc>
          <w:tcPr>
            <w:tcBorders>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4">
            <w:pPr>
              <w:spacing w:line="240" w:lineRule="auto"/>
              <w:rPr/>
            </w:pPr>
            <w:r w:rsidDel="00000000" w:rsidR="00000000" w:rsidRPr="00000000">
              <w:rPr>
                <w:rtl w:val="0"/>
              </w:rPr>
              <w:t xml:space="preserve">Depressive disorder only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5">
            <w:pPr>
              <w:spacing w:line="240" w:lineRule="auto"/>
              <w:rPr/>
            </w:pPr>
            <w:r w:rsidDel="00000000" w:rsidR="00000000" w:rsidRPr="00000000">
              <w:rPr>
                <w:rtl w:val="0"/>
              </w:rPr>
              <w:t xml:space="preserve">Depression during or after pregnancy (antenatal/postnatal depression)</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6">
            <w:pPr>
              <w:spacing w:line="240" w:lineRule="auto"/>
              <w:rPr/>
            </w:pPr>
            <w:r w:rsidDel="00000000" w:rsidR="00000000" w:rsidRPr="00000000">
              <w:rPr>
                <w:rtl w:val="0"/>
              </w:rPr>
              <w:t xml:space="preserve">Depressive disorder only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7">
            <w:pPr>
              <w:spacing w:line="240" w:lineRule="auto"/>
              <w:rPr/>
            </w:pPr>
            <w:r w:rsidDel="00000000" w:rsidR="00000000" w:rsidRPr="00000000">
              <w:rPr>
                <w:rtl w:val="0"/>
              </w:rPr>
              <w:t xml:space="preserve">Premenstrual dysphoric disorder (PMDD)</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8">
            <w:pPr>
              <w:spacing w:line="240" w:lineRule="auto"/>
              <w:rPr/>
            </w:pPr>
            <w:r w:rsidDel="00000000" w:rsidR="00000000" w:rsidRPr="00000000">
              <w:rPr>
                <w:rtl w:val="0"/>
              </w:rPr>
              <w:t xml:space="preserve">Depressive disorder only</w:t>
            </w:r>
          </w:p>
        </w:tc>
      </w:tr>
      <w:tr>
        <w:trPr>
          <w:cantSplit w:val="0"/>
          <w:trHeight w:val="330" w:hRule="atLeast"/>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9">
            <w:pPr>
              <w:spacing w:line="240" w:lineRule="auto"/>
              <w:rPr/>
            </w:pPr>
            <w:r w:rsidDel="00000000" w:rsidR="00000000" w:rsidRPr="00000000">
              <w:rPr>
                <w:rtl w:val="0"/>
              </w:rPr>
              <w:t xml:space="preserve">Anxiety, nerves or generalised anxiety disorder</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A">
            <w:pPr>
              <w:spacing w:line="240" w:lineRule="auto"/>
              <w:rPr/>
            </w:pPr>
            <w:r w:rsidDel="00000000" w:rsidR="00000000" w:rsidRPr="00000000">
              <w:rPr>
                <w:rtl w:val="0"/>
              </w:rPr>
              <w:t xml:space="preserve">Anxiety disorder only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B">
            <w:pPr>
              <w:spacing w:line="240" w:lineRule="auto"/>
              <w:rPr/>
            </w:pPr>
            <w:r w:rsidDel="00000000" w:rsidR="00000000" w:rsidRPr="00000000">
              <w:rPr>
                <w:rtl w:val="0"/>
              </w:rPr>
              <w:t xml:space="preserve">Social anxiety or social phobia</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C">
            <w:pPr>
              <w:widowControl w:val="0"/>
              <w:spacing w:line="240" w:lineRule="auto"/>
              <w:rPr/>
            </w:pPr>
            <w:r w:rsidDel="00000000" w:rsidR="00000000" w:rsidRPr="00000000">
              <w:rPr>
                <w:rtl w:val="0"/>
              </w:rPr>
              <w:t xml:space="preserve">Anxiety disorder only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D">
            <w:pPr>
              <w:spacing w:line="240" w:lineRule="auto"/>
              <w:rPr/>
            </w:pPr>
            <w:r w:rsidDel="00000000" w:rsidR="00000000" w:rsidRPr="00000000">
              <w:rPr>
                <w:rtl w:val="0"/>
              </w:rPr>
              <w:t xml:space="preserve">Specific phobia (e.g. phobia of flying)</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E">
            <w:pPr>
              <w:widowControl w:val="0"/>
              <w:spacing w:line="240" w:lineRule="auto"/>
              <w:rPr/>
            </w:pPr>
            <w:r w:rsidDel="00000000" w:rsidR="00000000" w:rsidRPr="00000000">
              <w:rPr>
                <w:rtl w:val="0"/>
              </w:rPr>
              <w:t xml:space="preserve">Anxiety disorder only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1F">
            <w:pPr>
              <w:spacing w:line="240" w:lineRule="auto"/>
              <w:rPr/>
            </w:pPr>
            <w:r w:rsidDel="00000000" w:rsidR="00000000" w:rsidRPr="00000000">
              <w:rPr>
                <w:rtl w:val="0"/>
              </w:rPr>
              <w:t xml:space="preserve">Agoraphobia </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0">
            <w:pPr>
              <w:widowControl w:val="0"/>
              <w:spacing w:line="240" w:lineRule="auto"/>
              <w:rPr/>
            </w:pPr>
            <w:r w:rsidDel="00000000" w:rsidR="00000000" w:rsidRPr="00000000">
              <w:rPr>
                <w:rtl w:val="0"/>
              </w:rPr>
              <w:t xml:space="preserve">Anxiety disorder only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1">
            <w:pPr>
              <w:spacing w:line="240" w:lineRule="auto"/>
              <w:rPr/>
            </w:pPr>
            <w:r w:rsidDel="00000000" w:rsidR="00000000" w:rsidRPr="00000000">
              <w:rPr>
                <w:rtl w:val="0"/>
              </w:rPr>
              <w:t xml:space="preserve">Panic disorder </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2">
            <w:pPr>
              <w:widowControl w:val="0"/>
              <w:spacing w:line="240" w:lineRule="auto"/>
              <w:rPr/>
            </w:pPr>
            <w:r w:rsidDel="00000000" w:rsidR="00000000" w:rsidRPr="00000000">
              <w:rPr>
                <w:rtl w:val="0"/>
              </w:rPr>
              <w:t xml:space="preserve">Anxiety disorder only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3">
            <w:pPr>
              <w:rPr/>
            </w:pPr>
            <w:r w:rsidDel="00000000" w:rsidR="00000000" w:rsidRPr="00000000">
              <w:rPr>
                <w:rtl w:val="0"/>
              </w:rPr>
              <w:t xml:space="preserve">Panic attacks </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4">
            <w:pPr>
              <w:widowControl w:val="0"/>
              <w:rPr/>
            </w:pPr>
            <w:r w:rsidDel="00000000" w:rsidR="00000000" w:rsidRPr="00000000">
              <w:rPr>
                <w:rtl w:val="0"/>
              </w:rPr>
              <w:t xml:space="preserve">Anxiety disorder only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5">
            <w:pPr>
              <w:spacing w:line="240" w:lineRule="auto"/>
              <w:rPr>
                <w:i w:val="1"/>
              </w:rPr>
            </w:pPr>
            <w:r w:rsidDel="00000000" w:rsidR="00000000" w:rsidRPr="00000000">
              <w:rPr>
                <w:i w:val="1"/>
                <w:rtl w:val="0"/>
              </w:rPr>
              <w:t xml:space="preserve">NOTE: If both depression and anxiety were present, a separate category of comorbid depressive and anxiety disorder was created</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6">
            <w:pPr>
              <w:widowControl w:val="0"/>
              <w:spacing w:line="240" w:lineRule="auto"/>
              <w:rPr/>
            </w:pPr>
            <w:r w:rsidDel="00000000" w:rsidR="00000000" w:rsidRPr="00000000">
              <w:rPr>
                <w:rtl w:val="0"/>
              </w:rPr>
              <w:t xml:space="preserve">Depressive and anxiety disorder</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7">
            <w:pPr>
              <w:spacing w:line="240" w:lineRule="auto"/>
              <w:rPr/>
            </w:pPr>
            <w:r w:rsidDel="00000000" w:rsidR="00000000" w:rsidRPr="00000000">
              <w:rPr>
                <w:rtl w:val="0"/>
              </w:rPr>
              <w:t xml:space="preserve">Obsessive-compulsive disorder (OCD)</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8">
            <w:pPr>
              <w:widowControl w:val="0"/>
              <w:spacing w:line="240" w:lineRule="auto"/>
              <w:rPr/>
            </w:pPr>
            <w:r w:rsidDel="00000000" w:rsidR="00000000" w:rsidRPr="00000000">
              <w:rPr>
                <w:rtl w:val="0"/>
              </w:rPr>
              <w:t xml:space="preserve">OCRDs</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9">
            <w:pPr>
              <w:spacing w:line="240" w:lineRule="auto"/>
              <w:rPr/>
            </w:pPr>
            <w:r w:rsidDel="00000000" w:rsidR="00000000" w:rsidRPr="00000000">
              <w:rPr>
                <w:rtl w:val="0"/>
              </w:rPr>
              <w:t xml:space="preserve">Other obsessive-compulsive related disorder e.g. skin picking</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A">
            <w:pPr>
              <w:widowControl w:val="0"/>
              <w:spacing w:line="240" w:lineRule="auto"/>
              <w:rPr/>
            </w:pPr>
            <w:r w:rsidDel="00000000" w:rsidR="00000000" w:rsidRPr="00000000">
              <w:rPr>
                <w:rtl w:val="0"/>
              </w:rPr>
              <w:t xml:space="preserve">OCRDs</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B">
            <w:pPr>
              <w:spacing w:line="240" w:lineRule="auto"/>
              <w:rPr/>
            </w:pPr>
            <w:r w:rsidDel="00000000" w:rsidR="00000000" w:rsidRPr="00000000">
              <w:rPr>
                <w:rtl w:val="0"/>
              </w:rPr>
              <w:t xml:space="preserve">Anorexia nervosa </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C">
            <w:pPr>
              <w:widowControl w:val="0"/>
              <w:spacing w:line="240" w:lineRule="auto"/>
              <w:rPr/>
            </w:pPr>
            <w:r w:rsidDel="00000000" w:rsidR="00000000" w:rsidRPr="00000000">
              <w:rPr>
                <w:rtl w:val="0"/>
              </w:rPr>
              <w:t xml:space="preserve">Eating disorders</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D">
            <w:pPr>
              <w:spacing w:line="240" w:lineRule="auto"/>
              <w:rPr/>
            </w:pPr>
            <w:r w:rsidDel="00000000" w:rsidR="00000000" w:rsidRPr="00000000">
              <w:rPr>
                <w:rtl w:val="0"/>
              </w:rPr>
              <w:t xml:space="preserve">Bulimia nervosa </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E">
            <w:pPr>
              <w:widowControl w:val="0"/>
              <w:spacing w:line="240" w:lineRule="auto"/>
              <w:rPr/>
            </w:pPr>
            <w:r w:rsidDel="00000000" w:rsidR="00000000" w:rsidRPr="00000000">
              <w:rPr>
                <w:rtl w:val="0"/>
              </w:rPr>
              <w:t xml:space="preserve">Eating disorders</w:t>
            </w:r>
          </w:p>
        </w:tc>
      </w:tr>
      <w:tr>
        <w:trPr>
          <w:cantSplit w:val="0"/>
          <w:trHeight w:val="177.978515625" w:hRule="atLeast"/>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2F">
            <w:pPr>
              <w:spacing w:line="240" w:lineRule="auto"/>
              <w:rPr/>
            </w:pPr>
            <w:r w:rsidDel="00000000" w:rsidR="00000000" w:rsidRPr="00000000">
              <w:rPr>
                <w:rtl w:val="0"/>
              </w:rPr>
              <w:t xml:space="preserve">Psychological overeating or binge-eating disorder</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0">
            <w:pPr>
              <w:widowControl w:val="0"/>
              <w:spacing w:line="240" w:lineRule="auto"/>
              <w:rPr/>
            </w:pPr>
            <w:r w:rsidDel="00000000" w:rsidR="00000000" w:rsidRPr="00000000">
              <w:rPr>
                <w:rtl w:val="0"/>
              </w:rPr>
              <w:t xml:space="preserve">Eating disorders</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1">
            <w:pPr>
              <w:spacing w:line="240" w:lineRule="auto"/>
              <w:rPr/>
            </w:pPr>
            <w:r w:rsidDel="00000000" w:rsidR="00000000" w:rsidRPr="00000000">
              <w:rPr>
                <w:rtl w:val="0"/>
              </w:rPr>
              <w:t xml:space="preserve">Mania, hypomania, bipolar or manic-depression</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2">
            <w:pPr>
              <w:spacing w:line="240" w:lineRule="auto"/>
              <w:rPr/>
            </w:pPr>
            <w:r w:rsidDel="00000000" w:rsidR="00000000" w:rsidRPr="00000000">
              <w:rPr>
                <w:rtl w:val="0"/>
              </w:rPr>
              <w:t xml:space="preserve">Bipolar disorder</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3">
            <w:pPr>
              <w:spacing w:line="240" w:lineRule="auto"/>
              <w:rPr/>
            </w:pPr>
            <w:r w:rsidDel="00000000" w:rsidR="00000000" w:rsidRPr="00000000">
              <w:rPr>
                <w:rtl w:val="0"/>
              </w:rPr>
              <w:t xml:space="preserve">Schizophrenia</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4">
            <w:pPr>
              <w:widowControl w:val="0"/>
              <w:spacing w:line="240" w:lineRule="auto"/>
              <w:rPr/>
            </w:pPr>
            <w:r w:rsidDel="00000000" w:rsidR="00000000" w:rsidRPr="00000000">
              <w:rPr>
                <w:rtl w:val="0"/>
              </w:rPr>
              <w:t xml:space="preserve">Psychosis only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5">
            <w:pPr>
              <w:spacing w:line="240" w:lineRule="auto"/>
              <w:rPr/>
            </w:pPr>
            <w:r w:rsidDel="00000000" w:rsidR="00000000" w:rsidRPr="00000000">
              <w:rPr>
                <w:rtl w:val="0"/>
              </w:rPr>
              <w:t xml:space="preserve">Schizoaffective disorder</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6">
            <w:pPr>
              <w:widowControl w:val="0"/>
              <w:spacing w:line="240" w:lineRule="auto"/>
              <w:rPr/>
            </w:pPr>
            <w:r w:rsidDel="00000000" w:rsidR="00000000" w:rsidRPr="00000000">
              <w:rPr>
                <w:rtl w:val="0"/>
              </w:rPr>
              <w:t xml:space="preserve">Psychosis only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7">
            <w:pPr>
              <w:spacing w:line="240" w:lineRule="auto"/>
              <w:rPr/>
            </w:pPr>
            <w:r w:rsidDel="00000000" w:rsidR="00000000" w:rsidRPr="00000000">
              <w:rPr>
                <w:rtl w:val="0"/>
              </w:rPr>
              <w:t xml:space="preserve">Any other type of psychosis or psychotic illness</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8">
            <w:pPr>
              <w:widowControl w:val="0"/>
              <w:spacing w:line="240" w:lineRule="auto"/>
              <w:rPr/>
            </w:pPr>
            <w:r w:rsidDel="00000000" w:rsidR="00000000" w:rsidRPr="00000000">
              <w:rPr>
                <w:rtl w:val="0"/>
              </w:rPr>
              <w:t xml:space="preserve">Psychosis only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9">
            <w:pPr>
              <w:spacing w:line="240" w:lineRule="auto"/>
              <w:rPr>
                <w:i w:val="1"/>
              </w:rPr>
            </w:pPr>
            <w:r w:rsidDel="00000000" w:rsidR="00000000" w:rsidRPr="00000000">
              <w:rPr>
                <w:i w:val="1"/>
                <w:rtl w:val="0"/>
              </w:rPr>
              <w:t xml:space="preserve">NOTE: If both bipolar and psychosis were present, a separate category of comorbid psychotic and bipolar disorder was created</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A">
            <w:pPr>
              <w:widowControl w:val="0"/>
              <w:spacing w:line="240" w:lineRule="auto"/>
              <w:rPr/>
            </w:pPr>
            <w:r w:rsidDel="00000000" w:rsidR="00000000" w:rsidRPr="00000000">
              <w:rPr>
                <w:rtl w:val="0"/>
              </w:rPr>
              <w:t xml:space="preserve">Psychotic and bipolar disorder</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B">
            <w:pPr>
              <w:spacing w:line="240" w:lineRule="auto"/>
              <w:rPr/>
            </w:pPr>
            <w:r w:rsidDel="00000000" w:rsidR="00000000" w:rsidRPr="00000000">
              <w:rPr>
                <w:rtl w:val="0"/>
              </w:rPr>
              <w:t xml:space="preserve">Personality disorder</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C">
            <w:pPr>
              <w:widowControl w:val="0"/>
              <w:spacing w:line="240" w:lineRule="auto"/>
              <w:rPr/>
            </w:pPr>
            <w:r w:rsidDel="00000000" w:rsidR="00000000" w:rsidRPr="00000000">
              <w:rPr>
                <w:rtl w:val="0"/>
              </w:rPr>
              <w:t xml:space="preserve">Personality disorder</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D">
            <w:pPr>
              <w:spacing w:line="240" w:lineRule="auto"/>
              <w:rPr/>
            </w:pPr>
            <w:r w:rsidDel="00000000" w:rsidR="00000000" w:rsidRPr="00000000">
              <w:rPr>
                <w:rtl w:val="0"/>
              </w:rPr>
              <w:t xml:space="preserve"> Autism, asperger's or autistic spectrum disorder</w:t>
            </w:r>
          </w:p>
        </w:tc>
        <w:tc>
          <w:tcPr>
            <w:tcBorders>
              <w:top w:color="000000" w:space="0" w:sz="0" w:val="nil"/>
              <w:left w:color="000000" w:space="0" w:sz="0" w:val="nil"/>
              <w:bottom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E">
            <w:pPr>
              <w:widowControl w:val="0"/>
              <w:spacing w:line="240" w:lineRule="auto"/>
              <w:rPr/>
            </w:pPr>
            <w:r w:rsidDel="00000000" w:rsidR="00000000" w:rsidRPr="00000000">
              <w:rPr>
                <w:rtl w:val="0"/>
              </w:rPr>
              <w:t xml:space="preserve">ASD</w:t>
            </w:r>
          </w:p>
        </w:tc>
      </w:tr>
      <w:tr>
        <w:trPr>
          <w:cantSplit w:val="0"/>
          <w:tblHeader w:val="0"/>
        </w:trPr>
        <w:tc>
          <w:tcPr>
            <w:tcBorders>
              <w:top w:color="000000" w:space="0" w:sz="0" w:val="nil"/>
              <w:left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3F">
            <w:pPr>
              <w:spacing w:line="240" w:lineRule="auto"/>
              <w:rPr/>
            </w:pPr>
            <w:r w:rsidDel="00000000" w:rsidR="00000000" w:rsidRPr="00000000">
              <w:rPr>
                <w:rtl w:val="0"/>
              </w:rPr>
              <w:t xml:space="preserve">Attention deficit or attention deficit and hyperactivity disorder (ADD/ADHD)</w:t>
            </w:r>
          </w:p>
        </w:tc>
        <w:tc>
          <w:tcPr>
            <w:tcBorders>
              <w:top w:color="000000" w:space="0" w:sz="0" w:val="nil"/>
              <w:left w:color="000000" w:space="0" w:sz="0" w:val="nil"/>
              <w:right w:color="000000" w:space="0" w:sz="0" w:val="nil"/>
            </w:tcBorders>
            <w:shd w:fill="auto" w:val="clear"/>
            <w:tcMar>
              <w:top w:w="28.34645669291339" w:type="dxa"/>
              <w:left w:w="28.34645669291339" w:type="dxa"/>
              <w:bottom w:w="28.34645669291339" w:type="dxa"/>
              <w:right w:w="28.34645669291339" w:type="dxa"/>
            </w:tcMar>
            <w:vAlign w:val="top"/>
          </w:tcPr>
          <w:p w:rsidR="00000000" w:rsidDel="00000000" w:rsidP="00000000" w:rsidRDefault="00000000" w:rsidRPr="00000000" w14:paraId="00000040">
            <w:pPr>
              <w:widowControl w:val="0"/>
              <w:spacing w:line="240" w:lineRule="auto"/>
              <w:rPr/>
            </w:pPr>
            <w:r w:rsidDel="00000000" w:rsidR="00000000" w:rsidRPr="00000000">
              <w:rPr>
                <w:rtl w:val="0"/>
              </w:rPr>
              <w:t xml:space="preserve">ADHD</w:t>
            </w:r>
          </w:p>
        </w:tc>
      </w:tr>
    </w:tbl>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Adapted from “Depression, anxiety and PTSD symptoms before and during the COVID-19 pandemic in the UK” by Young, K. S., Purves, K. L., Hübel, C., Davies, M. R., Thompson, K. N., Bristow, S., … Breen, G, 2021, </w:t>
      </w:r>
      <w:r w:rsidDel="00000000" w:rsidR="00000000" w:rsidRPr="00000000">
        <w:rPr>
          <w:i w:val="1"/>
          <w:rtl w:val="0"/>
        </w:rPr>
        <w:t xml:space="preserve">PsyArXiv, 1</w:t>
      </w:r>
      <w:r w:rsidDel="00000000" w:rsidR="00000000" w:rsidRPr="00000000">
        <w:rPr>
          <w:rtl w:val="0"/>
        </w:rPr>
        <w:t xml:space="preserve">(1), supplementary materials.</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br w:type="page"/>
      </w:r>
      <w:r w:rsidDel="00000000" w:rsidR="00000000" w:rsidRPr="00000000">
        <w:rPr>
          <w:rtl w:val="0"/>
        </w:rPr>
      </w:r>
    </w:p>
    <w:p w:rsidR="00000000" w:rsidDel="00000000" w:rsidP="00000000" w:rsidRDefault="00000000" w:rsidRPr="00000000" w14:paraId="00000045">
      <w:pPr>
        <w:pStyle w:val="Heading2"/>
        <w:rPr/>
      </w:pPr>
      <w:bookmarkStart w:colFirst="0" w:colLast="0" w:name="_4ktnbpwjwd8z" w:id="3"/>
      <w:bookmarkEnd w:id="3"/>
      <w:r w:rsidDel="00000000" w:rsidR="00000000" w:rsidRPr="00000000">
        <w:rPr>
          <w:rtl w:val="0"/>
        </w:rPr>
        <w:t xml:space="preserve">Results</w:t>
      </w: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Correlations between the sociodemographic, mental health, physical health, and participation variables.</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The correlation between completing the COPING baseline survey and the number of completed COPING follow-up surveys is null because the standard deviation is zero. That is, only those who take part in the COPING baseline survey would have completed follow-up surveys.</w:t>
      </w:r>
      <w:r w:rsidDel="00000000" w:rsidR="00000000" w:rsidRPr="00000000">
        <w:rPr>
          <w:rtl w:val="0"/>
        </w:rPr>
      </w:r>
    </w:p>
    <w:p w:rsidR="00000000" w:rsidDel="00000000" w:rsidP="00000000" w:rsidRDefault="00000000" w:rsidRPr="00000000" w14:paraId="0000004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A">
      <w:pPr>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6157913" cy="5649549"/>
            <wp:effectExtent b="0" l="0" r="0" t="0"/>
            <wp:docPr id="1" name="image1.png"/>
            <a:graphic>
              <a:graphicData uri="http://schemas.openxmlformats.org/drawingml/2006/picture">
                <pic:pic>
                  <pic:nvPicPr>
                    <pic:cNvPr id="0" name="image1.png"/>
                    <pic:cNvPicPr preferRelativeResize="0"/>
                  </pic:nvPicPr>
                  <pic:blipFill>
                    <a:blip r:embed="rId6"/>
                    <a:srcRect b="0" l="19435" r="19933" t="9677"/>
                    <a:stretch>
                      <a:fillRect/>
                    </a:stretch>
                  </pic:blipFill>
                  <pic:spPr>
                    <a:xfrm>
                      <a:off x="0" y="0"/>
                      <a:ext cx="6157913" cy="5649549"/>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