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7B65BC41" w14:textId="3D67E04C" w:rsidR="00DE23E8" w:rsidRDefault="00DE23E8" w:rsidP="00654E8F">
      <w:pPr>
        <w:spacing w:before="240"/>
      </w:pPr>
    </w:p>
    <w:p w14:paraId="13872F57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This file includes:</w:t>
      </w:r>
    </w:p>
    <w:p w14:paraId="442FD327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Fig.S1. The detailed process of the primary biliary cholangitis mouse model.</w:t>
      </w:r>
    </w:p>
    <w:p w14:paraId="79C461FF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Fig.S2. The liver pathologies and immune cell infiltrate in the liver of mice treated with different doses of IL-2.</w:t>
      </w:r>
    </w:p>
    <w:p w14:paraId="7DF063E0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Fig.S3. Study design.</w:t>
      </w:r>
    </w:p>
    <w:p w14:paraId="0A348C7A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Fig.S4. Representative gating of Tregs and Th17 cells.</w:t>
      </w:r>
    </w:p>
    <w:p w14:paraId="1CFDE0CA" w14:textId="77777777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Table.S1 Antibodies Used in Flow Cytometric Analysis.</w:t>
      </w:r>
    </w:p>
    <w:p w14:paraId="5514A192" w14:textId="3A323ED6" w:rsidR="0046393B" w:rsidRDefault="0046393B" w:rsidP="00654E8F">
      <w:pPr>
        <w:spacing w:before="240"/>
      </w:pPr>
    </w:p>
    <w:p w14:paraId="34A15FC0" w14:textId="61A2ABF7" w:rsidR="0046393B" w:rsidRDefault="0046393B" w:rsidP="00654E8F">
      <w:pPr>
        <w:spacing w:before="240"/>
      </w:pPr>
    </w:p>
    <w:p w14:paraId="38AC1D04" w14:textId="3DE1E6B7" w:rsidR="0046393B" w:rsidRDefault="0046393B" w:rsidP="00654E8F">
      <w:pPr>
        <w:spacing w:before="240"/>
      </w:pPr>
    </w:p>
    <w:p w14:paraId="1E5CC02B" w14:textId="6744E23F" w:rsidR="0046393B" w:rsidRDefault="0046393B" w:rsidP="00654E8F">
      <w:pPr>
        <w:spacing w:before="240"/>
      </w:pPr>
    </w:p>
    <w:p w14:paraId="58A886AB" w14:textId="54432AA8" w:rsidR="0046393B" w:rsidRDefault="0046393B" w:rsidP="00654E8F">
      <w:pPr>
        <w:spacing w:before="240"/>
      </w:pPr>
    </w:p>
    <w:p w14:paraId="2FC85562" w14:textId="33806F16" w:rsidR="0046393B" w:rsidRDefault="0046393B" w:rsidP="00654E8F">
      <w:pPr>
        <w:spacing w:before="240"/>
      </w:pPr>
    </w:p>
    <w:p w14:paraId="7E760460" w14:textId="77777777" w:rsidR="0046393B" w:rsidRDefault="0046393B" w:rsidP="00654E8F">
      <w:pPr>
        <w:spacing w:before="240"/>
      </w:pPr>
    </w:p>
    <w:p w14:paraId="7B2649E2" w14:textId="49F6FD88" w:rsidR="0046393B" w:rsidRDefault="0046393B" w:rsidP="00654E8F">
      <w:pPr>
        <w:spacing w:before="240"/>
      </w:pPr>
      <w:r>
        <w:rPr>
          <w:noProof/>
          <w:sz w:val="28"/>
          <w:szCs w:val="28"/>
        </w:rPr>
        <w:lastRenderedPageBreak/>
        <w:drawing>
          <wp:inline distT="0" distB="0" distL="0" distR="0" wp14:anchorId="06ED4B41" wp14:editId="14A3F73F">
            <wp:extent cx="5267325" cy="28956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E06B6" w14:textId="77777777" w:rsid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>Fig.S1. The detailed process of the primary biliary cholangitis mouse model.</w:t>
      </w:r>
    </w:p>
    <w:p w14:paraId="7901A736" w14:textId="42EF6FBA" w:rsidR="0046393B" w:rsidRPr="0046393B" w:rsidRDefault="0046393B" w:rsidP="0046393B">
      <w:pPr>
        <w:rPr>
          <w:rFonts w:cs="Times New Roman"/>
          <w:szCs w:val="24"/>
        </w:rPr>
      </w:pPr>
      <w:r w:rsidRPr="0046393B">
        <w:rPr>
          <w:rFonts w:cs="Times New Roman"/>
          <w:szCs w:val="24"/>
        </w:rPr>
        <w:t xml:space="preserve">PBC was induced by two immunizations with 2-nonynoic acid (2OA-BSA) at two-week intervals. 2OA-BSA conjugate [100 mg/100 ml phosphate-buffered saline (PBS)] was injected intraperitoneally with the same volume of complete Freund’s adjuvant (CFA) containing 1 mg/ml of Mycobacterium tuberculosis strain H37Ra, and the second was administered after 2 weeks with 2OA-BSA and incomplete </w:t>
      </w:r>
      <w:proofErr w:type="spellStart"/>
      <w:r w:rsidRPr="0046393B">
        <w:rPr>
          <w:rFonts w:cs="Times New Roman"/>
          <w:szCs w:val="24"/>
        </w:rPr>
        <w:t>Freunds</w:t>
      </w:r>
      <w:proofErr w:type="spellEnd"/>
      <w:r w:rsidRPr="0046393B">
        <w:rPr>
          <w:rFonts w:cs="Times New Roman"/>
          <w:szCs w:val="24"/>
        </w:rPr>
        <w:t xml:space="preserve"> adjuvant (IFA) after the first immunization. Besides, </w:t>
      </w:r>
      <w:proofErr w:type="spellStart"/>
      <w:r w:rsidRPr="0046393B">
        <w:rPr>
          <w:rFonts w:cs="Times New Roman"/>
          <w:szCs w:val="24"/>
        </w:rPr>
        <w:t>Polyinosinic</w:t>
      </w:r>
      <w:proofErr w:type="spellEnd"/>
      <w:r w:rsidRPr="0046393B">
        <w:rPr>
          <w:rFonts w:cs="Times New Roman"/>
          <w:szCs w:val="24"/>
        </w:rPr>
        <w:t xml:space="preserve"> </w:t>
      </w:r>
      <w:proofErr w:type="spellStart"/>
      <w:r w:rsidRPr="0046393B">
        <w:rPr>
          <w:rFonts w:cs="Times New Roman"/>
          <w:szCs w:val="24"/>
        </w:rPr>
        <w:t>polycytidylic</w:t>
      </w:r>
      <w:proofErr w:type="spellEnd"/>
      <w:r w:rsidRPr="0046393B">
        <w:rPr>
          <w:rFonts w:cs="Times New Roman"/>
          <w:szCs w:val="24"/>
        </w:rPr>
        <w:t xml:space="preserve"> acid (poly I: C) was injected intraperitoneally at a dose of 5mg/kg once every three days from three days after the initial immunization with 2OA-BSA in CFA. As controls, a comparable number of female B6 mice were injected with PBS with the identical protocol.</w:t>
      </w:r>
    </w:p>
    <w:p w14:paraId="2369170F" w14:textId="5F6551BA" w:rsidR="0046393B" w:rsidRDefault="0046393B" w:rsidP="00654E8F">
      <w:pPr>
        <w:spacing w:before="240"/>
        <w:rPr>
          <w:rFonts w:cs="Times New Roman"/>
          <w:szCs w:val="24"/>
        </w:rPr>
      </w:pPr>
    </w:p>
    <w:p w14:paraId="4CFD3180" w14:textId="2860C8AE" w:rsidR="0046393B" w:rsidRDefault="0046393B" w:rsidP="00654E8F">
      <w:pPr>
        <w:spacing w:before="240"/>
        <w:rPr>
          <w:rFonts w:cs="Times New Roman"/>
          <w:szCs w:val="24"/>
        </w:rPr>
      </w:pPr>
    </w:p>
    <w:p w14:paraId="23FF7223" w14:textId="35C8B29A" w:rsidR="0046393B" w:rsidRDefault="0046393B" w:rsidP="00654E8F">
      <w:pPr>
        <w:spacing w:before="240"/>
        <w:rPr>
          <w:rFonts w:cs="Times New Roman"/>
          <w:szCs w:val="24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9CA61AA" wp14:editId="4C46C8A6">
            <wp:extent cx="5314950" cy="29908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7C56C" w14:textId="77777777" w:rsidR="0046393B" w:rsidRPr="0046393B" w:rsidRDefault="0046393B" w:rsidP="0046393B">
      <w:pPr>
        <w:rPr>
          <w:szCs w:val="24"/>
        </w:rPr>
      </w:pPr>
      <w:r w:rsidRPr="0046393B">
        <w:rPr>
          <w:szCs w:val="24"/>
        </w:rPr>
        <w:t>Fig.S2. The liver pathologies and immune cell infiltrate in the liver of mice treated with different doses of IL-2.</w:t>
      </w:r>
    </w:p>
    <w:p w14:paraId="56CDCE86" w14:textId="1092D4D5" w:rsidR="0046393B" w:rsidRDefault="0046393B" w:rsidP="0046393B">
      <w:pPr>
        <w:rPr>
          <w:szCs w:val="24"/>
        </w:rPr>
      </w:pPr>
      <w:r w:rsidRPr="0046393B">
        <w:rPr>
          <w:szCs w:val="24"/>
        </w:rPr>
        <w:t>we treated C57BL/6 mice with 10000 U, 30000 U, and 100000 U IL-2, and observed the changes of Th17/Treg and liver pathological changes. It was found that 10000 U dose of IL-2 had no significant effect on Treg and Th17 cells, and 30000 U and 100000 U doses of IL-2 had similar regulatory levels on immune cells, but 100000 U dose of IL-2 had inflammatory cell infiltration in the liver of mouse models.</w:t>
      </w:r>
    </w:p>
    <w:p w14:paraId="6BFBAFE4" w14:textId="3197A6BB" w:rsidR="0046393B" w:rsidRDefault="0046393B" w:rsidP="0046393B">
      <w:pPr>
        <w:rPr>
          <w:szCs w:val="24"/>
        </w:rPr>
      </w:pPr>
    </w:p>
    <w:p w14:paraId="21E412CD" w14:textId="45B20529" w:rsidR="0046393B" w:rsidRDefault="0046393B" w:rsidP="0046393B">
      <w:pPr>
        <w:rPr>
          <w:szCs w:val="24"/>
        </w:rPr>
      </w:pPr>
    </w:p>
    <w:p w14:paraId="73997A81" w14:textId="77777777" w:rsidR="0046393B" w:rsidRPr="0046393B" w:rsidRDefault="0046393B" w:rsidP="0046393B">
      <w:pPr>
        <w:rPr>
          <w:szCs w:val="24"/>
        </w:rPr>
      </w:pPr>
    </w:p>
    <w:p w14:paraId="6F7888DF" w14:textId="7DFC60E9" w:rsidR="0046393B" w:rsidRDefault="0046393B" w:rsidP="00654E8F">
      <w:pPr>
        <w:spacing w:before="240"/>
        <w:rPr>
          <w:rFonts w:cs="Times New Roman"/>
          <w:szCs w:val="24"/>
        </w:rPr>
      </w:pPr>
    </w:p>
    <w:p w14:paraId="561ED26A" w14:textId="0C3B78AA" w:rsidR="0046393B" w:rsidRDefault="0046393B" w:rsidP="00654E8F">
      <w:pPr>
        <w:spacing w:before="240"/>
        <w:rPr>
          <w:rFonts w:cs="Times New Roman"/>
          <w:szCs w:val="24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77B0B70" wp14:editId="050D0828">
            <wp:extent cx="5267325" cy="27051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AA807" w14:textId="77777777" w:rsidR="0046393B" w:rsidRPr="0046393B" w:rsidRDefault="0046393B" w:rsidP="0046393B">
      <w:pPr>
        <w:rPr>
          <w:szCs w:val="24"/>
        </w:rPr>
      </w:pPr>
      <w:r w:rsidRPr="0046393B">
        <w:rPr>
          <w:rFonts w:hint="eastAsia"/>
          <w:szCs w:val="24"/>
        </w:rPr>
        <w:t>Fig</w:t>
      </w:r>
      <w:r w:rsidRPr="0046393B">
        <w:rPr>
          <w:szCs w:val="24"/>
        </w:rPr>
        <w:t>.S3. Study design</w:t>
      </w:r>
    </w:p>
    <w:p w14:paraId="46DCE252" w14:textId="77777777" w:rsidR="0046393B" w:rsidRPr="0046393B" w:rsidRDefault="0046393B" w:rsidP="0046393B">
      <w:pPr>
        <w:rPr>
          <w:szCs w:val="24"/>
        </w:rPr>
      </w:pPr>
      <w:r w:rsidRPr="0046393B">
        <w:rPr>
          <w:szCs w:val="24"/>
        </w:rPr>
        <w:t>PBC mice were divided into the IL-2 treated and untreated groups, and low-dose IL-2 was injected at three different time points, three days before modeling, and four and eight weeks after modeling. Low dose IL-2 (30 thousand IU) was administrated subcutaneously once per day for 5 consecutive days, and then every 3 days.</w:t>
      </w:r>
    </w:p>
    <w:p w14:paraId="6090D365" w14:textId="010420EC" w:rsidR="0046393B" w:rsidRDefault="0046393B" w:rsidP="00654E8F">
      <w:pPr>
        <w:spacing w:before="240"/>
        <w:rPr>
          <w:rFonts w:cs="Times New Roman"/>
          <w:szCs w:val="24"/>
        </w:rPr>
      </w:pPr>
    </w:p>
    <w:p w14:paraId="166FA29A" w14:textId="0B854F94" w:rsidR="0046393B" w:rsidRDefault="0046393B" w:rsidP="00654E8F">
      <w:pPr>
        <w:spacing w:before="240"/>
        <w:rPr>
          <w:rFonts w:cs="Times New Roman"/>
          <w:szCs w:val="24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53BDAF82" wp14:editId="7341328D">
            <wp:extent cx="5303520" cy="5029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DE87A" w14:textId="77777777" w:rsidR="0046393B" w:rsidRPr="0046393B" w:rsidRDefault="0046393B" w:rsidP="0046393B">
      <w:pPr>
        <w:rPr>
          <w:szCs w:val="24"/>
        </w:rPr>
      </w:pPr>
      <w:r w:rsidRPr="0046393B">
        <w:rPr>
          <w:rFonts w:hint="eastAsia"/>
          <w:szCs w:val="24"/>
        </w:rPr>
        <w:t>F</w:t>
      </w:r>
      <w:r w:rsidRPr="0046393B">
        <w:rPr>
          <w:szCs w:val="24"/>
        </w:rPr>
        <w:t>ig.S4. Representative gating of Tregs and Th17 cells.</w:t>
      </w:r>
    </w:p>
    <w:p w14:paraId="144A8F73" w14:textId="1FB38D3D" w:rsidR="0046393B" w:rsidRDefault="0046393B" w:rsidP="00654E8F">
      <w:pPr>
        <w:spacing w:before="240"/>
        <w:rPr>
          <w:rFonts w:cs="Times New Roman"/>
          <w:szCs w:val="24"/>
        </w:rPr>
      </w:pPr>
    </w:p>
    <w:p w14:paraId="5AB1599A" w14:textId="77777777" w:rsidR="0046393B" w:rsidRPr="0046393B" w:rsidRDefault="0046393B" w:rsidP="0046393B">
      <w:pPr>
        <w:rPr>
          <w:szCs w:val="24"/>
        </w:rPr>
      </w:pPr>
      <w:r w:rsidRPr="0046393B">
        <w:rPr>
          <w:rFonts w:hint="eastAsia"/>
          <w:szCs w:val="24"/>
        </w:rPr>
        <w:t>T</w:t>
      </w:r>
      <w:r w:rsidRPr="0046393B">
        <w:rPr>
          <w:szCs w:val="24"/>
        </w:rPr>
        <w:t>able.S1 Antibodies Used in Flow Cytometric Analysis.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46393B" w:rsidRPr="0046393B" w14:paraId="2F66BD5D" w14:textId="77777777" w:rsidTr="00380E4B">
        <w:tc>
          <w:tcPr>
            <w:tcW w:w="2840" w:type="dxa"/>
            <w:shd w:val="clear" w:color="auto" w:fill="auto"/>
          </w:tcPr>
          <w:p w14:paraId="60C75ECE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T</w:t>
            </w:r>
            <w:r w:rsidRPr="0046393B">
              <w:rPr>
                <w:szCs w:val="24"/>
              </w:rPr>
              <w:t xml:space="preserve">arget antigen </w:t>
            </w:r>
          </w:p>
        </w:tc>
        <w:tc>
          <w:tcPr>
            <w:tcW w:w="2841" w:type="dxa"/>
            <w:shd w:val="clear" w:color="auto" w:fill="auto"/>
          </w:tcPr>
          <w:p w14:paraId="5B8CFA52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F</w:t>
            </w:r>
            <w:r w:rsidRPr="0046393B">
              <w:rPr>
                <w:szCs w:val="24"/>
              </w:rPr>
              <w:t xml:space="preserve">luorochrome </w:t>
            </w:r>
          </w:p>
        </w:tc>
        <w:tc>
          <w:tcPr>
            <w:tcW w:w="2841" w:type="dxa"/>
            <w:shd w:val="clear" w:color="auto" w:fill="auto"/>
          </w:tcPr>
          <w:p w14:paraId="4A6C14CC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proofErr w:type="spellStart"/>
            <w:r w:rsidRPr="0046393B">
              <w:rPr>
                <w:rFonts w:hint="eastAsia"/>
                <w:szCs w:val="24"/>
              </w:rPr>
              <w:t>V</w:t>
            </w:r>
            <w:r w:rsidRPr="0046393B">
              <w:rPr>
                <w:szCs w:val="24"/>
              </w:rPr>
              <w:t>endro</w:t>
            </w:r>
            <w:proofErr w:type="spellEnd"/>
          </w:p>
        </w:tc>
      </w:tr>
      <w:tr w:rsidR="0046393B" w:rsidRPr="0046393B" w14:paraId="064B5037" w14:textId="77777777" w:rsidTr="00380E4B">
        <w:tc>
          <w:tcPr>
            <w:tcW w:w="2840" w:type="dxa"/>
            <w:shd w:val="clear" w:color="auto" w:fill="auto"/>
          </w:tcPr>
          <w:p w14:paraId="137B57CE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C</w:t>
            </w:r>
            <w:r w:rsidRPr="0046393B">
              <w:rPr>
                <w:szCs w:val="24"/>
              </w:rPr>
              <w:t>D3</w:t>
            </w:r>
          </w:p>
        </w:tc>
        <w:tc>
          <w:tcPr>
            <w:tcW w:w="2841" w:type="dxa"/>
            <w:shd w:val="clear" w:color="auto" w:fill="auto"/>
          </w:tcPr>
          <w:p w14:paraId="7DE42418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F</w:t>
            </w:r>
            <w:r w:rsidRPr="0046393B">
              <w:rPr>
                <w:szCs w:val="24"/>
              </w:rPr>
              <w:t>ITC</w:t>
            </w:r>
          </w:p>
        </w:tc>
        <w:tc>
          <w:tcPr>
            <w:tcW w:w="2841" w:type="dxa"/>
            <w:shd w:val="clear" w:color="auto" w:fill="auto"/>
          </w:tcPr>
          <w:p w14:paraId="344997A4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bookmarkStart w:id="0" w:name="OLE_LINK1"/>
            <w:proofErr w:type="spellStart"/>
            <w:r w:rsidRPr="0046393B">
              <w:rPr>
                <w:rFonts w:hint="eastAsia"/>
                <w:szCs w:val="24"/>
              </w:rPr>
              <w:t>B</w:t>
            </w:r>
            <w:r w:rsidRPr="0046393B">
              <w:rPr>
                <w:szCs w:val="24"/>
              </w:rPr>
              <w:t>iolegend</w:t>
            </w:r>
            <w:bookmarkEnd w:id="0"/>
            <w:proofErr w:type="spellEnd"/>
          </w:p>
        </w:tc>
      </w:tr>
      <w:tr w:rsidR="0046393B" w:rsidRPr="0046393B" w14:paraId="0A24F96F" w14:textId="77777777" w:rsidTr="00380E4B">
        <w:tc>
          <w:tcPr>
            <w:tcW w:w="2840" w:type="dxa"/>
            <w:shd w:val="clear" w:color="auto" w:fill="auto"/>
          </w:tcPr>
          <w:p w14:paraId="1250F519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C</w:t>
            </w:r>
            <w:r w:rsidRPr="0046393B">
              <w:rPr>
                <w:szCs w:val="24"/>
              </w:rPr>
              <w:t>D4</w:t>
            </w:r>
          </w:p>
        </w:tc>
        <w:tc>
          <w:tcPr>
            <w:tcW w:w="2841" w:type="dxa"/>
            <w:shd w:val="clear" w:color="auto" w:fill="auto"/>
          </w:tcPr>
          <w:p w14:paraId="46D76C84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proofErr w:type="spellStart"/>
            <w:r w:rsidRPr="0046393B">
              <w:rPr>
                <w:rFonts w:hint="eastAsia"/>
                <w:szCs w:val="24"/>
              </w:rPr>
              <w:t>P</w:t>
            </w:r>
            <w:r w:rsidRPr="0046393B">
              <w:rPr>
                <w:szCs w:val="24"/>
              </w:rPr>
              <w:t>erCp</w:t>
            </w:r>
            <w:proofErr w:type="spellEnd"/>
          </w:p>
        </w:tc>
        <w:tc>
          <w:tcPr>
            <w:tcW w:w="2841" w:type="dxa"/>
            <w:shd w:val="clear" w:color="auto" w:fill="auto"/>
          </w:tcPr>
          <w:p w14:paraId="516AD2C7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proofErr w:type="spellStart"/>
            <w:r w:rsidRPr="0046393B">
              <w:rPr>
                <w:rFonts w:hint="eastAsia"/>
                <w:szCs w:val="24"/>
              </w:rPr>
              <w:t>B</w:t>
            </w:r>
            <w:r w:rsidRPr="0046393B">
              <w:rPr>
                <w:szCs w:val="24"/>
              </w:rPr>
              <w:t>iolegend</w:t>
            </w:r>
            <w:proofErr w:type="spellEnd"/>
          </w:p>
        </w:tc>
      </w:tr>
      <w:tr w:rsidR="0046393B" w:rsidRPr="0046393B" w14:paraId="706DF2B0" w14:textId="77777777" w:rsidTr="00380E4B">
        <w:tc>
          <w:tcPr>
            <w:tcW w:w="2840" w:type="dxa"/>
            <w:shd w:val="clear" w:color="auto" w:fill="auto"/>
          </w:tcPr>
          <w:p w14:paraId="4781C255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F</w:t>
            </w:r>
            <w:r w:rsidRPr="0046393B">
              <w:rPr>
                <w:szCs w:val="24"/>
              </w:rPr>
              <w:t>oxp</w:t>
            </w:r>
            <w:r w:rsidRPr="0046393B">
              <w:rPr>
                <w:rFonts w:hint="eastAsia"/>
                <w:szCs w:val="24"/>
              </w:rPr>
              <w:t>3</w:t>
            </w:r>
          </w:p>
        </w:tc>
        <w:tc>
          <w:tcPr>
            <w:tcW w:w="2841" w:type="dxa"/>
            <w:shd w:val="clear" w:color="auto" w:fill="auto"/>
          </w:tcPr>
          <w:p w14:paraId="58091AC2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P</w:t>
            </w:r>
            <w:r w:rsidRPr="0046393B">
              <w:rPr>
                <w:szCs w:val="24"/>
              </w:rPr>
              <w:t>E</w:t>
            </w:r>
          </w:p>
        </w:tc>
        <w:tc>
          <w:tcPr>
            <w:tcW w:w="2841" w:type="dxa"/>
            <w:shd w:val="clear" w:color="auto" w:fill="auto"/>
          </w:tcPr>
          <w:p w14:paraId="7054632F" w14:textId="77777777" w:rsidR="0046393B" w:rsidRPr="0046393B" w:rsidRDefault="0046393B" w:rsidP="00380E4B">
            <w:pPr>
              <w:rPr>
                <w:rFonts w:hint="eastAsia"/>
                <w:b/>
                <w:bCs/>
                <w:szCs w:val="24"/>
              </w:rPr>
            </w:pPr>
            <w:proofErr w:type="spellStart"/>
            <w:r w:rsidRPr="0046393B">
              <w:rPr>
                <w:rFonts w:hint="eastAsia"/>
                <w:szCs w:val="24"/>
              </w:rPr>
              <w:t>B</w:t>
            </w:r>
            <w:r w:rsidRPr="0046393B">
              <w:rPr>
                <w:szCs w:val="24"/>
              </w:rPr>
              <w:t>iolegend</w:t>
            </w:r>
            <w:proofErr w:type="spellEnd"/>
          </w:p>
        </w:tc>
      </w:tr>
      <w:tr w:rsidR="0046393B" w:rsidRPr="0046393B" w14:paraId="50527901" w14:textId="77777777" w:rsidTr="00380E4B">
        <w:tc>
          <w:tcPr>
            <w:tcW w:w="2840" w:type="dxa"/>
            <w:shd w:val="clear" w:color="auto" w:fill="auto"/>
          </w:tcPr>
          <w:p w14:paraId="45044A71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I</w:t>
            </w:r>
            <w:r w:rsidRPr="0046393B">
              <w:rPr>
                <w:szCs w:val="24"/>
              </w:rPr>
              <w:t>L-17A</w:t>
            </w:r>
          </w:p>
        </w:tc>
        <w:tc>
          <w:tcPr>
            <w:tcW w:w="2841" w:type="dxa"/>
            <w:shd w:val="clear" w:color="auto" w:fill="auto"/>
          </w:tcPr>
          <w:p w14:paraId="50A8984F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r w:rsidRPr="0046393B">
              <w:rPr>
                <w:rFonts w:hint="eastAsia"/>
                <w:szCs w:val="24"/>
              </w:rPr>
              <w:t>A</w:t>
            </w:r>
            <w:r w:rsidRPr="0046393B">
              <w:rPr>
                <w:szCs w:val="24"/>
              </w:rPr>
              <w:t>PC</w:t>
            </w:r>
          </w:p>
        </w:tc>
        <w:tc>
          <w:tcPr>
            <w:tcW w:w="2841" w:type="dxa"/>
            <w:shd w:val="clear" w:color="auto" w:fill="auto"/>
          </w:tcPr>
          <w:p w14:paraId="6EE7DE92" w14:textId="77777777" w:rsidR="0046393B" w:rsidRPr="0046393B" w:rsidRDefault="0046393B" w:rsidP="00380E4B">
            <w:pPr>
              <w:rPr>
                <w:rFonts w:hint="eastAsia"/>
                <w:szCs w:val="24"/>
              </w:rPr>
            </w:pPr>
            <w:proofErr w:type="spellStart"/>
            <w:r w:rsidRPr="0046393B">
              <w:rPr>
                <w:rFonts w:hint="eastAsia"/>
                <w:szCs w:val="24"/>
              </w:rPr>
              <w:t>B</w:t>
            </w:r>
            <w:r w:rsidRPr="0046393B">
              <w:rPr>
                <w:szCs w:val="24"/>
              </w:rPr>
              <w:t>iolegend</w:t>
            </w:r>
            <w:proofErr w:type="spellEnd"/>
          </w:p>
        </w:tc>
      </w:tr>
    </w:tbl>
    <w:p w14:paraId="463E2F82" w14:textId="77777777" w:rsidR="0046393B" w:rsidRPr="0046393B" w:rsidRDefault="0046393B" w:rsidP="00654E8F">
      <w:pPr>
        <w:spacing w:before="240"/>
        <w:rPr>
          <w:rFonts w:cs="Times New Roman"/>
          <w:szCs w:val="24"/>
        </w:rPr>
      </w:pPr>
    </w:p>
    <w:sectPr w:rsidR="0046393B" w:rsidRPr="0046393B" w:rsidSect="0093429D">
      <w:headerReference w:type="even" r:id="rId12"/>
      <w:footerReference w:type="even" r:id="rId13"/>
      <w:footerReference w:type="default" r:id="rId14"/>
      <w:headerReference w:type="first" r:id="rId1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02197" w14:textId="77777777" w:rsidR="000F3853" w:rsidRDefault="000F3853" w:rsidP="00117666">
      <w:pPr>
        <w:spacing w:after="0"/>
      </w:pPr>
      <w:r>
        <w:separator/>
      </w:r>
    </w:p>
  </w:endnote>
  <w:endnote w:type="continuationSeparator" w:id="0">
    <w:p w14:paraId="2B4F0F45" w14:textId="77777777" w:rsidR="000F3853" w:rsidRDefault="000F3853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400DB" w14:textId="77777777" w:rsidR="000F3853" w:rsidRDefault="000F3853" w:rsidP="00117666">
      <w:pPr>
        <w:spacing w:after="0"/>
      </w:pPr>
      <w:r>
        <w:separator/>
      </w:r>
    </w:p>
  </w:footnote>
  <w:footnote w:type="continuationSeparator" w:id="0">
    <w:p w14:paraId="20C5377D" w14:textId="77777777" w:rsidR="000F3853" w:rsidRDefault="000F3853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16219052">
    <w:abstractNumId w:val="0"/>
  </w:num>
  <w:num w:numId="2" w16cid:durableId="1276255116">
    <w:abstractNumId w:val="4"/>
  </w:num>
  <w:num w:numId="3" w16cid:durableId="454176671">
    <w:abstractNumId w:val="1"/>
  </w:num>
  <w:num w:numId="4" w16cid:durableId="1031342293">
    <w:abstractNumId w:val="5"/>
  </w:num>
  <w:num w:numId="5" w16cid:durableId="20039246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20411909">
    <w:abstractNumId w:val="3"/>
  </w:num>
  <w:num w:numId="7" w16cid:durableId="1208107060">
    <w:abstractNumId w:val="6"/>
  </w:num>
  <w:num w:numId="8" w16cid:durableId="260064019">
    <w:abstractNumId w:val="6"/>
  </w:num>
  <w:num w:numId="9" w16cid:durableId="1168330433">
    <w:abstractNumId w:val="6"/>
  </w:num>
  <w:num w:numId="10" w16cid:durableId="1172179100">
    <w:abstractNumId w:val="6"/>
  </w:num>
  <w:num w:numId="11" w16cid:durableId="172687600">
    <w:abstractNumId w:val="6"/>
  </w:num>
  <w:num w:numId="12" w16cid:durableId="1450122941">
    <w:abstractNumId w:val="6"/>
  </w:num>
  <w:num w:numId="13" w16cid:durableId="1913923958">
    <w:abstractNumId w:val="3"/>
  </w:num>
  <w:num w:numId="14" w16cid:durableId="1563978675">
    <w:abstractNumId w:val="2"/>
  </w:num>
  <w:num w:numId="15" w16cid:durableId="1779988000">
    <w:abstractNumId w:val="2"/>
  </w:num>
  <w:num w:numId="16" w16cid:durableId="347098262">
    <w:abstractNumId w:val="2"/>
  </w:num>
  <w:num w:numId="17" w16cid:durableId="931166595">
    <w:abstractNumId w:val="2"/>
  </w:num>
  <w:num w:numId="18" w16cid:durableId="791552916">
    <w:abstractNumId w:val="2"/>
  </w:num>
  <w:num w:numId="19" w16cid:durableId="19534343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F38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6393B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4</TotalTime>
  <Pages>6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王 小治</cp:lastModifiedBy>
  <cp:revision>3</cp:revision>
  <cp:lastPrinted>2013-10-03T12:51:00Z</cp:lastPrinted>
  <dcterms:created xsi:type="dcterms:W3CDTF">2018-11-23T08:58:00Z</dcterms:created>
  <dcterms:modified xsi:type="dcterms:W3CDTF">2022-08-08T06:42:00Z</dcterms:modified>
</cp:coreProperties>
</file>