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C4BCE" w14:textId="4AA77AF0" w:rsidR="00CA5095" w:rsidRPr="00CA5095" w:rsidRDefault="00CA5095" w:rsidP="00CA5095">
      <w:pPr>
        <w:spacing w:line="480" w:lineRule="auto"/>
        <w:jc w:val="both"/>
        <w:rPr>
          <w:b/>
          <w:color w:val="000000" w:themeColor="text1"/>
          <w:u w:val="single"/>
        </w:rPr>
      </w:pPr>
      <w:r w:rsidRPr="00CA5095">
        <w:rPr>
          <w:b/>
          <w:color w:val="000000" w:themeColor="text1"/>
          <w:u w:val="single"/>
        </w:rPr>
        <w:t>Supplementary 1:</w:t>
      </w:r>
    </w:p>
    <w:p w14:paraId="11219306" w14:textId="61B8F9FF" w:rsidR="00CA5095" w:rsidRPr="005A272D" w:rsidRDefault="00CA5095" w:rsidP="00CA5095">
      <w:pPr>
        <w:spacing w:line="480" w:lineRule="auto"/>
        <w:jc w:val="both"/>
        <w:rPr>
          <w:b/>
          <w:color w:val="000000" w:themeColor="text1"/>
        </w:rPr>
      </w:pPr>
      <w:r w:rsidRPr="005A272D">
        <w:rPr>
          <w:b/>
          <w:color w:val="000000" w:themeColor="text1"/>
        </w:rPr>
        <w:t>Case 1:</w:t>
      </w:r>
    </w:p>
    <w:p w14:paraId="5012157C" w14:textId="77777777" w:rsidR="00CA5095" w:rsidRPr="005A272D" w:rsidRDefault="00CA5095" w:rsidP="00CA5095">
      <w:pPr>
        <w:spacing w:line="480" w:lineRule="auto"/>
        <w:jc w:val="both"/>
        <w:rPr>
          <w:color w:val="000000" w:themeColor="text1"/>
        </w:rPr>
      </w:pPr>
      <w:r w:rsidRPr="005A272D">
        <w:rPr>
          <w:color w:val="000000" w:themeColor="text1"/>
        </w:rPr>
        <w:t>A 59-year-old man with medical history of metastatic to brain germ cell tumor s/p chemo and whole-brain radiation, subsequently developed</w:t>
      </w:r>
      <w:r w:rsidRPr="005A272D">
        <w:rPr>
          <w:color w:val="000000" w:themeColor="text1"/>
          <w:shd w:val="clear" w:color="auto" w:fill="FFFFFF"/>
        </w:rPr>
        <w:t xml:space="preserve"> therapy related MDS that progressed to AML with 67% myeloblasts. He received induction followed by consolidation chemotherapy before relapsing the following year with 34% myeloblasts. After gemcitabine and mitoxantrone salvage chemotherapy, he experienced a short-lived remission and underwent </w:t>
      </w:r>
      <w:proofErr w:type="spellStart"/>
      <w:r w:rsidRPr="005A272D">
        <w:rPr>
          <w:color w:val="000000" w:themeColor="text1"/>
          <w:shd w:val="clear" w:color="auto" w:fill="FFFFFF"/>
        </w:rPr>
        <w:t>triapine</w:t>
      </w:r>
      <w:proofErr w:type="spellEnd"/>
      <w:r w:rsidRPr="005A272D">
        <w:rPr>
          <w:color w:val="000000" w:themeColor="text1"/>
          <w:shd w:val="clear" w:color="auto" w:fill="FFFFFF"/>
        </w:rPr>
        <w:t xml:space="preserve"> and cytarabine. Following his second complete remission (CR2), the patient underwent a match unrelated donor (MUD) </w:t>
      </w:r>
      <w:proofErr w:type="spellStart"/>
      <w:r w:rsidRPr="005A272D">
        <w:rPr>
          <w:color w:val="000000" w:themeColor="text1"/>
          <w:shd w:val="clear" w:color="auto" w:fill="FFFFFF"/>
        </w:rPr>
        <w:t>alloHSCT</w:t>
      </w:r>
      <w:proofErr w:type="spellEnd"/>
      <w:r w:rsidRPr="005A272D">
        <w:rPr>
          <w:color w:val="000000" w:themeColor="text1"/>
          <w:shd w:val="clear" w:color="auto" w:fill="FFFFFF"/>
        </w:rPr>
        <w:t>. conditioned with fludarabine dose of 40mg/m</w:t>
      </w:r>
      <w:r w:rsidRPr="005A272D">
        <w:rPr>
          <w:color w:val="000000" w:themeColor="text1"/>
          <w:shd w:val="clear" w:color="auto" w:fill="FFFFFF"/>
          <w:vertAlign w:val="superscript"/>
        </w:rPr>
        <w:t>2</w:t>
      </w:r>
      <w:r w:rsidRPr="005A272D">
        <w:rPr>
          <w:color w:val="000000" w:themeColor="text1"/>
          <w:shd w:val="clear" w:color="auto" w:fill="FFFFFF"/>
        </w:rPr>
        <w:t xml:space="preserve"> IV daily and Bu at 130mg/m</w:t>
      </w:r>
      <w:r w:rsidRPr="005A272D">
        <w:rPr>
          <w:color w:val="000000" w:themeColor="text1"/>
          <w:shd w:val="clear" w:color="auto" w:fill="FFFFFF"/>
          <w:vertAlign w:val="superscript"/>
        </w:rPr>
        <w:t>2</w:t>
      </w:r>
      <w:r w:rsidRPr="005A272D">
        <w:rPr>
          <w:color w:val="000000" w:themeColor="text1"/>
          <w:shd w:val="clear" w:color="auto" w:fill="FFFFFF"/>
        </w:rPr>
        <w:t xml:space="preserve"> IV daily, </w:t>
      </w:r>
      <w:proofErr w:type="spellStart"/>
      <w:r w:rsidRPr="005A272D">
        <w:rPr>
          <w:color w:val="000000" w:themeColor="text1"/>
          <w:shd w:val="clear" w:color="auto" w:fill="FFFFFF"/>
        </w:rPr>
        <w:t>antithymocyte</w:t>
      </w:r>
      <w:proofErr w:type="spellEnd"/>
      <w:r w:rsidRPr="005A272D">
        <w:rPr>
          <w:color w:val="000000" w:themeColor="text1"/>
          <w:shd w:val="clear" w:color="auto" w:fill="FFFFFF"/>
        </w:rPr>
        <w:t xml:space="preserve"> globulin (ATG) at 20mg/kg IV on days -3 to -1, and phenytoin for seizure prophylaxis. GvHD prophylaxis included tacrolimus and methotrexate (MTX). </w:t>
      </w:r>
    </w:p>
    <w:p w14:paraId="60CF1AC0" w14:textId="77777777" w:rsidR="00CA5095" w:rsidRPr="005A272D" w:rsidRDefault="00CA5095" w:rsidP="00CA5095">
      <w:pPr>
        <w:spacing w:line="480" w:lineRule="auto"/>
        <w:jc w:val="both"/>
        <w:rPr>
          <w:color w:val="000000" w:themeColor="text1"/>
        </w:rPr>
      </w:pPr>
    </w:p>
    <w:p w14:paraId="04421663" w14:textId="77777777" w:rsidR="00CA5095" w:rsidRPr="005A272D" w:rsidRDefault="00CA5095" w:rsidP="00CA5095">
      <w:pPr>
        <w:spacing w:line="480" w:lineRule="auto"/>
        <w:jc w:val="both"/>
        <w:rPr>
          <w:color w:val="000000" w:themeColor="text1"/>
        </w:rPr>
      </w:pPr>
      <w:r w:rsidRPr="005A272D">
        <w:rPr>
          <w:color w:val="000000" w:themeColor="text1"/>
          <w:shd w:val="clear" w:color="auto" w:fill="FFFFFF"/>
        </w:rPr>
        <w:t>Immediately following the first dose of ATG on day -3, the patient developed hypotension, fever, and altered mental status. </w:t>
      </w:r>
      <w:r w:rsidRPr="005A272D">
        <w:rPr>
          <w:color w:val="000000" w:themeColor="text1"/>
        </w:rPr>
        <w:t>Upon assessment, he was afebrile and had normal vital signs</w:t>
      </w:r>
      <w:r w:rsidRPr="005A272D">
        <w:rPr>
          <w:color w:val="000000" w:themeColor="text1"/>
          <w:shd w:val="clear" w:color="auto" w:fill="FFFFFF"/>
        </w:rPr>
        <w:t>. </w:t>
      </w:r>
      <w:r w:rsidRPr="005A272D">
        <w:rPr>
          <w:color w:val="000000" w:themeColor="text1"/>
        </w:rPr>
        <w:t xml:space="preserve"> </w:t>
      </w:r>
      <w:r w:rsidRPr="005A272D">
        <w:rPr>
          <w:color w:val="000000" w:themeColor="text1"/>
          <w:shd w:val="clear" w:color="auto" w:fill="FFFFFF"/>
        </w:rPr>
        <w:t>On neurological examination, he was awake and oriented only to person. He showed enhanced tone in the upper extremities and subtle cogwheel rigidity at the elbows. Deep tendon reflexes were 2+ in the upper extremities and 1+ in the lower extremities. His speech was clear, but he had difficulty following one-step commands. He showed no signs of hallucination or delusions. </w:t>
      </w:r>
      <w:r w:rsidRPr="005A272D">
        <w:rPr>
          <w:color w:val="000000" w:themeColor="text1"/>
        </w:rPr>
        <w:t xml:space="preserve"> Laboratory results revealed pancytopenia, normal chemistries. A computed tomography (CT) brain revealed only moderate to severe atrophy. During the following day, he remained somnolent, only oriented to person, and displayed increased tremors and difficulty walking. A magnetic resonance imaging (MRI) of the brain revealed possible secondary ischemia or radiation-induced white matter hyperintensity. The electroencephalogram (EEG) trace showed delta theta activity and triphasic </w:t>
      </w:r>
      <w:r w:rsidRPr="005A272D">
        <w:rPr>
          <w:color w:val="000000" w:themeColor="text1"/>
        </w:rPr>
        <w:lastRenderedPageBreak/>
        <w:t>waves in the anterior brain without epileptiform discharges, suggesting a moderate diffuse encephalopathy. Analysis of cerebrospinal fluid (CSF) obtained on two instances revealed no evidence of malignancy, and a thorough infection workup negative. </w:t>
      </w:r>
    </w:p>
    <w:p w14:paraId="7661973F" w14:textId="77777777" w:rsidR="00CA5095" w:rsidRPr="005A272D" w:rsidRDefault="00CA5095" w:rsidP="00CA5095">
      <w:pPr>
        <w:spacing w:line="480" w:lineRule="auto"/>
        <w:jc w:val="both"/>
        <w:rPr>
          <w:color w:val="000000" w:themeColor="text1"/>
          <w:shd w:val="clear" w:color="auto" w:fill="FFFFFF"/>
        </w:rPr>
      </w:pPr>
    </w:p>
    <w:p w14:paraId="18F45070" w14:textId="77777777" w:rsidR="00CA5095" w:rsidRPr="005A272D" w:rsidRDefault="00CA5095" w:rsidP="00CA5095">
      <w:pPr>
        <w:spacing w:line="480" w:lineRule="auto"/>
        <w:jc w:val="both"/>
        <w:rPr>
          <w:color w:val="000000" w:themeColor="text1"/>
        </w:rPr>
      </w:pPr>
      <w:r w:rsidRPr="005A272D">
        <w:rPr>
          <w:color w:val="000000" w:themeColor="text1"/>
          <w:shd w:val="clear" w:color="auto" w:fill="FFFFFF"/>
        </w:rPr>
        <w:t>The patient's mental state continued to deteriorate in the following days post stem cell infusion, with progressive apraxia and stupor</w:t>
      </w:r>
      <w:r w:rsidRPr="005A272D">
        <w:rPr>
          <w:color w:val="000000" w:themeColor="text1"/>
        </w:rPr>
        <w:t>. A repeat CT of the head revealed mild dilation of the lateral ventricles as well as prominent cerebellar sulci atrophy, but no other abnormalities. The repeat EEG revealed abnormal epileptiform discharges along the right parasagittal area and relative voltage attenuation affecting the entire left hemisphere. Considering his clinical deterioration, the family decided to transition him to comfort care the following day. Two days later</w:t>
      </w:r>
      <w:r w:rsidRPr="005A272D">
        <w:rPr>
          <w:color w:val="000000" w:themeColor="text1"/>
          <w:shd w:val="clear" w:color="auto" w:fill="FFFFFF"/>
        </w:rPr>
        <w:t xml:space="preserve"> and forty-one days after the first occurrence of the altered mentation, he was pronounced dead. </w:t>
      </w:r>
    </w:p>
    <w:p w14:paraId="6FBE9899" w14:textId="77777777" w:rsidR="00CA5095" w:rsidRPr="005A272D" w:rsidRDefault="00CA5095" w:rsidP="00CA5095">
      <w:pPr>
        <w:spacing w:line="480" w:lineRule="auto"/>
        <w:jc w:val="both"/>
        <w:rPr>
          <w:color w:val="000000" w:themeColor="text1"/>
        </w:rPr>
      </w:pPr>
    </w:p>
    <w:p w14:paraId="7DF12375" w14:textId="77777777" w:rsidR="00CA5095" w:rsidRPr="005A272D" w:rsidRDefault="00CA5095" w:rsidP="00CA5095">
      <w:pPr>
        <w:spacing w:line="480" w:lineRule="auto"/>
        <w:jc w:val="both"/>
        <w:rPr>
          <w:b/>
          <w:bCs/>
          <w:color w:val="000000" w:themeColor="text1"/>
        </w:rPr>
      </w:pPr>
      <w:r w:rsidRPr="005A272D">
        <w:rPr>
          <w:b/>
          <w:bCs/>
          <w:color w:val="000000" w:themeColor="text1"/>
        </w:rPr>
        <w:t>Case 2:</w:t>
      </w:r>
    </w:p>
    <w:p w14:paraId="26EA45B4" w14:textId="77777777" w:rsidR="00CA5095" w:rsidRPr="005A272D" w:rsidRDefault="00CA5095" w:rsidP="00CA5095">
      <w:pPr>
        <w:spacing w:line="480" w:lineRule="auto"/>
        <w:jc w:val="both"/>
        <w:rPr>
          <w:color w:val="000000" w:themeColor="text1"/>
        </w:rPr>
      </w:pPr>
      <w:r w:rsidRPr="005A272D">
        <w:rPr>
          <w:color w:val="000000" w:themeColor="text1"/>
        </w:rPr>
        <w:t xml:space="preserve">A 54-year-old man diagnosed with AML underwent induction chemotherapy with doxorubicin and cytarabine, followed by consolidation but unfortunately relapsed </w:t>
      </w:r>
      <w:r w:rsidRPr="005A272D">
        <w:rPr>
          <w:color w:val="000000" w:themeColor="text1"/>
          <w:shd w:val="clear" w:color="auto" w:fill="FFFFFF"/>
        </w:rPr>
        <w:t xml:space="preserve">and underwent an unknown salvage therapy followed by a matched related donor (MRD) sibling </w:t>
      </w:r>
      <w:proofErr w:type="spellStart"/>
      <w:r w:rsidRPr="005A272D">
        <w:rPr>
          <w:color w:val="000000" w:themeColor="text1"/>
          <w:shd w:val="clear" w:color="auto" w:fill="FFFFFF"/>
        </w:rPr>
        <w:t>alloHSCT</w:t>
      </w:r>
      <w:proofErr w:type="spellEnd"/>
      <w:r w:rsidRPr="005A272D">
        <w:rPr>
          <w:color w:val="000000" w:themeColor="text1"/>
          <w:shd w:val="clear" w:color="auto" w:fill="FFFFFF"/>
        </w:rPr>
        <w:t xml:space="preserve">, using </w:t>
      </w:r>
      <w:proofErr w:type="spellStart"/>
      <w:r w:rsidRPr="005A272D">
        <w:rPr>
          <w:color w:val="000000" w:themeColor="text1"/>
          <w:shd w:val="clear" w:color="auto" w:fill="FFFFFF"/>
        </w:rPr>
        <w:t>piperazinedione</w:t>
      </w:r>
      <w:proofErr w:type="spellEnd"/>
      <w:r w:rsidRPr="005A272D">
        <w:rPr>
          <w:color w:val="000000" w:themeColor="text1"/>
          <w:shd w:val="clear" w:color="auto" w:fill="FFFFFF"/>
        </w:rPr>
        <w:t xml:space="preserve"> and total body irradiation (TBI) conditioning. </w:t>
      </w:r>
      <w:r w:rsidRPr="005A272D">
        <w:rPr>
          <w:color w:val="000000" w:themeColor="text1"/>
        </w:rPr>
        <w:t xml:space="preserve">Approximately twenty years later, he was found to have anemia and a bone marrow biopsy revealed CMML-2 with 10% blasts and normal cytogenetics. </w:t>
      </w:r>
      <w:r w:rsidRPr="005A272D">
        <w:rPr>
          <w:color w:val="000000" w:themeColor="text1"/>
          <w:shd w:val="clear" w:color="auto" w:fill="FFFFFF"/>
        </w:rPr>
        <w:t xml:space="preserve">After being treated with decitabine, he was prepared to undergo a second allogeneic stem cell transplant.  </w:t>
      </w:r>
      <w:proofErr w:type="gramStart"/>
      <w:r w:rsidRPr="005A272D">
        <w:rPr>
          <w:color w:val="000000" w:themeColor="text1"/>
        </w:rPr>
        <w:t>In the course of</w:t>
      </w:r>
      <w:proofErr w:type="gramEnd"/>
      <w:r w:rsidRPr="005A272D">
        <w:rPr>
          <w:color w:val="000000" w:themeColor="text1"/>
        </w:rPr>
        <w:t xml:space="preserve"> his pre-transplant work-up, he had a CT sinus that revealed a subdural hematoma (SDH) in the right side, as well as a midline shift and effacement of the cortical surfaces. In the previous weeks, he reported mild headaches and dizziness, but no </w:t>
      </w:r>
      <w:r w:rsidRPr="005A272D">
        <w:rPr>
          <w:color w:val="000000" w:themeColor="text1"/>
        </w:rPr>
        <w:lastRenderedPageBreak/>
        <w:t xml:space="preserve">other neurological complaints or traumatic events. </w:t>
      </w:r>
      <w:r w:rsidRPr="005A272D">
        <w:rPr>
          <w:color w:val="000000" w:themeColor="text1"/>
          <w:shd w:val="clear" w:color="auto" w:fill="FFFFFF"/>
        </w:rPr>
        <w:t xml:space="preserve">His medical history was notable for lumbar laminectomy for a herniated disk, as well as resection of a spinal schwannoma. </w:t>
      </w:r>
    </w:p>
    <w:p w14:paraId="0480CA29" w14:textId="77777777" w:rsidR="00CA5095" w:rsidRPr="005A272D" w:rsidRDefault="00CA5095" w:rsidP="00CA5095">
      <w:pPr>
        <w:spacing w:line="480" w:lineRule="auto"/>
        <w:jc w:val="both"/>
        <w:rPr>
          <w:color w:val="000000" w:themeColor="text1"/>
          <w:shd w:val="clear" w:color="auto" w:fill="FFFFFF"/>
        </w:rPr>
      </w:pPr>
    </w:p>
    <w:p w14:paraId="5BD82A1C" w14:textId="77777777" w:rsidR="00CA5095" w:rsidRPr="005A272D" w:rsidRDefault="00CA5095" w:rsidP="00CA5095">
      <w:pPr>
        <w:spacing w:line="480" w:lineRule="auto"/>
        <w:jc w:val="both"/>
        <w:rPr>
          <w:color w:val="000000" w:themeColor="text1"/>
        </w:rPr>
      </w:pPr>
      <w:r w:rsidRPr="005A272D">
        <w:rPr>
          <w:color w:val="000000" w:themeColor="text1"/>
          <w:shd w:val="clear" w:color="auto" w:fill="FFFFFF"/>
        </w:rPr>
        <w:t xml:space="preserve">After two months of recovery and achieving a partial response of his AML (6% bone marrow blasts), the patient was admitted for his second donor stem cell transplant. The second transplant consisted of a MUD </w:t>
      </w:r>
      <w:proofErr w:type="spellStart"/>
      <w:r w:rsidRPr="005A272D">
        <w:rPr>
          <w:color w:val="000000" w:themeColor="text1"/>
          <w:shd w:val="clear" w:color="auto" w:fill="FFFFFF"/>
        </w:rPr>
        <w:t>alloHSCT</w:t>
      </w:r>
      <w:proofErr w:type="spellEnd"/>
      <w:r w:rsidRPr="005A272D">
        <w:rPr>
          <w:color w:val="000000" w:themeColor="text1"/>
          <w:shd w:val="clear" w:color="auto" w:fill="FFFFFF"/>
        </w:rPr>
        <w:t xml:space="preserve"> using fludarabine at 40 mg/m2 IV daily and Bu at 130 mg/m2 IV daily from days -6 to -3, ATG and phenytoin for seizure prevention. </w:t>
      </w:r>
      <w:r w:rsidRPr="005A272D">
        <w:rPr>
          <w:color w:val="000000" w:themeColor="text1"/>
        </w:rPr>
        <w:t>Tacrolimus and methotrexate were used for GvHD prophylaxis. On day -3, following the last dose of chemotherapy, he became agitated and restless. The patient was afebrile and had normal vital signs.</w:t>
      </w:r>
      <w:r w:rsidRPr="005A272D">
        <w:rPr>
          <w:color w:val="000000" w:themeColor="text1"/>
          <w:shd w:val="clear" w:color="auto" w:fill="FFFFFF"/>
        </w:rPr>
        <w:t xml:space="preserve">  </w:t>
      </w:r>
      <w:r w:rsidRPr="005A272D">
        <w:rPr>
          <w:color w:val="000000" w:themeColor="text1"/>
        </w:rPr>
        <w:t xml:space="preserve">Upon neurological examination, he was only oriented to person. His pupils were four mm and reactive to light on both sides. He had preserved muscle strength and sensation, his patellar reflexes were normal, but he had an upgoing left plantar reflex. </w:t>
      </w:r>
    </w:p>
    <w:p w14:paraId="0ED45C40" w14:textId="77777777" w:rsidR="00CA5095" w:rsidRPr="005A272D" w:rsidRDefault="00CA5095" w:rsidP="00CA5095">
      <w:pPr>
        <w:spacing w:line="480" w:lineRule="auto"/>
        <w:jc w:val="both"/>
        <w:rPr>
          <w:color w:val="000000" w:themeColor="text1"/>
        </w:rPr>
      </w:pPr>
      <w:r w:rsidRPr="005A272D">
        <w:rPr>
          <w:color w:val="000000" w:themeColor="text1"/>
        </w:rPr>
        <w:t> </w:t>
      </w:r>
    </w:p>
    <w:p w14:paraId="03E3C232" w14:textId="77777777" w:rsidR="00CA5095" w:rsidRPr="005A272D" w:rsidRDefault="00CA5095" w:rsidP="00CA5095">
      <w:pPr>
        <w:spacing w:line="480" w:lineRule="auto"/>
        <w:jc w:val="both"/>
        <w:rPr>
          <w:color w:val="000000" w:themeColor="text1"/>
        </w:rPr>
      </w:pPr>
      <w:r w:rsidRPr="005A272D">
        <w:rPr>
          <w:color w:val="000000" w:themeColor="text1"/>
        </w:rPr>
        <w:t>In the laboratory studies, the WBC was 16.2 K/</w:t>
      </w:r>
      <w:proofErr w:type="spellStart"/>
      <w:r w:rsidRPr="005A272D">
        <w:rPr>
          <w:color w:val="000000" w:themeColor="text1"/>
        </w:rPr>
        <w:t>mcL</w:t>
      </w:r>
      <w:proofErr w:type="spellEnd"/>
      <w:r w:rsidRPr="005A272D">
        <w:rPr>
          <w:color w:val="000000" w:themeColor="text1"/>
        </w:rPr>
        <w:t>, hemoglobin was 8.5 g/dL, platelet count was 46 K/</w:t>
      </w:r>
      <w:proofErr w:type="spellStart"/>
      <w:r w:rsidRPr="005A272D">
        <w:rPr>
          <w:color w:val="000000" w:themeColor="text1"/>
        </w:rPr>
        <w:t>mcL</w:t>
      </w:r>
      <w:proofErr w:type="spellEnd"/>
      <w:r w:rsidRPr="005A272D">
        <w:rPr>
          <w:color w:val="000000" w:themeColor="text1"/>
        </w:rPr>
        <w:t xml:space="preserve">, chemistry panel was normal except for a mildly elevated carbon dioxide level. A brain imaging study was not conducted, nor an EEG or lumbar puncture for infectious work-up. </w:t>
      </w:r>
      <w:r w:rsidRPr="005A272D">
        <w:rPr>
          <w:color w:val="000000" w:themeColor="text1"/>
          <w:shd w:val="clear" w:color="auto" w:fill="FFFFFF"/>
        </w:rPr>
        <w:t xml:space="preserve">His mentation returned to normal three days after the initial </w:t>
      </w:r>
      <w:proofErr w:type="gramStart"/>
      <w:r w:rsidRPr="005A272D">
        <w:rPr>
          <w:color w:val="000000" w:themeColor="text1"/>
          <w:shd w:val="clear" w:color="auto" w:fill="FFFFFF"/>
        </w:rPr>
        <w:t>event</w:t>
      </w:r>
      <w:proofErr w:type="gramEnd"/>
      <w:r w:rsidRPr="005A272D">
        <w:rPr>
          <w:color w:val="000000" w:themeColor="text1"/>
          <w:shd w:val="clear" w:color="auto" w:fill="FFFFFF"/>
        </w:rPr>
        <w:t xml:space="preserve"> and he was discharged from the hospital on day +16 following successful engraftment. </w:t>
      </w:r>
      <w:r w:rsidRPr="005A272D">
        <w:rPr>
          <w:color w:val="000000" w:themeColor="text1"/>
        </w:rPr>
        <w:t>The brain MRI performed four months after the event revealed complete resolution of the original SDH, but interval development of microhemorrhages within the white matter within the bifrontal periventricular region and right temporal subcortical area, as well as right cerebellar atrophy. </w:t>
      </w:r>
    </w:p>
    <w:p w14:paraId="539D9B74" w14:textId="77777777" w:rsidR="00CA5095" w:rsidRPr="005A272D" w:rsidRDefault="00CA5095" w:rsidP="00CA5095">
      <w:pPr>
        <w:spacing w:line="480" w:lineRule="auto"/>
        <w:jc w:val="both"/>
        <w:rPr>
          <w:color w:val="000000" w:themeColor="text1"/>
        </w:rPr>
      </w:pPr>
    </w:p>
    <w:p w14:paraId="46B2AA7F" w14:textId="77777777" w:rsidR="00520604" w:rsidRDefault="00520604" w:rsidP="00CA5095">
      <w:pPr>
        <w:spacing w:line="480" w:lineRule="auto"/>
        <w:jc w:val="both"/>
        <w:rPr>
          <w:b/>
          <w:color w:val="000000" w:themeColor="text1"/>
        </w:rPr>
      </w:pPr>
    </w:p>
    <w:p w14:paraId="6061A02F" w14:textId="3C9F4F51" w:rsidR="00CA5095" w:rsidRPr="005A272D" w:rsidRDefault="00CA5095" w:rsidP="00CA5095">
      <w:pPr>
        <w:spacing w:line="480" w:lineRule="auto"/>
        <w:jc w:val="both"/>
        <w:rPr>
          <w:b/>
          <w:color w:val="000000" w:themeColor="text1"/>
        </w:rPr>
      </w:pPr>
      <w:r w:rsidRPr="005A272D">
        <w:rPr>
          <w:b/>
          <w:color w:val="000000" w:themeColor="text1"/>
        </w:rPr>
        <w:lastRenderedPageBreak/>
        <w:t>Case 3:</w:t>
      </w:r>
    </w:p>
    <w:p w14:paraId="1C4B0C42" w14:textId="77777777" w:rsidR="00CA5095" w:rsidRPr="005A272D" w:rsidRDefault="00CA5095" w:rsidP="00CA5095">
      <w:pPr>
        <w:spacing w:line="480" w:lineRule="auto"/>
        <w:jc w:val="both"/>
        <w:rPr>
          <w:color w:val="000000" w:themeColor="text1"/>
        </w:rPr>
      </w:pPr>
      <w:r w:rsidRPr="005A272D">
        <w:rPr>
          <w:color w:val="000000" w:themeColor="text1"/>
          <w:shd w:val="clear" w:color="auto" w:fill="FFFFFF"/>
        </w:rPr>
        <w:t xml:space="preserve">A 65-year-old man </w:t>
      </w:r>
      <w:r w:rsidRPr="005A272D">
        <w:rPr>
          <w:color w:val="000000" w:themeColor="text1"/>
        </w:rPr>
        <w:t xml:space="preserve">with a history of prostate cancer s/p surgery was later discovered to have a sacral lesion, which was biopsied and revealed to be B-cell lymphoma with an elevated Ki67 proliferation index (100%), for which he completed six cycles of R-EPOCH (rituximab, </w:t>
      </w:r>
      <w:r w:rsidRPr="005A272D">
        <w:rPr>
          <w:bCs/>
          <w:color w:val="000000" w:themeColor="text1"/>
        </w:rPr>
        <w:t xml:space="preserve">etoposide, prednisone, vincristine, cyclophosphamide, and </w:t>
      </w:r>
      <w:r w:rsidRPr="005A272D">
        <w:rPr>
          <w:color w:val="000000" w:themeColor="text1"/>
          <w:shd w:val="clear" w:color="auto" w:fill="FFFFFF"/>
        </w:rPr>
        <w:t>doxorubicin)</w:t>
      </w:r>
      <w:r w:rsidRPr="005A272D">
        <w:rPr>
          <w:color w:val="000000" w:themeColor="text1"/>
        </w:rPr>
        <w:t xml:space="preserve"> and intrathecal chemotherapy. </w:t>
      </w:r>
    </w:p>
    <w:p w14:paraId="06220A02" w14:textId="77777777" w:rsidR="00CA5095" w:rsidRPr="005A272D" w:rsidRDefault="00CA5095" w:rsidP="00CA5095">
      <w:pPr>
        <w:spacing w:line="480" w:lineRule="auto"/>
        <w:jc w:val="both"/>
        <w:rPr>
          <w:color w:val="000000" w:themeColor="text1"/>
          <w:shd w:val="clear" w:color="auto" w:fill="FFFFFF"/>
        </w:rPr>
      </w:pPr>
      <w:r w:rsidRPr="005A272D">
        <w:rPr>
          <w:color w:val="000000" w:themeColor="text1"/>
        </w:rPr>
        <w:t xml:space="preserve">Following a bone marrow biopsy, the patient was found to have B-ALL that was TP53 </w:t>
      </w:r>
      <w:proofErr w:type="gramStart"/>
      <w:r w:rsidRPr="005A272D">
        <w:rPr>
          <w:color w:val="000000" w:themeColor="text1"/>
        </w:rPr>
        <w:t>mutation  positive</w:t>
      </w:r>
      <w:proofErr w:type="gramEnd"/>
      <w:r w:rsidRPr="005A272D">
        <w:rPr>
          <w:color w:val="000000" w:themeColor="text1"/>
        </w:rPr>
        <w:t xml:space="preserve"> and was treated with two cycles of </w:t>
      </w:r>
      <w:proofErr w:type="spellStart"/>
      <w:r w:rsidRPr="005A272D">
        <w:rPr>
          <w:color w:val="000000" w:themeColor="text1"/>
        </w:rPr>
        <w:t>HyperCVAD</w:t>
      </w:r>
      <w:proofErr w:type="spellEnd"/>
      <w:r w:rsidRPr="005A272D">
        <w:rPr>
          <w:color w:val="000000" w:themeColor="text1"/>
        </w:rPr>
        <w:t xml:space="preserve"> (</w:t>
      </w:r>
      <w:r w:rsidRPr="005A272D">
        <w:rPr>
          <w:color w:val="000000" w:themeColor="text1"/>
          <w:shd w:val="clear" w:color="auto" w:fill="FFFFFF"/>
        </w:rPr>
        <w:t xml:space="preserve">cyclophosphamide, vincristine, doxorubicin, and dexamethasone) and subsequently blinatumomab and </w:t>
      </w:r>
      <w:proofErr w:type="spellStart"/>
      <w:r w:rsidRPr="005A272D">
        <w:rPr>
          <w:color w:val="000000" w:themeColor="text1"/>
          <w:shd w:val="clear" w:color="auto" w:fill="FFFFFF"/>
        </w:rPr>
        <w:t>inotuzumab</w:t>
      </w:r>
      <w:proofErr w:type="spellEnd"/>
      <w:r w:rsidRPr="005A272D">
        <w:rPr>
          <w:color w:val="000000" w:themeColor="text1"/>
          <w:shd w:val="clear" w:color="auto" w:fill="FFFFFF"/>
        </w:rPr>
        <w:t xml:space="preserve">, </w:t>
      </w:r>
      <w:r w:rsidRPr="005A272D">
        <w:rPr>
          <w:color w:val="000000" w:themeColor="text1"/>
        </w:rPr>
        <w:t>then four cycles of vincristine, and entospletinib</w:t>
      </w:r>
      <w:r w:rsidRPr="005A272D">
        <w:rPr>
          <w:color w:val="000000" w:themeColor="text1"/>
          <w:shd w:val="clear" w:color="auto" w:fill="FFFFFF"/>
        </w:rPr>
        <w:t xml:space="preserve"> before MRD </w:t>
      </w:r>
      <w:proofErr w:type="spellStart"/>
      <w:r w:rsidRPr="005A272D">
        <w:rPr>
          <w:color w:val="000000" w:themeColor="text1"/>
          <w:shd w:val="clear" w:color="auto" w:fill="FFFFFF"/>
        </w:rPr>
        <w:t>alloHSCT</w:t>
      </w:r>
      <w:proofErr w:type="spellEnd"/>
      <w:r w:rsidRPr="005A272D">
        <w:rPr>
          <w:color w:val="000000" w:themeColor="text1"/>
          <w:shd w:val="clear" w:color="auto" w:fill="FFFFFF"/>
        </w:rPr>
        <w:t xml:space="preserve">, conditioned with fludarabine 40 mg/m2 daily, IV Bu daily for 4 days (day -6 to -3) and ATG. Prophylaxis for GvHD consisted of tacrolimus and MTX. On day+ 5, his mental processing became </w:t>
      </w:r>
      <w:proofErr w:type="gramStart"/>
      <w:r w:rsidRPr="005A272D">
        <w:rPr>
          <w:color w:val="000000" w:themeColor="text1"/>
          <w:shd w:val="clear" w:color="auto" w:fill="FFFFFF"/>
        </w:rPr>
        <w:t>slow</w:t>
      </w:r>
      <w:proofErr w:type="gramEnd"/>
      <w:r w:rsidRPr="005A272D">
        <w:rPr>
          <w:color w:val="000000" w:themeColor="text1"/>
          <w:shd w:val="clear" w:color="auto" w:fill="FFFFFF"/>
        </w:rPr>
        <w:t xml:space="preserve"> and he had difficulty finding words.</w:t>
      </w:r>
    </w:p>
    <w:p w14:paraId="62E6B3E2" w14:textId="77777777" w:rsidR="00CA5095" w:rsidRPr="005A272D" w:rsidRDefault="00CA5095" w:rsidP="00CA5095">
      <w:pPr>
        <w:spacing w:line="480" w:lineRule="auto"/>
        <w:jc w:val="both"/>
        <w:rPr>
          <w:color w:val="000000" w:themeColor="text1"/>
          <w:shd w:val="clear" w:color="auto" w:fill="FFFFFF"/>
        </w:rPr>
      </w:pPr>
    </w:p>
    <w:p w14:paraId="478FD80B" w14:textId="77777777" w:rsidR="00CA5095" w:rsidRPr="005A272D" w:rsidRDefault="00CA5095" w:rsidP="00CA5095">
      <w:pPr>
        <w:spacing w:line="480" w:lineRule="auto"/>
        <w:jc w:val="both"/>
        <w:rPr>
          <w:color w:val="000000" w:themeColor="text1"/>
        </w:rPr>
      </w:pPr>
      <w:r w:rsidRPr="005A272D">
        <w:rPr>
          <w:color w:val="000000" w:themeColor="text1"/>
          <w:shd w:val="clear" w:color="auto" w:fill="FFFFFF"/>
        </w:rPr>
        <w:t>The following day the patient became increasingly confused. He was afebrile and hemodynamically stable.</w:t>
      </w:r>
      <w:r w:rsidRPr="005A272D">
        <w:rPr>
          <w:color w:val="000000" w:themeColor="text1"/>
        </w:rPr>
        <w:t xml:space="preserve"> On neurological examination, he was found to have mild ptosis in the left eye but normal pupillary reflexes in both eyes. Although his muscle strength and sensation were intact, he had increased tone in both of his upper extremities. He was alert and oriented to person and place, but not to time. Speech was fluent, and naming, repetition, and comprehension were all normal, but he responded slowly to simple commands. </w:t>
      </w:r>
    </w:p>
    <w:p w14:paraId="745FE9E5" w14:textId="77777777" w:rsidR="00CA5095" w:rsidRPr="005A272D" w:rsidRDefault="00CA5095" w:rsidP="00CA5095">
      <w:pPr>
        <w:spacing w:line="480" w:lineRule="auto"/>
        <w:jc w:val="both"/>
        <w:rPr>
          <w:color w:val="000000" w:themeColor="text1"/>
        </w:rPr>
      </w:pPr>
    </w:p>
    <w:p w14:paraId="1E9CF679" w14:textId="77777777" w:rsidR="00CA5095" w:rsidRPr="005A272D" w:rsidRDefault="00CA5095" w:rsidP="00CA5095">
      <w:pPr>
        <w:spacing w:line="480" w:lineRule="auto"/>
        <w:jc w:val="both"/>
        <w:rPr>
          <w:color w:val="000000" w:themeColor="text1"/>
        </w:rPr>
      </w:pPr>
      <w:r w:rsidRPr="005A272D">
        <w:rPr>
          <w:color w:val="000000" w:themeColor="text1"/>
          <w:shd w:val="clear" w:color="auto" w:fill="FFFFFF"/>
        </w:rPr>
        <w:t>A brain MRI showed no abnormalities; however, an EEG showed a generalized slowing of activity (diffuse theta and some delta activity) which suggested a diffuse disturbance of the cerebral activity.  Laboratory, testing revealed a pancytopenia with normal chemistries</w:t>
      </w:r>
      <w:r w:rsidRPr="005A272D">
        <w:rPr>
          <w:color w:val="000000" w:themeColor="text1"/>
        </w:rPr>
        <w:t xml:space="preserve">, ammonia levels, </w:t>
      </w:r>
      <w:r w:rsidRPr="005A272D">
        <w:rPr>
          <w:color w:val="000000" w:themeColor="text1"/>
        </w:rPr>
        <w:lastRenderedPageBreak/>
        <w:t>and t</w:t>
      </w:r>
      <w:r w:rsidRPr="005A272D">
        <w:rPr>
          <w:bCs/>
          <w:color w:val="000000" w:themeColor="text1"/>
        </w:rPr>
        <w:t xml:space="preserve">hyroid stimulating hormone. </w:t>
      </w:r>
      <w:r w:rsidRPr="005A272D">
        <w:rPr>
          <w:color w:val="000000" w:themeColor="text1"/>
        </w:rPr>
        <w:t xml:space="preserve">As a result of episodes of agitation, he was prescribed haloperidol and olanzapine. </w:t>
      </w:r>
      <w:r w:rsidRPr="005A272D">
        <w:rPr>
          <w:color w:val="000000" w:themeColor="text1"/>
          <w:shd w:val="clear" w:color="auto" w:fill="FFFFFF"/>
        </w:rPr>
        <w:t xml:space="preserve">Due to positive IgG antibodies against toxoplasma and low levels of CMV viremia (titer of 137 IU/mL by PCR), he received combination intravenous clindamycin, pyrimethamine, and leucovorin for presumed toxoplasmosis and empiric </w:t>
      </w:r>
      <w:proofErr w:type="spellStart"/>
      <w:r w:rsidRPr="005A272D">
        <w:rPr>
          <w:color w:val="000000" w:themeColor="text1"/>
          <w:shd w:val="clear" w:color="auto" w:fill="FFFFFF"/>
        </w:rPr>
        <w:t>foscarnet</w:t>
      </w:r>
      <w:proofErr w:type="spellEnd"/>
      <w:r w:rsidRPr="005A272D">
        <w:rPr>
          <w:color w:val="000000" w:themeColor="text1"/>
          <w:shd w:val="clear" w:color="auto" w:fill="FFFFFF"/>
        </w:rPr>
        <w:t xml:space="preserve"> for presumed viral encephalitis. </w:t>
      </w:r>
      <w:r w:rsidRPr="005A272D">
        <w:rPr>
          <w:color w:val="000000" w:themeColor="text1"/>
        </w:rPr>
        <w:t xml:space="preserve">The CSF analysis from two lumbar punctures showed elevated protein (56 and 72 mg/dL) and glucose (87 and 79 mg/dL), but no increase in WBC. Due to the absence of evidence of toxoplasma or CMV on CSF fluid, </w:t>
      </w:r>
      <w:proofErr w:type="spellStart"/>
      <w:r w:rsidRPr="005A272D">
        <w:rPr>
          <w:color w:val="000000" w:themeColor="text1"/>
        </w:rPr>
        <w:t>foscarnet</w:t>
      </w:r>
      <w:proofErr w:type="spellEnd"/>
      <w:r w:rsidRPr="005A272D">
        <w:rPr>
          <w:color w:val="000000" w:themeColor="text1"/>
        </w:rPr>
        <w:t xml:space="preserve"> was stopped (prophylactic </w:t>
      </w:r>
      <w:proofErr w:type="spellStart"/>
      <w:r w:rsidRPr="005A272D">
        <w:rPr>
          <w:color w:val="000000" w:themeColor="text1"/>
        </w:rPr>
        <w:t>letermovir</w:t>
      </w:r>
      <w:proofErr w:type="spellEnd"/>
      <w:r w:rsidRPr="005A272D">
        <w:rPr>
          <w:color w:val="000000" w:themeColor="text1"/>
        </w:rPr>
        <w:t xml:space="preserve"> was administered instead) as well as the combination therapy for toxoplasmosis. A further in-depth infectious work-up, was all negative. </w:t>
      </w:r>
    </w:p>
    <w:p w14:paraId="06A8323D" w14:textId="77777777" w:rsidR="00CA5095" w:rsidRPr="005A272D" w:rsidRDefault="00CA5095" w:rsidP="00CA5095">
      <w:pPr>
        <w:spacing w:line="480" w:lineRule="auto"/>
        <w:jc w:val="both"/>
        <w:rPr>
          <w:color w:val="000000" w:themeColor="text1"/>
        </w:rPr>
      </w:pPr>
    </w:p>
    <w:p w14:paraId="7D9BFD10" w14:textId="77777777" w:rsidR="00CA5095" w:rsidRPr="005A272D" w:rsidRDefault="00CA5095" w:rsidP="00CA5095">
      <w:pPr>
        <w:spacing w:line="480" w:lineRule="auto"/>
        <w:jc w:val="both"/>
        <w:rPr>
          <w:color w:val="000000" w:themeColor="text1"/>
        </w:rPr>
      </w:pPr>
      <w:r w:rsidRPr="005A272D">
        <w:rPr>
          <w:color w:val="000000" w:themeColor="text1"/>
        </w:rPr>
        <w:t xml:space="preserve">By day +15, the patient's mental state began to improve slowly, but it would alternate with intermittent episodes of confusion. Initial impression was hypoactive delirium and was prescribed modafinil. On day +35, tacrolimus was changed to sirolimus because it was questioned whether it was contributing to his confusion. Around day +50, in addition to being drowsy, oriented to himself only, and following commands intermittently, his speech (comprehension and fluency) was impaired, and he had a resting tremor in both arms. Neither electrolytes nor blood chemistry indicated any gross </w:t>
      </w:r>
      <w:proofErr w:type="gramStart"/>
      <w:r w:rsidRPr="005A272D">
        <w:rPr>
          <w:color w:val="000000" w:themeColor="text1"/>
        </w:rPr>
        <w:t>abnormalities, and</w:t>
      </w:r>
      <w:proofErr w:type="gramEnd"/>
      <w:r w:rsidRPr="005A272D">
        <w:rPr>
          <w:color w:val="000000" w:themeColor="text1"/>
        </w:rPr>
        <w:t xml:space="preserve"> repeat MRI of the brain and CSF analysis were negative. An EGG showed a diffuse disturbance with triphasic waves and epileptogenic potential. Although no seizure was observable, levetiracetam was introduced because of increased concerns regarding subclinical seizures. On day +63, he was transferred to inpatient rehabilitation after his mental condition improved to the point that he could participate in physical activities. According to the EEG results obtained at day +72, there was mild to moderate generalized slowing with sleep patterns consistent with toxic or metabolic encephalopathy. As he neared day +90, his confusion </w:t>
      </w:r>
      <w:r w:rsidRPr="005A272D">
        <w:rPr>
          <w:color w:val="000000" w:themeColor="text1"/>
        </w:rPr>
        <w:lastRenderedPageBreak/>
        <w:t xml:space="preserve">had resolved, and he was discharged home with home physical, occupational, and cognitive-linguistic therapy. </w:t>
      </w:r>
    </w:p>
    <w:p w14:paraId="644843C6" w14:textId="77777777" w:rsidR="00CA5095" w:rsidRPr="005A272D" w:rsidRDefault="00CA5095" w:rsidP="00CA5095">
      <w:pPr>
        <w:spacing w:line="480" w:lineRule="auto"/>
        <w:jc w:val="both"/>
        <w:rPr>
          <w:color w:val="000000" w:themeColor="text1"/>
        </w:rPr>
      </w:pPr>
      <w:r w:rsidRPr="005A272D">
        <w:rPr>
          <w:color w:val="000000" w:themeColor="text1"/>
        </w:rPr>
        <w:t> </w:t>
      </w:r>
    </w:p>
    <w:p w14:paraId="435CF199" w14:textId="77777777" w:rsidR="00CA5095" w:rsidRPr="005A272D" w:rsidRDefault="00CA5095" w:rsidP="00CA5095">
      <w:pPr>
        <w:spacing w:line="480" w:lineRule="auto"/>
        <w:jc w:val="both"/>
        <w:rPr>
          <w:color w:val="000000" w:themeColor="text1"/>
        </w:rPr>
      </w:pPr>
      <w:r w:rsidRPr="005A272D">
        <w:rPr>
          <w:b/>
          <w:color w:val="000000" w:themeColor="text1"/>
        </w:rPr>
        <w:t>Case 4:</w:t>
      </w:r>
    </w:p>
    <w:p w14:paraId="46F2499D" w14:textId="77777777" w:rsidR="00520604" w:rsidRPr="004835F5" w:rsidRDefault="00520604" w:rsidP="00520604">
      <w:pPr>
        <w:spacing w:line="480" w:lineRule="auto"/>
        <w:jc w:val="both"/>
        <w:rPr>
          <w:color w:val="000000" w:themeColor="text1"/>
          <w:shd w:val="clear" w:color="auto" w:fill="FFFFFF"/>
        </w:rPr>
      </w:pPr>
      <w:r w:rsidRPr="004835F5">
        <w:rPr>
          <w:color w:val="000000" w:themeColor="text1"/>
        </w:rPr>
        <w:t>70-year-old man with high-risk IgG lambda multiple myeloma (MM) with 17p and 1p deletions, underwent an autologous stem cell transplant (ASCT).</w:t>
      </w:r>
      <w:r w:rsidRPr="004835F5">
        <w:rPr>
          <w:color w:val="000000" w:themeColor="text1"/>
          <w:shd w:val="clear" w:color="auto" w:fill="FFFFFF"/>
        </w:rPr>
        <w:t xml:space="preserve"> In mid-2020, he was first diagnosed with MM due to confusion and slow mentation caused by hypercalcemia. </w:t>
      </w:r>
      <w:r w:rsidRPr="004835F5">
        <w:rPr>
          <w:color w:val="000000" w:themeColor="text1"/>
        </w:rPr>
        <w:t xml:space="preserve">CSF analysis and MRI of the brain and spine were unremarkable. A biopsy of the bone marrow confirmed the presence of 50% plasma cells, and cytogenetic analysis showed deletions of 13q and 17q53. </w:t>
      </w:r>
      <w:r w:rsidRPr="004835F5">
        <w:rPr>
          <w:color w:val="000000" w:themeColor="text1"/>
          <w:shd w:val="clear" w:color="auto" w:fill="FFFFFF"/>
        </w:rPr>
        <w:t xml:space="preserve">Bortezomib and dexamethasone were administered, as well as intravenous fluids and bisphosphonates to treat his hypercalcemia. This resulted in a normal calibration of the patient's calcium level and his mental status returning to normal.  </w:t>
      </w:r>
    </w:p>
    <w:p w14:paraId="57FEDA09" w14:textId="77777777" w:rsidR="00520604" w:rsidRPr="004835F5" w:rsidRDefault="00520604" w:rsidP="00520604">
      <w:pPr>
        <w:spacing w:line="480" w:lineRule="auto"/>
        <w:jc w:val="both"/>
        <w:rPr>
          <w:color w:val="000000" w:themeColor="text1"/>
        </w:rPr>
      </w:pPr>
    </w:p>
    <w:p w14:paraId="66FF687A" w14:textId="77777777" w:rsidR="00520604" w:rsidRPr="004835F5" w:rsidRDefault="00520604" w:rsidP="00520604">
      <w:pPr>
        <w:spacing w:line="480" w:lineRule="auto"/>
        <w:jc w:val="both"/>
        <w:rPr>
          <w:color w:val="000000" w:themeColor="text1"/>
        </w:rPr>
      </w:pPr>
      <w:r w:rsidRPr="004835F5">
        <w:rPr>
          <w:color w:val="000000" w:themeColor="text1"/>
        </w:rPr>
        <w:t>He was re-admitted a few weeks later for reoccurrence of his hypercalcemia and confusion, as well as acute kidney failure requiring hemodialysis. A new treatment regimen was started with carfilzomib, daratumumab, hyper-cyclophosphamide, and dexamethasone. However, this was complicated by pulmonary edema and so consequently, his regimen was changed to bortezomib and daratumumab. </w:t>
      </w:r>
    </w:p>
    <w:p w14:paraId="6F580F06" w14:textId="77777777" w:rsidR="00520604" w:rsidRPr="004835F5" w:rsidRDefault="00520604" w:rsidP="00520604">
      <w:pPr>
        <w:spacing w:line="480" w:lineRule="auto"/>
        <w:jc w:val="both"/>
        <w:rPr>
          <w:color w:val="000000" w:themeColor="text1"/>
        </w:rPr>
      </w:pPr>
    </w:p>
    <w:p w14:paraId="204538F1" w14:textId="77777777" w:rsidR="00520604" w:rsidRPr="004835F5" w:rsidRDefault="00520604" w:rsidP="00520604">
      <w:pPr>
        <w:spacing w:after="160" w:line="480" w:lineRule="auto"/>
        <w:jc w:val="both"/>
        <w:rPr>
          <w:color w:val="000000" w:themeColor="text1"/>
        </w:rPr>
      </w:pPr>
      <w:r w:rsidRPr="004835F5">
        <w:rPr>
          <w:color w:val="000000" w:themeColor="text1"/>
          <w:shd w:val="clear" w:color="auto" w:fill="FFFFFF"/>
        </w:rPr>
        <w:t>He then went on to undergo chemo-mobilization with modified hyper-cyclophosphamide and dexamethasone, with subsequent Autologous SCT with a conditioning regimen that included busulfan at 32 mg/m</w:t>
      </w:r>
      <w:r w:rsidRPr="004835F5">
        <w:rPr>
          <w:color w:val="000000" w:themeColor="text1"/>
          <w:shd w:val="clear" w:color="auto" w:fill="FFFFFF"/>
          <w:vertAlign w:val="superscript"/>
        </w:rPr>
        <w:t>2</w:t>
      </w:r>
      <w:r w:rsidRPr="004835F5">
        <w:rPr>
          <w:color w:val="000000" w:themeColor="text1"/>
          <w:shd w:val="clear" w:color="auto" w:fill="FFFFFF"/>
        </w:rPr>
        <w:t>, followed by PK adjusted doses on days -7, -6, -5, and -4, and melphalan 70 mg/m</w:t>
      </w:r>
      <w:r w:rsidRPr="004835F5">
        <w:rPr>
          <w:color w:val="000000" w:themeColor="text1"/>
          <w:shd w:val="clear" w:color="auto" w:fill="FFFFFF"/>
          <w:vertAlign w:val="superscript"/>
        </w:rPr>
        <w:t>2</w:t>
      </w:r>
      <w:r w:rsidRPr="004835F5">
        <w:rPr>
          <w:color w:val="000000" w:themeColor="text1"/>
          <w:shd w:val="clear" w:color="auto" w:fill="FFFFFF"/>
        </w:rPr>
        <w:t xml:space="preserve"> per day on days -2 and -1 (total dose 140 mg/m</w:t>
      </w:r>
      <w:r w:rsidRPr="004835F5">
        <w:rPr>
          <w:color w:val="000000" w:themeColor="text1"/>
          <w:shd w:val="clear" w:color="auto" w:fill="FFFFFF"/>
          <w:vertAlign w:val="superscript"/>
        </w:rPr>
        <w:t>2</w:t>
      </w:r>
      <w:r w:rsidRPr="004835F5">
        <w:rPr>
          <w:color w:val="000000" w:themeColor="text1"/>
          <w:shd w:val="clear" w:color="auto" w:fill="FFFFFF"/>
        </w:rPr>
        <w:t>). </w:t>
      </w:r>
      <w:r w:rsidRPr="004835F5">
        <w:rPr>
          <w:color w:val="000000" w:themeColor="text1"/>
        </w:rPr>
        <w:t xml:space="preserve">In day -3, he was observed to be </w:t>
      </w:r>
      <w:r w:rsidRPr="004835F5">
        <w:rPr>
          <w:color w:val="000000" w:themeColor="text1"/>
        </w:rPr>
        <w:lastRenderedPageBreak/>
        <w:t xml:space="preserve">disoriented, exhibiting periods of agitation as he pulled at his lines. </w:t>
      </w:r>
      <w:r w:rsidRPr="004835F5">
        <w:rPr>
          <w:color w:val="000000" w:themeColor="text1"/>
          <w:shd w:val="clear" w:color="auto" w:fill="FFFFFF"/>
        </w:rPr>
        <w:t>H</w:t>
      </w:r>
      <w:r>
        <w:rPr>
          <w:color w:val="000000" w:themeColor="text1"/>
          <w:shd w:val="clear" w:color="auto" w:fill="FFFFFF"/>
        </w:rPr>
        <w:t>e was afebrile and remainder of vital signs within normal limits.</w:t>
      </w:r>
      <w:r w:rsidRPr="004835F5">
        <w:rPr>
          <w:color w:val="000000" w:themeColor="text1"/>
        </w:rPr>
        <w:t xml:space="preserve"> Cardiovascular</w:t>
      </w:r>
      <w:r>
        <w:rPr>
          <w:color w:val="000000" w:themeColor="text1"/>
        </w:rPr>
        <w:t>,</w:t>
      </w:r>
      <w:r w:rsidRPr="004835F5">
        <w:rPr>
          <w:color w:val="000000" w:themeColor="text1"/>
        </w:rPr>
        <w:t xml:space="preserve"> pulmonary</w:t>
      </w:r>
      <w:r>
        <w:rPr>
          <w:color w:val="000000" w:themeColor="text1"/>
        </w:rPr>
        <w:t>,</w:t>
      </w:r>
      <w:r w:rsidRPr="004835F5">
        <w:rPr>
          <w:color w:val="000000" w:themeColor="text1"/>
        </w:rPr>
        <w:t xml:space="preserve"> as well as abdominal examinations, were unremarkable. While he was orientated to person, </w:t>
      </w:r>
      <w:proofErr w:type="gramStart"/>
      <w:r w:rsidRPr="004835F5">
        <w:rPr>
          <w:color w:val="000000" w:themeColor="text1"/>
        </w:rPr>
        <w:t>time</w:t>
      </w:r>
      <w:proofErr w:type="gramEnd"/>
      <w:r w:rsidRPr="004835F5">
        <w:rPr>
          <w:color w:val="000000" w:themeColor="text1"/>
        </w:rPr>
        <w:t xml:space="preserve"> and place, he required significant redirection when asked simple questions. </w:t>
      </w:r>
      <w:r w:rsidRPr="004835F5">
        <w:rPr>
          <w:color w:val="000000" w:themeColor="text1"/>
          <w:shd w:val="clear" w:color="auto" w:fill="FFFFFF"/>
        </w:rPr>
        <w:t>The patient's muscular strength and sensation were preserved, and his patellar reflex was +2 bilaterally. </w:t>
      </w:r>
      <w:r w:rsidRPr="004835F5">
        <w:rPr>
          <w:color w:val="000000" w:themeColor="text1"/>
        </w:rPr>
        <w:t xml:space="preserve">He had impaired attention, intermittent </w:t>
      </w:r>
      <w:proofErr w:type="gramStart"/>
      <w:r w:rsidRPr="004835F5">
        <w:rPr>
          <w:color w:val="000000" w:themeColor="text1"/>
        </w:rPr>
        <w:t>paranoia</w:t>
      </w:r>
      <w:proofErr w:type="gramEnd"/>
      <w:r w:rsidRPr="004835F5">
        <w:rPr>
          <w:color w:val="000000" w:themeColor="text1"/>
        </w:rPr>
        <w:t xml:space="preserve"> and delusions, as well as visual hallucinations that a wolf was approaching him. Laboratories showed a WBC count of 5.5 K/</w:t>
      </w:r>
      <w:proofErr w:type="spellStart"/>
      <w:r w:rsidRPr="004835F5">
        <w:rPr>
          <w:color w:val="000000" w:themeColor="text1"/>
        </w:rPr>
        <w:t>mcL</w:t>
      </w:r>
      <w:proofErr w:type="spellEnd"/>
      <w:r w:rsidRPr="004835F5">
        <w:rPr>
          <w:color w:val="000000" w:themeColor="text1"/>
        </w:rPr>
        <w:t>, hemoglobin 8.7 g/dL, platelet 222 K/</w:t>
      </w:r>
      <w:proofErr w:type="spellStart"/>
      <w:r w:rsidRPr="004835F5">
        <w:rPr>
          <w:color w:val="000000" w:themeColor="text1"/>
        </w:rPr>
        <w:t>mcL</w:t>
      </w:r>
      <w:proofErr w:type="spellEnd"/>
      <w:r w:rsidRPr="004835F5">
        <w:rPr>
          <w:color w:val="000000" w:themeColor="text1"/>
        </w:rPr>
        <w:t xml:space="preserve">, </w:t>
      </w:r>
      <w:r>
        <w:rPr>
          <w:color w:val="000000" w:themeColor="text1"/>
        </w:rPr>
        <w:t>and chemistry panel was normal</w:t>
      </w:r>
      <w:r w:rsidRPr="004835F5">
        <w:rPr>
          <w:color w:val="000000" w:themeColor="text1"/>
        </w:rPr>
        <w:t xml:space="preserve">. </w:t>
      </w:r>
      <w:r>
        <w:rPr>
          <w:color w:val="000000" w:themeColor="text1"/>
        </w:rPr>
        <w:t>M</w:t>
      </w:r>
      <w:r w:rsidRPr="004835F5">
        <w:rPr>
          <w:color w:val="000000" w:themeColor="text1"/>
        </w:rPr>
        <w:t>irtazapine</w:t>
      </w:r>
      <w:r>
        <w:rPr>
          <w:color w:val="000000" w:themeColor="text1"/>
        </w:rPr>
        <w:t xml:space="preserve"> was</w:t>
      </w:r>
      <w:r w:rsidRPr="004835F5">
        <w:rPr>
          <w:color w:val="000000" w:themeColor="text1"/>
        </w:rPr>
        <w:t xml:space="preserve"> discontinued, and a bedside sitter was provided. On the following day, he was diagnosed with </w:t>
      </w:r>
      <w:r w:rsidRPr="004835F5">
        <w:rPr>
          <w:i/>
          <w:color w:val="000000" w:themeColor="text1"/>
        </w:rPr>
        <w:t>Enterococcus faecalis</w:t>
      </w:r>
      <w:r w:rsidRPr="004835F5">
        <w:rPr>
          <w:color w:val="000000" w:themeColor="text1"/>
        </w:rPr>
        <w:t xml:space="preserve"> bacteremia and opacities in his lung radiograph, indicative of a developing pneumonia, and appropriate antibiotics were administered. </w:t>
      </w:r>
    </w:p>
    <w:p w14:paraId="1AA62E6D" w14:textId="77777777" w:rsidR="00520604" w:rsidRPr="004835F5" w:rsidRDefault="00520604" w:rsidP="00520604">
      <w:pPr>
        <w:spacing w:after="160" w:line="480" w:lineRule="auto"/>
        <w:jc w:val="both"/>
        <w:rPr>
          <w:color w:val="000000" w:themeColor="text1"/>
        </w:rPr>
      </w:pPr>
      <w:r w:rsidRPr="004835F5">
        <w:rPr>
          <w:color w:val="000000" w:themeColor="text1"/>
        </w:rPr>
        <w:t xml:space="preserve">EEG, brain imaging, or CSF analysis were not conducted. After consulting psychiatry, it was determined that the patient most likely suffered from delirium. Drugs that may have contributed to the condition were discontinued, and melatonin was administered at night to facilitate sleep-wake cycles. Delirium rapidly resolved, and by day 0, the patient was alert and oriented, and he received his stem cells. The patient, however, experienced nausea and abdominal discomfort on day +11, and he was diagnosed with an incomplete small bowel obstruction (SBO). Additionally, he had a bloodstream infection with beta-lactamase-producing </w:t>
      </w:r>
      <w:r w:rsidRPr="004835F5">
        <w:rPr>
          <w:i/>
          <w:color w:val="000000" w:themeColor="text1"/>
        </w:rPr>
        <w:t>Escherichia coli</w:t>
      </w:r>
      <w:r w:rsidRPr="004835F5">
        <w:rPr>
          <w:color w:val="000000" w:themeColor="text1"/>
        </w:rPr>
        <w:t>, for which his antibiotics were broadened. On the same day, he was found to be more confused, disoriented, and in need of a bedside caregiver once again. In two days, he appeared somewhat confused, but oriented and in five days, his mental status was back to normal. </w:t>
      </w:r>
    </w:p>
    <w:p w14:paraId="744FB9E7" w14:textId="30D29827" w:rsidR="00520604" w:rsidRDefault="00520604" w:rsidP="00520604">
      <w:pPr>
        <w:spacing w:line="480" w:lineRule="auto"/>
        <w:jc w:val="both"/>
        <w:rPr>
          <w:color w:val="000000" w:themeColor="text1"/>
        </w:rPr>
      </w:pPr>
      <w:r w:rsidRPr="004835F5">
        <w:rPr>
          <w:color w:val="000000" w:themeColor="text1"/>
        </w:rPr>
        <w:t xml:space="preserve">The engraftment on day +13 was successful, nevertheless, his confusion recurred yet again on day +24. </w:t>
      </w:r>
      <w:r w:rsidRPr="004835F5">
        <w:rPr>
          <w:color w:val="000000" w:themeColor="text1"/>
          <w:shd w:val="clear" w:color="auto" w:fill="FFFFFF"/>
        </w:rPr>
        <w:t xml:space="preserve">The SBO resolved with time, and all his infections were treated to completion, and he was </w:t>
      </w:r>
      <w:r w:rsidRPr="004835F5">
        <w:rPr>
          <w:color w:val="000000" w:themeColor="text1"/>
          <w:shd w:val="clear" w:color="auto" w:fill="FFFFFF"/>
        </w:rPr>
        <w:lastRenderedPageBreak/>
        <w:t>then transferred to a rehabilitation facility for inpatient care on day +30. </w:t>
      </w:r>
      <w:r w:rsidRPr="004835F5">
        <w:rPr>
          <w:color w:val="000000" w:themeColor="text1"/>
        </w:rPr>
        <w:t>He was eventually discharged at home on day +43</w:t>
      </w:r>
      <w:r>
        <w:rPr>
          <w:color w:val="000000" w:themeColor="text1"/>
        </w:rPr>
        <w:t xml:space="preserve"> with resolution of his confusion</w:t>
      </w:r>
      <w:r w:rsidRPr="004835F5">
        <w:rPr>
          <w:color w:val="000000" w:themeColor="text1"/>
        </w:rPr>
        <w:t>. </w:t>
      </w:r>
    </w:p>
    <w:p w14:paraId="1A23E597" w14:textId="6E2B8807" w:rsidR="00520604" w:rsidRDefault="00520604" w:rsidP="00520604">
      <w:pPr>
        <w:spacing w:line="276" w:lineRule="auto"/>
        <w:jc w:val="both"/>
        <w:rPr>
          <w:color w:val="000000" w:themeColor="text1"/>
        </w:rPr>
      </w:pPr>
    </w:p>
    <w:p w14:paraId="170E5AE6" w14:textId="337552EB" w:rsidR="00520604" w:rsidRPr="00520604" w:rsidRDefault="00520604" w:rsidP="008E7144">
      <w:pPr>
        <w:spacing w:line="360" w:lineRule="auto"/>
        <w:jc w:val="both"/>
        <w:rPr>
          <w:b/>
          <w:bCs/>
          <w:color w:val="000000" w:themeColor="text1"/>
        </w:rPr>
      </w:pPr>
      <w:r w:rsidRPr="00520604">
        <w:rPr>
          <w:b/>
          <w:bCs/>
          <w:color w:val="000000" w:themeColor="text1"/>
        </w:rPr>
        <w:t>Case 5</w:t>
      </w:r>
      <w:r w:rsidR="008E7144">
        <w:rPr>
          <w:b/>
          <w:bCs/>
          <w:color w:val="000000" w:themeColor="text1"/>
        </w:rPr>
        <w:t>:</w:t>
      </w:r>
    </w:p>
    <w:p w14:paraId="5FAD5F49" w14:textId="506ADBC8" w:rsidR="00CA5095" w:rsidRPr="005A272D" w:rsidRDefault="00CA5095" w:rsidP="008E7144">
      <w:pPr>
        <w:spacing w:line="360" w:lineRule="auto"/>
        <w:jc w:val="both"/>
        <w:rPr>
          <w:color w:val="000000" w:themeColor="text1"/>
        </w:rPr>
      </w:pPr>
      <w:r w:rsidRPr="005A272D">
        <w:rPr>
          <w:color w:val="000000" w:themeColor="text1"/>
        </w:rPr>
        <w:t>A 56-year</w:t>
      </w:r>
      <w:r w:rsidR="008E7144">
        <w:rPr>
          <w:color w:val="000000" w:themeColor="text1"/>
        </w:rPr>
        <w:t>-</w:t>
      </w:r>
      <w:r w:rsidRPr="005A272D">
        <w:rPr>
          <w:color w:val="000000" w:themeColor="text1"/>
        </w:rPr>
        <w:t>old man with history of quadruple coronary artery bypass grafting (CABG), sleep apnea, and heavy smoking was diagnosed with IgA lambda myeloma and amyloidosis affecting the kidney, for which ASCT was indicated. His bone marrow biopsy showed the presence of 40% plasma cells, with a translocation (4;14) on cytogenetic analysis. His laboratory tests pertinent for Bence-Jones proteinuria that was lambda and a kidney biopsy revealed positive results for Congo red stain, indicating amyloidosis in the kidney. After achieved a stringent CR with bortezomib, lenalidomide, and dexamethasone (</w:t>
      </w:r>
      <w:proofErr w:type="spellStart"/>
      <w:r w:rsidRPr="005A272D">
        <w:rPr>
          <w:color w:val="000000" w:themeColor="text1"/>
        </w:rPr>
        <w:t>VRd</w:t>
      </w:r>
      <w:proofErr w:type="spellEnd"/>
      <w:r w:rsidRPr="005A272D">
        <w:rPr>
          <w:color w:val="000000" w:themeColor="text1"/>
        </w:rPr>
        <w:t>), he was admitted for ASCT. The conditioning regimen that administered was Bu at 32 mg/m2, followed by PK adjusted doses on days -7, -6, -5, and -4, and melphalan at 70 mg/m</w:t>
      </w:r>
      <w:r w:rsidRPr="005A272D">
        <w:rPr>
          <w:color w:val="000000" w:themeColor="text1"/>
          <w:vertAlign w:val="superscript"/>
        </w:rPr>
        <w:t>2</w:t>
      </w:r>
      <w:r w:rsidRPr="005A272D">
        <w:rPr>
          <w:color w:val="000000" w:themeColor="text1"/>
        </w:rPr>
        <w:t xml:space="preserve"> on days -2 and -1 (total dose 140 mg/m</w:t>
      </w:r>
      <w:r w:rsidRPr="005A272D">
        <w:rPr>
          <w:color w:val="000000" w:themeColor="text1"/>
          <w:vertAlign w:val="superscript"/>
        </w:rPr>
        <w:t>2</w:t>
      </w:r>
      <w:r w:rsidRPr="005A272D">
        <w:rPr>
          <w:color w:val="000000" w:themeColor="text1"/>
        </w:rPr>
        <w:t>). </w:t>
      </w:r>
      <w:proofErr w:type="gramStart"/>
      <w:r w:rsidRPr="005A272D">
        <w:rPr>
          <w:color w:val="000000" w:themeColor="text1"/>
        </w:rPr>
        <w:t>Following the stem cell infusion, there</w:t>
      </w:r>
      <w:proofErr w:type="gramEnd"/>
      <w:r w:rsidRPr="005A272D">
        <w:rPr>
          <w:color w:val="000000" w:themeColor="text1"/>
        </w:rPr>
        <w:t xml:space="preserve"> were no adverse events, but on day +3 he began hallucinating and started talking aloud in his sleep. </w:t>
      </w:r>
      <w:r w:rsidRPr="005A272D">
        <w:rPr>
          <w:color w:val="000000" w:themeColor="text1"/>
          <w:shd w:val="clear" w:color="auto" w:fill="FFFFFF"/>
        </w:rPr>
        <w:t>The only drugs administered that day that could cause delirium were lorazepam, scopolamine, and promethazine, all of which were suspended. </w:t>
      </w:r>
      <w:r w:rsidRPr="005A272D">
        <w:rPr>
          <w:color w:val="000000" w:themeColor="text1"/>
        </w:rPr>
        <w:t xml:space="preserve">The following day, hallucinations (auditory and visual) continued. His vital signs were stable. His orientation to person, time, and place was normal, as was his speech and his mood, but he was easily distracted and required constant reorientation. His muscle strength, sensation, and patellar reflexes were all intact. His laboratory work revealed a pancytopenia and sodium 131 </w:t>
      </w:r>
      <w:proofErr w:type="spellStart"/>
      <w:r w:rsidRPr="005A272D">
        <w:rPr>
          <w:color w:val="000000" w:themeColor="text1"/>
        </w:rPr>
        <w:t>meq</w:t>
      </w:r>
      <w:proofErr w:type="spellEnd"/>
      <w:r w:rsidRPr="005A272D">
        <w:rPr>
          <w:color w:val="000000" w:themeColor="text1"/>
        </w:rPr>
        <w:t xml:space="preserve">/L, carbon dioxide 22 </w:t>
      </w:r>
      <w:proofErr w:type="spellStart"/>
      <w:r w:rsidRPr="005A272D">
        <w:rPr>
          <w:color w:val="000000" w:themeColor="text1"/>
        </w:rPr>
        <w:t>meq</w:t>
      </w:r>
      <w:proofErr w:type="spellEnd"/>
      <w:r w:rsidRPr="005A272D">
        <w:rPr>
          <w:color w:val="000000" w:themeColor="text1"/>
        </w:rPr>
        <w:t>/L, creatinine 0.65 mg/dL, calcium 8.7 mg/dL, and total bilirubin 0.7 mg/dL. </w:t>
      </w:r>
    </w:p>
    <w:p w14:paraId="192D5228" w14:textId="77777777" w:rsidR="00CA5095" w:rsidRPr="005A272D" w:rsidRDefault="00CA5095" w:rsidP="00CA5095">
      <w:pPr>
        <w:spacing w:line="480" w:lineRule="auto"/>
        <w:jc w:val="both"/>
        <w:rPr>
          <w:color w:val="000000" w:themeColor="text1"/>
        </w:rPr>
      </w:pPr>
      <w:r w:rsidRPr="005A272D">
        <w:rPr>
          <w:color w:val="000000" w:themeColor="text1"/>
        </w:rPr>
        <w:t> </w:t>
      </w:r>
    </w:p>
    <w:p w14:paraId="7AB58BD0" w14:textId="77777777" w:rsidR="00CA5095" w:rsidRPr="005A272D" w:rsidRDefault="00CA5095" w:rsidP="00CA5095">
      <w:pPr>
        <w:spacing w:line="480" w:lineRule="auto"/>
        <w:jc w:val="both"/>
        <w:rPr>
          <w:color w:val="000000" w:themeColor="text1"/>
        </w:rPr>
      </w:pPr>
      <w:r w:rsidRPr="005A272D">
        <w:rPr>
          <w:color w:val="000000" w:themeColor="text1"/>
        </w:rPr>
        <w:t xml:space="preserve">The patient was still confused two days later. His sodium levels were found to be decreasing at 131 </w:t>
      </w:r>
      <w:proofErr w:type="spellStart"/>
      <w:r w:rsidRPr="005A272D">
        <w:rPr>
          <w:color w:val="000000" w:themeColor="text1"/>
        </w:rPr>
        <w:t>mEq</w:t>
      </w:r>
      <w:proofErr w:type="spellEnd"/>
      <w:r w:rsidRPr="005A272D">
        <w:rPr>
          <w:color w:val="000000" w:themeColor="text1"/>
        </w:rPr>
        <w:t xml:space="preserve">/L, so sodium tablets were prescribed </w:t>
      </w:r>
      <w:proofErr w:type="gramStart"/>
      <w:r w:rsidRPr="005A272D">
        <w:rPr>
          <w:color w:val="000000" w:themeColor="text1"/>
        </w:rPr>
        <w:t>in light of</w:t>
      </w:r>
      <w:proofErr w:type="gramEnd"/>
      <w:r w:rsidRPr="005A272D">
        <w:rPr>
          <w:color w:val="000000" w:themeColor="text1"/>
        </w:rPr>
        <w:t xml:space="preserve"> his changing mental state. Thiamine supplementation was administered over a period of three days. In day +7, his confusion had </w:t>
      </w:r>
      <w:proofErr w:type="gramStart"/>
      <w:r w:rsidRPr="005A272D">
        <w:rPr>
          <w:color w:val="000000" w:themeColor="text1"/>
        </w:rPr>
        <w:t>resolved</w:t>
      </w:r>
      <w:proofErr w:type="gramEnd"/>
      <w:r w:rsidRPr="005A272D">
        <w:rPr>
          <w:color w:val="000000" w:themeColor="text1"/>
        </w:rPr>
        <w:t xml:space="preserve"> and he no longer needed constant reorientation. In addition, his sodium level had improved to 133 </w:t>
      </w:r>
      <w:proofErr w:type="spellStart"/>
      <w:r w:rsidRPr="005A272D">
        <w:rPr>
          <w:color w:val="000000" w:themeColor="text1"/>
        </w:rPr>
        <w:t>mEq</w:t>
      </w:r>
      <w:proofErr w:type="spellEnd"/>
      <w:r w:rsidRPr="005A272D">
        <w:rPr>
          <w:color w:val="000000" w:themeColor="text1"/>
        </w:rPr>
        <w:t xml:space="preserve">/L. </w:t>
      </w:r>
      <w:proofErr w:type="gramStart"/>
      <w:r w:rsidRPr="005A272D">
        <w:rPr>
          <w:color w:val="000000" w:themeColor="text1"/>
        </w:rPr>
        <w:t>In light of</w:t>
      </w:r>
      <w:proofErr w:type="gramEnd"/>
      <w:r w:rsidRPr="005A272D">
        <w:rPr>
          <w:color w:val="000000" w:themeColor="text1"/>
        </w:rPr>
        <w:t xml:space="preserve"> the complete resolution of his neurological symptoms, </w:t>
      </w:r>
      <w:r w:rsidRPr="005A272D">
        <w:rPr>
          <w:color w:val="000000" w:themeColor="text1"/>
        </w:rPr>
        <w:lastRenderedPageBreak/>
        <w:t>imaging, CSF fluid analysis, and EEG were not requested. On day +10 of his transplantation, he successfully engrafted. He was discharged twenty-three days after the transplant.</w:t>
      </w:r>
    </w:p>
    <w:p w14:paraId="3A68E5E6" w14:textId="2523B644" w:rsidR="00CA5095" w:rsidRDefault="00CA5095"/>
    <w:p w14:paraId="66140F97" w14:textId="5F69A12A" w:rsidR="008A462C" w:rsidRPr="008A462C" w:rsidRDefault="008A462C">
      <w:pPr>
        <w:rPr>
          <w:b/>
          <w:bCs/>
        </w:rPr>
      </w:pPr>
      <w:r w:rsidRPr="008A462C">
        <w:rPr>
          <w:b/>
          <w:bCs/>
        </w:rPr>
        <w:t>Case 6:</w:t>
      </w:r>
    </w:p>
    <w:p w14:paraId="7258AE3C" w14:textId="4F2115CD" w:rsidR="008A462C" w:rsidRDefault="008A462C"/>
    <w:p w14:paraId="0DD953CA" w14:textId="7DFCF002" w:rsidR="008A462C" w:rsidRDefault="008E7144" w:rsidP="008A462C">
      <w:pPr>
        <w:spacing w:line="480" w:lineRule="auto"/>
        <w:jc w:val="both"/>
      </w:pPr>
      <w:r>
        <w:t xml:space="preserve">A </w:t>
      </w:r>
      <w:proofErr w:type="gramStart"/>
      <w:r w:rsidR="008A462C">
        <w:t>52 year old</w:t>
      </w:r>
      <w:proofErr w:type="gramEnd"/>
      <w:r w:rsidR="008A462C">
        <w:t xml:space="preserve"> woman with High-risk, R-ISS stage III, IgG kappa Multiple Myeloma with loss TP53 was admitted for Autologous SCT with conditioning regimen that included busulfan at 32 mg/m2, followed by PK adjusted doses on days -7, -6, -5, and -4, and melphalan 70 mg/m2 per day on days -2 and -1 (total dose 140 mg/m2). Her medical history was pertinent for </w:t>
      </w:r>
      <w:proofErr w:type="gramStart"/>
      <w:r w:rsidR="008A462C">
        <w:t>AKI ,</w:t>
      </w:r>
      <w:proofErr w:type="gramEnd"/>
      <w:r w:rsidR="008A462C">
        <w:t xml:space="preserve"> dizziness, and nausea with her original Multiple Myeloma diagnosis, as well as several collapsed vertebrae requiring vertebroplasty, and Adjustment disorder with depressed mood being treated with daily </w:t>
      </w:r>
      <w:proofErr w:type="spellStart"/>
      <w:r w:rsidR="008A462C">
        <w:t>buproprion</w:t>
      </w:r>
      <w:proofErr w:type="spellEnd"/>
      <w:r w:rsidR="008A462C">
        <w:t xml:space="preserve">. On Day -4 of her </w:t>
      </w:r>
      <w:proofErr w:type="gramStart"/>
      <w:r w:rsidR="008A462C">
        <w:t>admission</w:t>
      </w:r>
      <w:proofErr w:type="gramEnd"/>
      <w:r w:rsidR="008A462C">
        <w:t xml:space="preserve"> she began having frontotemporal headaches and started taking Tramadol for this. On Day 0 she had witnessed seizure like activity and so </w:t>
      </w:r>
      <w:proofErr w:type="spellStart"/>
      <w:r w:rsidR="008A462C">
        <w:t>buproprion</w:t>
      </w:r>
      <w:proofErr w:type="spellEnd"/>
      <w:r w:rsidR="008A462C">
        <w:t xml:space="preserve"> and tramadol were discontinued and Keppra was loaded. Her Busulfan had completed 3 days prior and so the prophylactic Keppra had been discontinued at that time. Workup included an MRI brain that showed only Scattered foci of the supratentorial white matter, likely reflective of chronic small vessel ischemic change, and an EEG with no epileptiform discharges. Infectious workup was negative.</w:t>
      </w:r>
    </w:p>
    <w:p w14:paraId="434E49CA" w14:textId="65701BE3" w:rsidR="008A462C" w:rsidRDefault="008A462C" w:rsidP="008A462C">
      <w:pPr>
        <w:spacing w:line="480" w:lineRule="auto"/>
      </w:pPr>
      <w:r>
        <w:t xml:space="preserve">By D+9 she continued with right frontotemporal headache. At this </w:t>
      </w:r>
      <w:proofErr w:type="gramStart"/>
      <w:r>
        <w:t>time</w:t>
      </w:r>
      <w:proofErr w:type="gramEnd"/>
      <w:r>
        <w:t xml:space="preserve"> she had no further seizure-like activity but was now slow to respond and periodically stuporous. Repeat EEG was negative. A blood culture done at that time was positive for Pseudomonas and so antibiotics were started. At D+16 her headache had completely resolved, repeat EEG was negative, subsequent blood cultures </w:t>
      </w:r>
      <w:proofErr w:type="gramStart"/>
      <w:r>
        <w:t>were</w:t>
      </w:r>
      <w:proofErr w:type="gramEnd"/>
      <w:r>
        <w:t xml:space="preserve"> negative however patient was still somnolent, slow to respond, having visual hallucinations, and refusing to walk or eat. All sedating medications were discontinued and repeat infectious workup negative. By D+18 she was noted to be more alert, respond </w:t>
      </w:r>
      <w:r>
        <w:lastRenderedPageBreak/>
        <w:t>appropriately, eating more, and was following all commands. She was discharged by D+33 and was later seen in the clinic without any further reports of somnolence or hallucinations.</w:t>
      </w:r>
    </w:p>
    <w:sectPr w:rsidR="008A46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095"/>
    <w:rsid w:val="00520604"/>
    <w:rsid w:val="0077353C"/>
    <w:rsid w:val="008A462C"/>
    <w:rsid w:val="008E7144"/>
    <w:rsid w:val="00CA5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C8CE"/>
  <w15:chartTrackingRefBased/>
  <w15:docId w15:val="{71E382AF-FF98-1D4A-912B-43B862A5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09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20604"/>
    <w:rPr>
      <w:sz w:val="16"/>
      <w:szCs w:val="16"/>
    </w:rPr>
  </w:style>
  <w:style w:type="paragraph" w:styleId="CommentText">
    <w:name w:val="annotation text"/>
    <w:basedOn w:val="Normal"/>
    <w:link w:val="CommentTextChar"/>
    <w:uiPriority w:val="99"/>
    <w:semiHidden/>
    <w:unhideWhenUsed/>
    <w:rsid w:val="00520604"/>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2060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10</Pages>
  <Words>2550</Words>
  <Characters>14541</Characters>
  <Application>Microsoft Office Word</Application>
  <DocSecurity>0</DocSecurity>
  <Lines>121</Lines>
  <Paragraphs>34</Paragraphs>
  <ScaleCrop>false</ScaleCrop>
  <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Delcos Chan</dc:creator>
  <cp:keywords/>
  <dc:description/>
  <cp:lastModifiedBy>Ramdial,Jeremy Leon</cp:lastModifiedBy>
  <cp:revision>5</cp:revision>
  <dcterms:created xsi:type="dcterms:W3CDTF">2022-10-24T22:16:00Z</dcterms:created>
  <dcterms:modified xsi:type="dcterms:W3CDTF">2022-12-04T20:07:00Z</dcterms:modified>
</cp:coreProperties>
</file>