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2.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3.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drawings/drawing4.xml" ContentType="application/vnd.openxmlformats-officedocument.drawingml.chartshapes+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5.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rawings/drawing6.xml" ContentType="application/vnd.openxmlformats-officedocument.drawingml.chartshapes+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7.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drawings/drawing8.xml" ContentType="application/vnd.openxmlformats-officedocument.drawingml.chartshapes+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9.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10.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6F4B4" w14:textId="77777777" w:rsidR="00324D2C" w:rsidRPr="00447599" w:rsidRDefault="00324D2C" w:rsidP="003340EF">
      <w:pPr>
        <w:spacing w:line="276" w:lineRule="auto"/>
        <w:rPr>
          <w:rFonts w:asciiTheme="majorBidi" w:hAnsiTheme="majorBidi" w:cstheme="majorBidi"/>
          <w:b/>
          <w:bCs/>
        </w:rPr>
      </w:pPr>
      <w:bookmarkStart w:id="0" w:name="_Hlk110527550"/>
      <w:bookmarkEnd w:id="0"/>
      <w:r w:rsidRPr="00447599">
        <w:rPr>
          <w:rFonts w:asciiTheme="majorBidi" w:hAnsiTheme="majorBidi" w:cstheme="majorBidi"/>
          <w:b/>
          <w:bCs/>
        </w:rPr>
        <w:t xml:space="preserve">Supplementary Material </w:t>
      </w:r>
    </w:p>
    <w:p w14:paraId="75C99C5C" w14:textId="77777777" w:rsidR="00324D2C" w:rsidRPr="00447599" w:rsidRDefault="00324D2C" w:rsidP="003340EF">
      <w:pPr>
        <w:spacing w:line="276" w:lineRule="auto"/>
        <w:jc w:val="center"/>
        <w:rPr>
          <w:rFonts w:asciiTheme="majorBidi" w:hAnsiTheme="majorBidi" w:cstheme="majorBidi"/>
          <w:b/>
          <w:bCs/>
          <w:color w:val="000000" w:themeColor="text1"/>
          <w:sz w:val="28"/>
          <w:szCs w:val="28"/>
        </w:rPr>
      </w:pPr>
    </w:p>
    <w:p w14:paraId="0D29529E" w14:textId="77777777" w:rsidR="0031483C" w:rsidRDefault="0031483C" w:rsidP="0031483C">
      <w:pPr>
        <w:shd w:val="clear" w:color="auto" w:fill="FFFFFF"/>
        <w:spacing w:after="100" w:afterAutospacing="1" w:line="480" w:lineRule="auto"/>
        <w:jc w:val="both"/>
        <w:rPr>
          <w:rFonts w:ascii="Times" w:hAnsi="Times" w:cstheme="majorBidi"/>
          <w:b/>
          <w:bCs/>
          <w:color w:val="000000" w:themeColor="text1"/>
          <w:lang w:val="en-CA"/>
        </w:rPr>
      </w:pPr>
      <w:r w:rsidRPr="008C407C">
        <w:rPr>
          <w:rFonts w:ascii="Times" w:hAnsi="Times" w:cstheme="majorBidi"/>
          <w:b/>
          <w:bCs/>
          <w:color w:val="000000" w:themeColor="text1"/>
        </w:rPr>
        <w:t xml:space="preserve">Formulation of </w:t>
      </w:r>
      <w:r>
        <w:rPr>
          <w:rFonts w:ascii="Times" w:hAnsi="Times" w:cstheme="majorBidi"/>
          <w:b/>
          <w:bCs/>
          <w:color w:val="000000" w:themeColor="text1"/>
        </w:rPr>
        <w:t>S</w:t>
      </w:r>
      <w:r w:rsidRPr="008C407C">
        <w:rPr>
          <w:rFonts w:ascii="Times" w:hAnsi="Times" w:cstheme="majorBidi"/>
          <w:b/>
          <w:bCs/>
          <w:color w:val="000000" w:themeColor="text1"/>
        </w:rPr>
        <w:t xml:space="preserve">ynthetic </w:t>
      </w:r>
      <w:r>
        <w:rPr>
          <w:rFonts w:ascii="Times" w:hAnsi="Times" w:cstheme="majorBidi"/>
          <w:b/>
          <w:bCs/>
          <w:color w:val="000000" w:themeColor="text1"/>
        </w:rPr>
        <w:t>B</w:t>
      </w:r>
      <w:r w:rsidRPr="008C407C">
        <w:rPr>
          <w:rFonts w:ascii="Times" w:hAnsi="Times" w:cstheme="majorBidi"/>
          <w:b/>
          <w:bCs/>
          <w:color w:val="000000" w:themeColor="text1"/>
        </w:rPr>
        <w:t xml:space="preserve">acteria </w:t>
      </w:r>
      <w:r>
        <w:rPr>
          <w:rFonts w:ascii="Times" w:hAnsi="Times" w:cstheme="majorBidi"/>
          <w:b/>
          <w:bCs/>
          <w:color w:val="000000" w:themeColor="text1"/>
        </w:rPr>
        <w:t>C</w:t>
      </w:r>
      <w:r w:rsidRPr="008C407C">
        <w:rPr>
          <w:rFonts w:ascii="Times" w:hAnsi="Times" w:cstheme="majorBidi"/>
          <w:b/>
          <w:bCs/>
          <w:color w:val="000000" w:themeColor="text1"/>
        </w:rPr>
        <w:t xml:space="preserve">onsortia </w:t>
      </w:r>
      <w:r>
        <w:rPr>
          <w:rFonts w:ascii="Times" w:hAnsi="Times" w:cstheme="majorBidi"/>
          <w:b/>
          <w:bCs/>
          <w:color w:val="000000" w:themeColor="text1"/>
        </w:rPr>
        <w:t xml:space="preserve">for </w:t>
      </w:r>
      <w:r w:rsidRPr="00301CEB">
        <w:rPr>
          <w:rFonts w:ascii="Times" w:hAnsi="Times" w:cstheme="majorBidi"/>
          <w:b/>
          <w:bCs/>
          <w:color w:val="000000" w:themeColor="text1"/>
        </w:rPr>
        <w:t xml:space="preserve">Enzymatic </w:t>
      </w:r>
      <w:r>
        <w:rPr>
          <w:rFonts w:ascii="Times" w:hAnsi="Times" w:cstheme="majorBidi"/>
          <w:b/>
          <w:bCs/>
          <w:color w:val="000000" w:themeColor="text1"/>
        </w:rPr>
        <w:t>B</w:t>
      </w:r>
      <w:r w:rsidRPr="00301CEB">
        <w:rPr>
          <w:rFonts w:ascii="Times" w:hAnsi="Times" w:cstheme="majorBidi"/>
          <w:b/>
          <w:bCs/>
          <w:color w:val="000000" w:themeColor="text1"/>
        </w:rPr>
        <w:t>iodegradation of Polyaromatic Hydrocarbons contaminated soi</w:t>
      </w:r>
      <w:r>
        <w:rPr>
          <w:rFonts w:ascii="Times" w:hAnsi="Times" w:cstheme="majorBidi"/>
          <w:b/>
          <w:bCs/>
          <w:color w:val="000000" w:themeColor="text1"/>
        </w:rPr>
        <w:t>l: Soil Column Study</w:t>
      </w:r>
      <w:r w:rsidRPr="009F51E3">
        <w:rPr>
          <w:rFonts w:ascii="Times" w:hAnsi="Times" w:cstheme="majorBidi"/>
          <w:b/>
          <w:bCs/>
          <w:color w:val="000000" w:themeColor="text1"/>
          <w:lang w:val="en-CA"/>
        </w:rPr>
        <w:t xml:space="preserve"> </w:t>
      </w:r>
    </w:p>
    <w:p w14:paraId="487CBC55" w14:textId="77777777" w:rsidR="001B148C" w:rsidRPr="00447599" w:rsidRDefault="001B148C" w:rsidP="003340EF">
      <w:pPr>
        <w:spacing w:line="276" w:lineRule="auto"/>
        <w:jc w:val="center"/>
        <w:rPr>
          <w:rFonts w:asciiTheme="majorBidi" w:hAnsiTheme="majorBidi" w:cstheme="majorBidi"/>
          <w:b/>
          <w:bCs/>
          <w:color w:val="000000" w:themeColor="text1"/>
          <w:sz w:val="28"/>
          <w:szCs w:val="28"/>
        </w:rPr>
      </w:pPr>
    </w:p>
    <w:p w14:paraId="7451E616" w14:textId="77777777" w:rsidR="001B148C" w:rsidRPr="00447599" w:rsidRDefault="001B148C" w:rsidP="003340EF">
      <w:pPr>
        <w:shd w:val="clear" w:color="auto" w:fill="FFFFFF"/>
        <w:spacing w:after="100" w:afterAutospacing="1" w:line="276" w:lineRule="auto"/>
        <w:jc w:val="center"/>
        <w:rPr>
          <w:rFonts w:asciiTheme="majorBidi" w:hAnsiTheme="majorBidi" w:cstheme="majorBidi"/>
          <w:b/>
          <w:bCs/>
          <w:color w:val="000000" w:themeColor="text1"/>
          <w:lang w:val="fr-CA"/>
        </w:rPr>
      </w:pPr>
      <w:r w:rsidRPr="00447599">
        <w:rPr>
          <w:rFonts w:asciiTheme="majorBidi" w:hAnsiTheme="majorBidi" w:cstheme="majorBidi"/>
          <w:b/>
          <w:bCs/>
          <w:color w:val="000000" w:themeColor="text1"/>
          <w:lang w:val="fr-CA"/>
        </w:rPr>
        <w:t>Seyyed Mohammadreza Davoodi</w:t>
      </w:r>
      <w:r w:rsidRPr="00447599">
        <w:rPr>
          <w:rFonts w:asciiTheme="majorBidi" w:hAnsiTheme="majorBidi" w:cstheme="majorBidi"/>
          <w:b/>
          <w:bCs/>
          <w:color w:val="000000" w:themeColor="text1"/>
          <w:vertAlign w:val="superscript"/>
          <w:lang w:val="fr-CA"/>
        </w:rPr>
        <w:t>1</w:t>
      </w:r>
      <w:r w:rsidRPr="00447599">
        <w:rPr>
          <w:rFonts w:asciiTheme="majorBidi" w:hAnsiTheme="majorBidi" w:cstheme="majorBidi"/>
          <w:b/>
          <w:bCs/>
          <w:color w:val="000000" w:themeColor="text1"/>
          <w:lang w:val="fr-CA"/>
        </w:rPr>
        <w:t>, Saba Miri</w:t>
      </w:r>
      <w:r w:rsidRPr="00447599">
        <w:rPr>
          <w:rFonts w:asciiTheme="majorBidi" w:hAnsiTheme="majorBidi" w:cstheme="majorBidi"/>
          <w:b/>
          <w:bCs/>
          <w:color w:val="000000" w:themeColor="text1"/>
          <w:vertAlign w:val="superscript"/>
          <w:lang w:val="fr-CA"/>
        </w:rPr>
        <w:t>1</w:t>
      </w:r>
      <w:r w:rsidRPr="00447599">
        <w:rPr>
          <w:rFonts w:asciiTheme="majorBidi" w:hAnsiTheme="majorBidi" w:cstheme="majorBidi"/>
          <w:b/>
          <w:bCs/>
          <w:color w:val="000000" w:themeColor="text1"/>
          <w:lang w:val="fr-CA"/>
        </w:rPr>
        <w:t>, Satinder Kaur Brar</w:t>
      </w:r>
      <w:r w:rsidRPr="00447599">
        <w:rPr>
          <w:rFonts w:asciiTheme="majorBidi" w:hAnsiTheme="majorBidi" w:cstheme="majorBidi"/>
          <w:b/>
          <w:bCs/>
          <w:color w:val="000000" w:themeColor="text1"/>
          <w:vertAlign w:val="superscript"/>
          <w:lang w:val="fr-CA"/>
        </w:rPr>
        <w:t>1*</w:t>
      </w:r>
      <w:r w:rsidRPr="00447599">
        <w:rPr>
          <w:rFonts w:asciiTheme="majorBidi" w:hAnsiTheme="majorBidi" w:cstheme="majorBidi"/>
          <w:b/>
          <w:bCs/>
          <w:color w:val="000000" w:themeColor="text1"/>
          <w:lang w:val="fr-CA"/>
        </w:rPr>
        <w:t xml:space="preserve">,  </w:t>
      </w:r>
      <w:r w:rsidRPr="00447599">
        <w:rPr>
          <w:rFonts w:asciiTheme="majorBidi" w:hAnsiTheme="majorBidi" w:cstheme="majorBidi"/>
          <w:b/>
          <w:bCs/>
          <w:color w:val="000000" w:themeColor="text1"/>
          <w:vertAlign w:val="superscript"/>
          <w:lang w:val="fr-CA"/>
        </w:rPr>
        <w:t xml:space="preserve"> </w:t>
      </w:r>
      <w:r w:rsidRPr="00447599">
        <w:rPr>
          <w:rFonts w:asciiTheme="majorBidi" w:hAnsiTheme="majorBidi" w:cstheme="majorBidi"/>
          <w:b/>
          <w:bCs/>
          <w:color w:val="000000" w:themeColor="text1"/>
          <w:lang w:val="fr-CA"/>
        </w:rPr>
        <w:t>Richard Martel</w:t>
      </w:r>
      <w:r w:rsidRPr="00447599">
        <w:rPr>
          <w:rFonts w:asciiTheme="majorBidi" w:hAnsiTheme="majorBidi" w:cstheme="majorBidi"/>
          <w:b/>
          <w:bCs/>
          <w:color w:val="000000" w:themeColor="text1"/>
          <w:vertAlign w:val="superscript"/>
          <w:lang w:val="fr-CA"/>
        </w:rPr>
        <w:t>3</w:t>
      </w:r>
    </w:p>
    <w:p w14:paraId="402A047F" w14:textId="77777777" w:rsidR="001B148C" w:rsidRPr="00447599" w:rsidRDefault="001B148C" w:rsidP="003340EF">
      <w:pPr>
        <w:shd w:val="clear" w:color="auto" w:fill="FFFFFF"/>
        <w:spacing w:after="100" w:afterAutospacing="1" w:line="276" w:lineRule="auto"/>
        <w:jc w:val="center"/>
        <w:rPr>
          <w:rFonts w:asciiTheme="majorBidi" w:hAnsiTheme="majorBidi" w:cstheme="majorBidi"/>
          <w:b/>
          <w:bCs/>
          <w:color w:val="000000" w:themeColor="text1"/>
          <w:lang w:val="fr-CA"/>
        </w:rPr>
      </w:pPr>
    </w:p>
    <w:p w14:paraId="26FB6231" w14:textId="77777777" w:rsidR="001B148C" w:rsidRPr="00447599" w:rsidRDefault="001B148C" w:rsidP="003340EF">
      <w:pPr>
        <w:spacing w:line="276" w:lineRule="auto"/>
        <w:jc w:val="center"/>
        <w:rPr>
          <w:rFonts w:asciiTheme="majorBidi" w:eastAsia="Calibri" w:hAnsiTheme="majorBidi" w:cstheme="majorBidi"/>
          <w:color w:val="000000" w:themeColor="text1"/>
        </w:rPr>
      </w:pPr>
      <w:r w:rsidRPr="00447599">
        <w:rPr>
          <w:rFonts w:asciiTheme="majorBidi" w:hAnsiTheme="majorBidi" w:cstheme="majorBidi"/>
          <w:color w:val="000000" w:themeColor="text1"/>
          <w:vertAlign w:val="superscript"/>
        </w:rPr>
        <w:t>1</w:t>
      </w:r>
      <w:r w:rsidRPr="00447599">
        <w:rPr>
          <w:rFonts w:asciiTheme="majorBidi" w:hAnsiTheme="majorBidi" w:cstheme="majorBidi"/>
          <w:color w:val="000000" w:themeColor="text1"/>
        </w:rPr>
        <w:t xml:space="preserve"> </w:t>
      </w:r>
      <w:r w:rsidRPr="00447599">
        <w:rPr>
          <w:rFonts w:asciiTheme="majorBidi" w:eastAsia="Calibri" w:hAnsiTheme="majorBidi" w:cstheme="majorBidi"/>
          <w:color w:val="000000" w:themeColor="text1"/>
        </w:rPr>
        <w:t>Department of Civil Engineering, Lassonde School of Engineering, York University, North York, Toronto, Ontario Canada M3J 1P3.</w:t>
      </w:r>
    </w:p>
    <w:p w14:paraId="14F2B46A" w14:textId="77777777" w:rsidR="001B148C" w:rsidRPr="00447599" w:rsidRDefault="001B148C" w:rsidP="003340EF">
      <w:pPr>
        <w:spacing w:line="276" w:lineRule="auto"/>
        <w:jc w:val="center"/>
        <w:rPr>
          <w:rFonts w:asciiTheme="majorBidi" w:hAnsiTheme="majorBidi" w:cstheme="majorBidi"/>
          <w:color w:val="000000" w:themeColor="text1"/>
          <w:shd w:val="clear" w:color="auto" w:fill="FFFFFF"/>
          <w:lang w:val="fr-CA"/>
        </w:rPr>
      </w:pPr>
    </w:p>
    <w:p w14:paraId="3E000C57" w14:textId="77777777" w:rsidR="001B148C" w:rsidRPr="00447599" w:rsidRDefault="001B148C" w:rsidP="003340EF">
      <w:pPr>
        <w:shd w:val="clear" w:color="auto" w:fill="FFFFFF"/>
        <w:spacing w:after="100" w:afterAutospacing="1" w:line="276" w:lineRule="auto"/>
        <w:jc w:val="center"/>
        <w:rPr>
          <w:rFonts w:asciiTheme="majorBidi" w:hAnsiTheme="majorBidi" w:cstheme="majorBidi"/>
          <w:color w:val="000000" w:themeColor="text1"/>
          <w:lang w:val="fr-CA"/>
        </w:rPr>
      </w:pPr>
      <w:r w:rsidRPr="00447599">
        <w:rPr>
          <w:rFonts w:asciiTheme="majorBidi" w:hAnsiTheme="majorBidi" w:cstheme="majorBidi"/>
          <w:color w:val="000000" w:themeColor="text1"/>
          <w:vertAlign w:val="superscript"/>
          <w:lang w:val="fr-CA"/>
        </w:rPr>
        <w:t xml:space="preserve">2 </w:t>
      </w:r>
      <w:r w:rsidRPr="00447599">
        <w:rPr>
          <w:rFonts w:asciiTheme="majorBidi" w:hAnsiTheme="majorBidi" w:cstheme="majorBidi"/>
          <w:color w:val="000000" w:themeColor="text1"/>
          <w:lang w:val="fr-CA"/>
        </w:rPr>
        <w:t>INRS-ETE, Université du Québec, 490, Rue de la Couronne, Québec, Canada G1K 9A9</w:t>
      </w:r>
    </w:p>
    <w:p w14:paraId="22E64A89" w14:textId="77777777" w:rsidR="001B148C" w:rsidRPr="00447599" w:rsidRDefault="001B148C" w:rsidP="003340EF">
      <w:pPr>
        <w:spacing w:line="276" w:lineRule="auto"/>
        <w:jc w:val="center"/>
        <w:rPr>
          <w:rFonts w:asciiTheme="majorBidi" w:hAnsiTheme="majorBidi" w:cstheme="majorBidi"/>
          <w:i/>
          <w:iCs/>
          <w:color w:val="000000" w:themeColor="text1"/>
          <w:lang w:val="fr-CA"/>
        </w:rPr>
      </w:pPr>
    </w:p>
    <w:p w14:paraId="77C636F1" w14:textId="77777777" w:rsidR="001B148C" w:rsidRPr="00447599" w:rsidRDefault="001B148C" w:rsidP="003340EF">
      <w:pPr>
        <w:pStyle w:val="ListParagraph"/>
        <w:spacing w:line="276" w:lineRule="auto"/>
        <w:jc w:val="center"/>
        <w:rPr>
          <w:rFonts w:asciiTheme="majorBidi" w:hAnsiTheme="majorBidi" w:cstheme="majorBidi"/>
          <w:color w:val="000000" w:themeColor="text1"/>
          <w:lang w:val="fr-CA"/>
        </w:rPr>
      </w:pPr>
      <w:r w:rsidRPr="00447599">
        <w:rPr>
          <w:rFonts w:asciiTheme="majorBidi" w:hAnsiTheme="majorBidi" w:cstheme="majorBidi"/>
          <w:color w:val="000000" w:themeColor="text1"/>
          <w:lang w:val="fr-CA"/>
        </w:rPr>
        <w:t xml:space="preserve">(*Phone: 1 418 736 2100 ext. 55228; E-mail: </w:t>
      </w:r>
      <w:r w:rsidRPr="00447599">
        <w:rPr>
          <w:rStyle w:val="Hyperlink"/>
          <w:rFonts w:asciiTheme="majorBidi" w:hAnsiTheme="majorBidi" w:cstheme="majorBidi"/>
          <w:color w:val="000000" w:themeColor="text1"/>
          <w:lang w:val="fr-CA"/>
        </w:rPr>
        <w:t>satinder. brar@lassonde.yorku.ca</w:t>
      </w:r>
      <w:hyperlink r:id="rId7" w:history="1"/>
      <w:r w:rsidRPr="00447599">
        <w:rPr>
          <w:rFonts w:asciiTheme="majorBidi" w:hAnsiTheme="majorBidi" w:cstheme="majorBidi"/>
          <w:color w:val="000000" w:themeColor="text1"/>
          <w:lang w:val="fr-CA"/>
        </w:rPr>
        <w:t>)</w:t>
      </w:r>
    </w:p>
    <w:p w14:paraId="62111BC8" w14:textId="2D31DA54" w:rsidR="005452D1" w:rsidRPr="00447599" w:rsidRDefault="005452D1" w:rsidP="003340EF">
      <w:pPr>
        <w:pStyle w:val="ListParagraph"/>
        <w:spacing w:line="276" w:lineRule="auto"/>
        <w:jc w:val="center"/>
        <w:rPr>
          <w:rFonts w:asciiTheme="majorBidi" w:hAnsiTheme="majorBidi" w:cstheme="majorBidi"/>
          <w:color w:val="000000" w:themeColor="text1"/>
          <w:lang w:val="fr-CA"/>
        </w:rPr>
      </w:pPr>
    </w:p>
    <w:p w14:paraId="6C918BE0" w14:textId="26AFF588" w:rsidR="005452D1" w:rsidRPr="00447599" w:rsidRDefault="005452D1" w:rsidP="003340EF">
      <w:pPr>
        <w:pStyle w:val="ListParagraph"/>
        <w:spacing w:line="276" w:lineRule="auto"/>
        <w:jc w:val="both"/>
        <w:rPr>
          <w:rFonts w:asciiTheme="majorBidi" w:hAnsiTheme="majorBidi" w:cstheme="majorBidi"/>
          <w:color w:val="000000" w:themeColor="text1"/>
          <w:lang w:val="fr-CA"/>
        </w:rPr>
      </w:pPr>
    </w:p>
    <w:p w14:paraId="476B1E46" w14:textId="73754249" w:rsidR="005452D1" w:rsidRPr="00447599" w:rsidRDefault="005452D1" w:rsidP="003340EF">
      <w:pPr>
        <w:spacing w:line="276" w:lineRule="auto"/>
        <w:rPr>
          <w:rFonts w:asciiTheme="majorBidi" w:eastAsiaTheme="minorHAnsi" w:hAnsiTheme="majorBidi" w:cstheme="majorBidi"/>
          <w:color w:val="000000" w:themeColor="text1"/>
          <w:lang w:val="fr-CA"/>
        </w:rPr>
      </w:pPr>
      <w:r w:rsidRPr="00447599">
        <w:rPr>
          <w:rFonts w:asciiTheme="majorBidi" w:hAnsiTheme="majorBidi" w:cstheme="majorBidi"/>
          <w:color w:val="000000" w:themeColor="text1"/>
          <w:lang w:val="fr-CA"/>
        </w:rPr>
        <w:br w:type="page"/>
      </w:r>
    </w:p>
    <w:p w14:paraId="501522A7" w14:textId="2105BCB9" w:rsidR="007D3DD9" w:rsidRPr="00447599" w:rsidRDefault="007D3DD9" w:rsidP="003340EF">
      <w:pPr>
        <w:spacing w:line="276" w:lineRule="auto"/>
        <w:rPr>
          <w:rFonts w:asciiTheme="majorBidi" w:hAnsiTheme="majorBidi" w:cstheme="majorBidi"/>
          <w:b/>
          <w:bCs/>
        </w:rPr>
      </w:pPr>
      <w:r w:rsidRPr="00447599">
        <w:rPr>
          <w:rFonts w:asciiTheme="majorBidi" w:hAnsiTheme="majorBidi" w:cstheme="majorBidi"/>
          <w:b/>
          <w:bCs/>
        </w:rPr>
        <w:lastRenderedPageBreak/>
        <w:t>S1 Isolation of PAH degrading bacteria from contaminated sediments</w:t>
      </w:r>
    </w:p>
    <w:p w14:paraId="7425DBD2" w14:textId="77777777" w:rsidR="00324D2C" w:rsidRPr="00447599" w:rsidRDefault="00324D2C" w:rsidP="003340EF">
      <w:pPr>
        <w:spacing w:line="276" w:lineRule="auto"/>
        <w:rPr>
          <w:rFonts w:asciiTheme="majorBidi" w:hAnsiTheme="majorBidi" w:cstheme="majorBidi"/>
          <w:b/>
          <w:bCs/>
        </w:rPr>
      </w:pPr>
    </w:p>
    <w:p w14:paraId="0D562EBF" w14:textId="39CF372D" w:rsidR="007D3DD9" w:rsidRPr="00447599" w:rsidRDefault="007D3DD9" w:rsidP="003340EF">
      <w:pPr>
        <w:spacing w:line="276" w:lineRule="auto"/>
        <w:jc w:val="both"/>
        <w:rPr>
          <w:rFonts w:asciiTheme="majorBidi" w:hAnsiTheme="majorBidi" w:cstheme="majorBidi"/>
          <w:color w:val="000000" w:themeColor="text1"/>
          <w:shd w:val="clear" w:color="auto" w:fill="FFFFFF"/>
        </w:rPr>
      </w:pPr>
      <w:r w:rsidRPr="00447599">
        <w:rPr>
          <w:rFonts w:asciiTheme="majorBidi" w:hAnsiTheme="majorBidi" w:cstheme="majorBidi"/>
          <w:color w:val="000000" w:themeColor="text1"/>
          <w:shd w:val="clear" w:color="auto" w:fill="FFFFFF"/>
        </w:rPr>
        <w:t xml:space="preserve">After 1 month of incubation of the final enrichment culture on the mixture of oils, </w:t>
      </w:r>
      <w:r w:rsidRPr="00447599">
        <w:rPr>
          <w:rFonts w:asciiTheme="majorBidi" w:hAnsiTheme="majorBidi" w:cstheme="majorBidi"/>
          <w:color w:val="000000" w:themeColor="text1"/>
        </w:rPr>
        <w:t>aliquots (100 μl) of 10</w:t>
      </w:r>
      <w:r w:rsidRPr="00447599">
        <w:rPr>
          <w:rFonts w:asciiTheme="majorBidi" w:hAnsiTheme="majorBidi" w:cstheme="majorBidi"/>
          <w:color w:val="000000" w:themeColor="text1"/>
          <w:vertAlign w:val="superscript"/>
        </w:rPr>
        <w:t>−1</w:t>
      </w:r>
      <w:r w:rsidRPr="00447599">
        <w:rPr>
          <w:rFonts w:asciiTheme="majorBidi" w:hAnsiTheme="majorBidi" w:cstheme="majorBidi"/>
          <w:color w:val="000000" w:themeColor="text1"/>
        </w:rPr>
        <w:t xml:space="preserve"> -10</w:t>
      </w:r>
      <w:r w:rsidRPr="00447599">
        <w:rPr>
          <w:rFonts w:asciiTheme="majorBidi" w:hAnsiTheme="majorBidi" w:cstheme="majorBidi"/>
          <w:color w:val="000000" w:themeColor="text1"/>
          <w:vertAlign w:val="superscript"/>
        </w:rPr>
        <w:t>−10</w:t>
      </w:r>
      <w:r w:rsidRPr="00447599">
        <w:rPr>
          <w:rFonts w:asciiTheme="majorBidi" w:hAnsiTheme="majorBidi" w:cstheme="majorBidi"/>
          <w:color w:val="000000" w:themeColor="text1"/>
        </w:rPr>
        <w:t xml:space="preserve"> dilutions, in SSM were spread on </w:t>
      </w:r>
      <w:hyperlink r:id="rId8" w:tooltip="Learn more about Agar Plate from ScienceDirect's AI-generated Topic Pages" w:history="1">
        <w:r w:rsidRPr="00447599">
          <w:rPr>
            <w:rFonts w:asciiTheme="majorBidi" w:hAnsiTheme="majorBidi" w:cstheme="majorBidi"/>
            <w:color w:val="000000" w:themeColor="text1"/>
          </w:rPr>
          <w:t>agar plates</w:t>
        </w:r>
      </w:hyperlink>
      <w:r w:rsidRPr="00447599">
        <w:rPr>
          <w:rFonts w:asciiTheme="majorBidi" w:hAnsiTheme="majorBidi" w:cstheme="majorBidi"/>
          <w:color w:val="000000" w:themeColor="text1"/>
        </w:rPr>
        <w:t xml:space="preserve"> (M3 and NB agar) through the conventional spread-plate technique and then incubated at 15 °C for 4 days. </w:t>
      </w:r>
      <w:r w:rsidRPr="00447599">
        <w:rPr>
          <w:rFonts w:asciiTheme="majorBidi" w:hAnsiTheme="majorBidi" w:cstheme="majorBidi"/>
          <w:color w:val="000000" w:themeColor="text1"/>
          <w:shd w:val="clear" w:color="auto" w:fill="FFFFFF"/>
        </w:rPr>
        <w:t xml:space="preserve">After that, single colonies with different morphologies were visually selected and each of them inoculated to the freshly prepared M3 or NB medium (50 mL) amended with NaCl (10%) and used as inoculum for degradation and enzyme production screening. </w:t>
      </w:r>
      <w:r w:rsidRPr="00447599">
        <w:rPr>
          <w:rFonts w:asciiTheme="majorBidi" w:hAnsiTheme="majorBidi" w:cstheme="majorBidi"/>
          <w:color w:val="000000" w:themeColor="text1"/>
          <w:shd w:val="clear" w:color="auto" w:fill="FFFFFF"/>
        </w:rPr>
        <w:fldChar w:fldCharType="begin"/>
      </w:r>
      <w:r w:rsidR="00907DA8" w:rsidRPr="00447599">
        <w:rPr>
          <w:rFonts w:asciiTheme="majorBidi" w:hAnsiTheme="majorBidi" w:cstheme="majorBidi"/>
          <w:color w:val="000000" w:themeColor="text1"/>
          <w:shd w:val="clear" w:color="auto" w:fill="FFFFFF"/>
        </w:rPr>
        <w:instrText xml:space="preserve"> ADDIN EN.CITE &lt;EndNote&gt;&lt;Cite&gt;&lt;Author&gt;Miri&lt;/Author&gt;&lt;Year&gt;2021&lt;/Year&gt;&lt;RecNum&gt;59&lt;/RecNum&gt;&lt;DisplayText&gt;&lt;style face="superscript"&gt;1, 2&lt;/style&gt;&lt;/DisplayText&gt;&lt;record&gt;&lt;rec-number&gt;59&lt;/rec-number&gt;&lt;foreign-keys&gt;&lt;key app="EN" db-id="fw0pwwe0dwvwvmedstoxs906drsw2awepzsx" timestamp="1634251923"&gt;59&lt;/key&gt;&lt;/foreign-keys&gt;&lt;ref-type name="Journal Article"&gt;17&lt;/ref-type&gt;&lt;contributors&gt;&lt;authors&gt;&lt;author&gt;Miri, Saba&lt;/author&gt;&lt;author&gt;Davoodi, Seyyed Mohammadreza&lt;/author&gt;&lt;author&gt;Brar, Satinder Kaur&lt;/author&gt;&lt;author&gt;Rouissi, Tarek&lt;/author&gt;&lt;author&gt;Sheng, Yi&lt;/author&gt;&lt;author&gt;Martel, Richard&lt;/author&gt;&lt;/authors&gt;&lt;/contributors&gt;&lt;titles&gt;&lt;title&gt;Psychrozymes as novel tools to biodegrade p-xylene and potential use for contaminated groundwater in the cold climate&lt;/title&gt;&lt;secondary-title&gt;Bioresource Technology&lt;/secondary-title&gt;&lt;/titles&gt;&lt;periodical&gt;&lt;full-title&gt;Bioresource technology&lt;/full-title&gt;&lt;/periodical&gt;&lt;pages&gt;124464&lt;/pages&gt;&lt;volume&gt;321&lt;/volume&gt;&lt;dates&gt;&lt;year&gt;2021&lt;/year&gt;&lt;/dates&gt;&lt;isbn&gt;0960-8524&lt;/isbn&gt;&lt;urls&gt;&lt;/urls&gt;&lt;/record&gt;&lt;/Cite&gt;&lt;Cite&gt;&lt;Author&gt;Borisova&lt;/Author&gt;&lt;Year&gt;2011&lt;/Year&gt;&lt;RecNum&gt;60&lt;/RecNum&gt;&lt;record&gt;&lt;rec-number&gt;60&lt;/rec-number&gt;&lt;foreign-keys&gt;&lt;key app="EN" db-id="fw0pwwe0dwvwvmedstoxs906drsw2awepzsx" timestamp="1634251978"&gt;60&lt;/key&gt;&lt;/foreign-keys&gt;&lt;ref-type name="Thesis"&gt;32&lt;/ref-type&gt;&lt;contributors&gt;&lt;authors&gt;&lt;author&gt;Borisova, Ralitsa B&lt;/author&gt;&lt;/authors&gt;&lt;/contributors&gt;&lt;titles&gt;&lt;title&gt;Isolation of a Rhodococcus soil bacterium that produces a strong antibacterial compound&lt;/title&gt;&lt;/titles&gt;&lt;dates&gt;&lt;year&gt;2011&lt;/year&gt;&lt;/dates&gt;&lt;publisher&gt;East Tennessee State University&lt;/publisher&gt;&lt;urls&gt;&lt;/urls&gt;&lt;/record&gt;&lt;/Cite&gt;&lt;/EndNote&gt;</w:instrText>
      </w:r>
      <w:r w:rsidRPr="00447599">
        <w:rPr>
          <w:rFonts w:asciiTheme="majorBidi" w:hAnsiTheme="majorBidi" w:cstheme="majorBidi"/>
          <w:color w:val="000000" w:themeColor="text1"/>
          <w:shd w:val="clear" w:color="auto" w:fill="FFFFFF"/>
        </w:rPr>
        <w:fldChar w:fldCharType="separate"/>
      </w:r>
      <w:r w:rsidR="00907DA8" w:rsidRPr="00447599">
        <w:rPr>
          <w:rFonts w:asciiTheme="majorBidi" w:hAnsiTheme="majorBidi" w:cstheme="majorBidi"/>
          <w:noProof/>
          <w:color w:val="000000" w:themeColor="text1"/>
          <w:shd w:val="clear" w:color="auto" w:fill="FFFFFF"/>
          <w:vertAlign w:val="superscript"/>
        </w:rPr>
        <w:t>1, 2</w:t>
      </w:r>
      <w:r w:rsidRPr="00447599">
        <w:rPr>
          <w:rFonts w:asciiTheme="majorBidi" w:hAnsiTheme="majorBidi" w:cstheme="majorBidi"/>
          <w:color w:val="000000" w:themeColor="text1"/>
          <w:shd w:val="clear" w:color="auto" w:fill="FFFFFF"/>
        </w:rPr>
        <w:fldChar w:fldCharType="end"/>
      </w:r>
    </w:p>
    <w:p w14:paraId="5D849582" w14:textId="77777777" w:rsidR="008F460B" w:rsidRPr="00447599" w:rsidRDefault="008F460B" w:rsidP="008F460B">
      <w:pPr>
        <w:spacing w:line="276" w:lineRule="auto"/>
        <w:jc w:val="both"/>
        <w:rPr>
          <w:rFonts w:asciiTheme="majorBidi" w:hAnsiTheme="majorBidi" w:cstheme="majorBidi"/>
          <w:color w:val="000000" w:themeColor="text1"/>
          <w:shd w:val="clear" w:color="auto" w:fill="FFFFFF"/>
        </w:rPr>
      </w:pPr>
    </w:p>
    <w:p w14:paraId="5EB3603A" w14:textId="2637FF01" w:rsidR="008F460B" w:rsidRPr="00447599" w:rsidRDefault="008F460B" w:rsidP="008F460B">
      <w:pPr>
        <w:spacing w:line="276" w:lineRule="auto"/>
        <w:jc w:val="both"/>
        <w:rPr>
          <w:rFonts w:ascii="Times" w:hAnsi="Times"/>
          <w:color w:val="000000" w:themeColor="text1"/>
        </w:rPr>
      </w:pPr>
      <w:r w:rsidRPr="00447599">
        <w:rPr>
          <w:rFonts w:ascii="Times" w:hAnsi="Times"/>
          <w:i/>
          <w:iCs/>
          <w:color w:val="000000" w:themeColor="text1"/>
          <w:shd w:val="clear" w:color="auto" w:fill="FFFFFF"/>
        </w:rPr>
        <w:t xml:space="preserve">Pseudomonas </w:t>
      </w:r>
      <w:r w:rsidRPr="00447599">
        <w:rPr>
          <w:rFonts w:ascii="Times" w:hAnsi="Times" w:cstheme="majorBidi"/>
          <w:color w:val="000000" w:themeColor="text1"/>
        </w:rPr>
        <w:t xml:space="preserve">URS-5, URS-6 could grow in the range of temperature between </w:t>
      </w:r>
      <w:r w:rsidRPr="00447599">
        <w:rPr>
          <w:rFonts w:ascii="Times" w:hAnsi="Times"/>
          <w:color w:val="000000" w:themeColor="text1"/>
        </w:rPr>
        <w:t xml:space="preserve">4 ± 1 °C </w:t>
      </w:r>
      <w:r w:rsidRPr="00447599">
        <w:rPr>
          <w:rFonts w:ascii="Times" w:hAnsi="Times" w:cstheme="majorBidi"/>
          <w:color w:val="000000" w:themeColor="text1"/>
        </w:rPr>
        <w:t>and</w:t>
      </w:r>
      <w:r w:rsidRPr="00447599">
        <w:rPr>
          <w:rFonts w:ascii="Times" w:hAnsi="Times"/>
          <w:color w:val="000000" w:themeColor="text1"/>
        </w:rPr>
        <w:t xml:space="preserve"> 25 ± 1 °C, </w:t>
      </w:r>
      <w:r w:rsidRPr="00447599">
        <w:rPr>
          <w:rFonts w:ascii="Times" w:hAnsi="Times" w:cstheme="majorBidi"/>
          <w:color w:val="000000" w:themeColor="text1"/>
        </w:rPr>
        <w:t>but not as effective at</w:t>
      </w:r>
      <w:r w:rsidRPr="00447599">
        <w:rPr>
          <w:rFonts w:ascii="Times" w:hAnsi="Times"/>
          <w:color w:val="000000" w:themeColor="text1"/>
        </w:rPr>
        <w:t xml:space="preserve"> 37 ± 1 °C as previously reported for </w:t>
      </w:r>
      <w:r w:rsidRPr="00447599">
        <w:rPr>
          <w:rFonts w:ascii="Times" w:hAnsi="Times"/>
          <w:i/>
          <w:iCs/>
          <w:color w:val="000000" w:themeColor="text1"/>
        </w:rPr>
        <w:t xml:space="preserve">P. </w:t>
      </w:r>
      <w:r w:rsidRPr="00447599">
        <w:rPr>
          <w:rFonts w:ascii="Times" w:hAnsi="Times"/>
          <w:i/>
          <w:iCs/>
          <w:color w:val="000000" w:themeColor="text1"/>
          <w:lang w:val="en-CA"/>
        </w:rPr>
        <w:t xml:space="preserve">synxantha </w:t>
      </w:r>
      <w:r w:rsidRPr="00447599">
        <w:rPr>
          <w:rFonts w:ascii="Times" w:hAnsi="Times"/>
          <w:color w:val="000000" w:themeColor="text1"/>
          <w:lang w:val="en-CA"/>
        </w:rPr>
        <w:t>and</w:t>
      </w:r>
      <w:r w:rsidRPr="00447599">
        <w:rPr>
          <w:rFonts w:ascii="Times" w:hAnsi="Times"/>
          <w:color w:val="000000" w:themeColor="text1"/>
        </w:rPr>
        <w:t xml:space="preserve"> </w:t>
      </w:r>
      <w:r w:rsidRPr="00447599">
        <w:rPr>
          <w:rFonts w:ascii="Times" w:hAnsi="Times"/>
          <w:i/>
          <w:iCs/>
          <w:color w:val="000000" w:themeColor="text1"/>
        </w:rPr>
        <w:t xml:space="preserve">P. </w:t>
      </w:r>
      <w:r w:rsidRPr="00447599">
        <w:rPr>
          <w:rFonts w:ascii="Times" w:hAnsi="Times"/>
          <w:i/>
          <w:iCs/>
          <w:color w:val="000000" w:themeColor="text1"/>
          <w:lang w:val="en-CA"/>
        </w:rPr>
        <w:t xml:space="preserve">mandelii </w:t>
      </w:r>
      <w:r w:rsidRPr="00447599">
        <w:rPr>
          <w:rFonts w:ascii="Times" w:hAnsi="Times"/>
          <w:color w:val="000000" w:themeColor="text1"/>
        </w:rPr>
        <w:t xml:space="preserve">strains. </w:t>
      </w:r>
      <w:r w:rsidRPr="00447599">
        <w:rPr>
          <w:rFonts w:ascii="Times" w:hAnsi="Times"/>
          <w:color w:val="000000" w:themeColor="text1"/>
        </w:rPr>
        <w:fldChar w:fldCharType="begin"/>
      </w:r>
      <w:r w:rsidRPr="00447599">
        <w:rPr>
          <w:rFonts w:ascii="Times" w:hAnsi="Times"/>
          <w:color w:val="000000" w:themeColor="text1"/>
        </w:rPr>
        <w:instrText xml:space="preserve"> ADDIN EN.CITE &lt;EndNote&gt;&lt;Cite&gt;&lt;Author&gt;Miri&lt;/Author&gt;&lt;Year&gt;2021&lt;/Year&gt;&lt;RecNum&gt;34&lt;/RecNum&gt;&lt;DisplayText&gt;&lt;style face="superscript"&gt;1&lt;/style&gt;&lt;/DisplayText&gt;&lt;record&gt;&lt;rec-number&gt;34&lt;/rec-number&gt;&lt;foreign-keys&gt;&lt;key app="EN" db-id="fw0pwwe0dwvwvmedstoxs906drsw2awepzsx" timestamp="1627420227"&gt;34&lt;/key&gt;&lt;/foreign-keys&gt;&lt;ref-type name="Journal Article"&gt;17&lt;/ref-type&gt;&lt;contributors&gt;&lt;authors&gt;&lt;author&gt;Miri, Saba&lt;/author&gt;&lt;author&gt;Davoodi, Seyyed Mohammadreza&lt;/author&gt;&lt;author&gt;Brar, Satinder Kaur&lt;/author&gt;&lt;author&gt;Rouissi, Tarek&lt;/author&gt;&lt;author&gt;Sheng, Yi&lt;/author&gt;&lt;author&gt;Martel, Richard&lt;/author&gt;&lt;/authors&gt;&lt;/contributors&gt;&lt;titles&gt;&lt;title&gt;Psychrozymes as novel tools to biodegrade p-xylene and potential use for contaminated groundwater in the cold climate&lt;/title&gt;&lt;secondary-title&gt;Bioresource Technology&lt;/secondary-title&gt;&lt;/titles&gt;&lt;periodical&gt;&lt;full-title&gt;Bioresource technology&lt;/full-title&gt;&lt;/periodical&gt;&lt;pages&gt;124464&lt;/pages&gt;&lt;volume&gt;321&lt;/volume&gt;&lt;dates&gt;&lt;year&gt;2021&lt;/year&gt;&lt;/dates&gt;&lt;isbn&gt;0960-8524&lt;/isbn&gt;&lt;urls&gt;&lt;/urls&gt;&lt;/record&gt;&lt;/Cite&gt;&lt;/EndNote&gt;</w:instrText>
      </w:r>
      <w:r w:rsidRPr="00447599">
        <w:rPr>
          <w:rFonts w:ascii="Times" w:hAnsi="Times"/>
          <w:color w:val="000000" w:themeColor="text1"/>
        </w:rPr>
        <w:fldChar w:fldCharType="separate"/>
      </w:r>
      <w:r w:rsidRPr="00447599">
        <w:rPr>
          <w:rFonts w:ascii="Times" w:hAnsi="Times"/>
          <w:noProof/>
          <w:color w:val="000000" w:themeColor="text1"/>
          <w:vertAlign w:val="superscript"/>
        </w:rPr>
        <w:t>1</w:t>
      </w:r>
      <w:r w:rsidRPr="00447599">
        <w:rPr>
          <w:rFonts w:ascii="Times" w:hAnsi="Times"/>
          <w:color w:val="000000" w:themeColor="text1"/>
        </w:rPr>
        <w:fldChar w:fldCharType="end"/>
      </w:r>
      <w:r w:rsidRPr="00447599">
        <w:rPr>
          <w:rFonts w:ascii="Times" w:hAnsi="Times"/>
          <w:color w:val="000000" w:themeColor="text1"/>
        </w:rPr>
        <w:t xml:space="preserve"> </w:t>
      </w:r>
      <w:r w:rsidRPr="00447599">
        <w:rPr>
          <w:rFonts w:ascii="Times" w:hAnsi="Times"/>
          <w:color w:val="000000"/>
          <w:shd w:val="clear" w:color="auto" w:fill="FFFFFF"/>
        </w:rPr>
        <w:t>The presence of these characteristics indicated that the strains do not pose any potential pathogenic risk to humans or animals. </w:t>
      </w:r>
      <w:r w:rsidRPr="00447599">
        <w:rPr>
          <w:rFonts w:ascii="Times" w:hAnsi="Times"/>
          <w:color w:val="000000" w:themeColor="text1"/>
        </w:rPr>
        <w:t xml:space="preserve"> The partial 16S rRNA sequencing showed that </w:t>
      </w:r>
      <w:r w:rsidRPr="00447599">
        <w:rPr>
          <w:rFonts w:ascii="Times" w:hAnsi="Times" w:cstheme="majorBidi"/>
          <w:color w:val="000000" w:themeColor="text1"/>
        </w:rPr>
        <w:t>URS-6</w:t>
      </w:r>
      <w:r w:rsidRPr="00447599">
        <w:rPr>
          <w:rFonts w:ascii="Times" w:hAnsi="Times"/>
          <w:color w:val="000000" w:themeColor="text1"/>
        </w:rPr>
        <w:t xml:space="preserve"> was close to the type of strain of</w:t>
      </w:r>
      <w:r w:rsidRPr="00447599">
        <w:rPr>
          <w:rStyle w:val="apple-converted-space"/>
          <w:rFonts w:ascii="Times" w:eastAsiaTheme="majorEastAsia" w:hAnsi="Times"/>
          <w:color w:val="000000" w:themeColor="text1"/>
        </w:rPr>
        <w:t> </w:t>
      </w:r>
      <w:r w:rsidRPr="00447599">
        <w:rPr>
          <w:rStyle w:val="Emphasis"/>
          <w:rFonts w:ascii="Times" w:eastAsiaTheme="majorEastAsia" w:hAnsi="Times"/>
          <w:color w:val="000000" w:themeColor="text1"/>
        </w:rPr>
        <w:t xml:space="preserve">Pseudomonas putida </w:t>
      </w:r>
      <w:r w:rsidRPr="00447599">
        <w:rPr>
          <w:rFonts w:ascii="Times" w:hAnsi="Times"/>
          <w:color w:val="000000" w:themeColor="text1"/>
        </w:rPr>
        <w:t>strain NR 043434.1</w:t>
      </w:r>
      <w:r w:rsidRPr="00447599">
        <w:rPr>
          <w:rFonts w:ascii="Times" w:hAnsi="Times"/>
          <w:color w:val="000000" w:themeColor="text1"/>
          <w:vertAlign w:val="superscript"/>
        </w:rPr>
        <w:t>T</w:t>
      </w:r>
      <w:r w:rsidRPr="00447599">
        <w:rPr>
          <w:rStyle w:val="apple-converted-space"/>
          <w:rFonts w:ascii="Times" w:eastAsiaTheme="majorEastAsia" w:hAnsi="Times"/>
          <w:color w:val="000000" w:themeColor="text1"/>
        </w:rPr>
        <w:t> </w:t>
      </w:r>
      <w:r w:rsidRPr="00447599">
        <w:rPr>
          <w:rFonts w:ascii="Times" w:hAnsi="Times"/>
          <w:color w:val="000000" w:themeColor="text1"/>
        </w:rPr>
        <w:t xml:space="preserve">with 99% identity. The sequence identity of </w:t>
      </w:r>
      <w:r w:rsidRPr="00447599">
        <w:rPr>
          <w:rFonts w:ascii="Times" w:hAnsi="Times" w:cstheme="majorBidi"/>
          <w:color w:val="000000" w:themeColor="text1"/>
        </w:rPr>
        <w:t xml:space="preserve">URS-5 and URS-8 </w:t>
      </w:r>
      <w:r w:rsidRPr="00447599">
        <w:rPr>
          <w:rFonts w:ascii="Times" w:hAnsi="Times"/>
          <w:color w:val="000000" w:themeColor="text1"/>
        </w:rPr>
        <w:t>were 99% with a type of strain of</w:t>
      </w:r>
      <w:r w:rsidRPr="00447599">
        <w:rPr>
          <w:rStyle w:val="apple-converted-space"/>
          <w:rFonts w:ascii="Times" w:eastAsiaTheme="majorEastAsia" w:hAnsi="Times"/>
          <w:color w:val="000000" w:themeColor="text1"/>
        </w:rPr>
        <w:t> </w:t>
      </w:r>
      <w:r w:rsidRPr="00447599">
        <w:rPr>
          <w:rFonts w:ascii="Times" w:eastAsiaTheme="majorEastAsia" w:hAnsi="Times"/>
          <w:i/>
          <w:iCs/>
          <w:color w:val="000000" w:themeColor="text1"/>
          <w:lang w:val="en-CA"/>
        </w:rPr>
        <w:t xml:space="preserve">Pseudomonas mandelii </w:t>
      </w:r>
      <w:r w:rsidRPr="00447599">
        <w:rPr>
          <w:rFonts w:ascii="Times" w:eastAsiaTheme="majorEastAsia" w:hAnsi="Times"/>
          <w:color w:val="000000" w:themeColor="text1"/>
          <w:lang w:val="en-CA"/>
        </w:rPr>
        <w:t>strain CIP 105273</w:t>
      </w:r>
      <w:r w:rsidRPr="00447599">
        <w:rPr>
          <w:rFonts w:ascii="Times" w:eastAsiaTheme="majorEastAsia" w:hAnsi="Times"/>
          <w:color w:val="000000" w:themeColor="text1"/>
          <w:vertAlign w:val="superscript"/>
          <w:lang w:val="en-CA"/>
        </w:rPr>
        <w:t>T</w:t>
      </w:r>
      <w:r w:rsidRPr="00447599">
        <w:rPr>
          <w:rFonts w:ascii="Times" w:eastAsiaTheme="majorEastAsia" w:hAnsi="Times"/>
          <w:color w:val="000000" w:themeColor="text1"/>
          <w:lang w:val="en-CA"/>
        </w:rPr>
        <w:t xml:space="preserve"> and </w:t>
      </w:r>
      <w:r w:rsidRPr="00447599">
        <w:rPr>
          <w:rFonts w:ascii="Times" w:hAnsi="Times"/>
          <w:i/>
          <w:iCs/>
          <w:color w:val="000000" w:themeColor="text1"/>
        </w:rPr>
        <w:t xml:space="preserve">Pseudomonas syringae </w:t>
      </w:r>
      <w:r w:rsidRPr="00447599">
        <w:rPr>
          <w:rFonts w:ascii="Times" w:hAnsi="Times"/>
          <w:color w:val="000000" w:themeColor="text1"/>
        </w:rPr>
        <w:t>ATCC 19310</w:t>
      </w:r>
      <w:r w:rsidRPr="00447599">
        <w:rPr>
          <w:rFonts w:ascii="Times" w:hAnsi="Times"/>
          <w:color w:val="000000" w:themeColor="text1"/>
          <w:vertAlign w:val="superscript"/>
        </w:rPr>
        <w:t>T</w:t>
      </w:r>
      <w:r w:rsidRPr="00447599">
        <w:rPr>
          <w:rFonts w:ascii="Times" w:hAnsi="Times"/>
          <w:color w:val="000000" w:themeColor="text1"/>
        </w:rPr>
        <w:t xml:space="preserve"> respectively. In the sequence analysis of URS-5, the sequence identity was 98% with a type strain of </w:t>
      </w:r>
      <w:r w:rsidRPr="00447599">
        <w:rPr>
          <w:rFonts w:ascii="Times" w:hAnsi="Times"/>
          <w:i/>
          <w:iCs/>
          <w:color w:val="000000" w:themeColor="text1"/>
        </w:rPr>
        <w:t>Rhodococcus erythropolis</w:t>
      </w:r>
      <w:r w:rsidRPr="00447599">
        <w:rPr>
          <w:rFonts w:ascii="Times" w:hAnsi="Times"/>
          <w:color w:val="000000" w:themeColor="text1"/>
        </w:rPr>
        <w:t xml:space="preserve"> JCM 3201T.</w:t>
      </w:r>
    </w:p>
    <w:p w14:paraId="3EED602C" w14:textId="77777777" w:rsidR="008F460B" w:rsidRPr="00447599" w:rsidRDefault="008F460B" w:rsidP="008F460B">
      <w:pPr>
        <w:spacing w:line="276" w:lineRule="auto"/>
        <w:jc w:val="both"/>
        <w:rPr>
          <w:rFonts w:ascii="Times" w:hAnsi="Times"/>
          <w:color w:val="000000" w:themeColor="text1"/>
          <w:lang w:val="en-CA"/>
        </w:rPr>
      </w:pPr>
    </w:p>
    <w:p w14:paraId="227F7AF2" w14:textId="2709D8B0" w:rsidR="008F460B" w:rsidRPr="00447599" w:rsidRDefault="008F460B" w:rsidP="008F460B">
      <w:pPr>
        <w:spacing w:line="276" w:lineRule="auto"/>
        <w:jc w:val="both"/>
        <w:rPr>
          <w:rFonts w:ascii="Times" w:hAnsi="Times"/>
          <w:color w:val="000000" w:themeColor="text1"/>
        </w:rPr>
      </w:pPr>
      <w:r w:rsidRPr="00447599">
        <w:rPr>
          <w:rFonts w:ascii="Times" w:hAnsi="Times"/>
          <w:color w:val="000000" w:themeColor="text1"/>
        </w:rPr>
        <w:t xml:space="preserve">The sequences for </w:t>
      </w:r>
      <w:r w:rsidRPr="00447599">
        <w:rPr>
          <w:rFonts w:ascii="Times" w:hAnsi="Times" w:cstheme="majorBidi"/>
          <w:color w:val="000000" w:themeColor="text1"/>
        </w:rPr>
        <w:t>URS-5, URS-6, URS-8,</w:t>
      </w:r>
      <w:r w:rsidRPr="00447599">
        <w:rPr>
          <w:rFonts w:ascii="Times" w:hAnsi="Times"/>
          <w:color w:val="000000" w:themeColor="text1"/>
        </w:rPr>
        <w:t xml:space="preserve"> and URS-10 have been deposited in the NCBI Genbank database and were assigned the accession of MZ144068.1, MZ144069.1, MZ144070.1 and MZ959374, respectively. Phylogenetic analysis also grouped </w:t>
      </w:r>
      <w:r w:rsidRPr="00447599">
        <w:rPr>
          <w:rFonts w:ascii="Times" w:hAnsi="Times" w:cstheme="majorBidi"/>
          <w:color w:val="000000" w:themeColor="text1"/>
        </w:rPr>
        <w:t xml:space="preserve">URS-5, URS-6, URS-8 </w:t>
      </w:r>
      <w:r w:rsidRPr="00447599">
        <w:rPr>
          <w:rFonts w:ascii="Times" w:hAnsi="Times"/>
          <w:color w:val="000000" w:themeColor="text1"/>
        </w:rPr>
        <w:t>and URS-10 with the strain of</w:t>
      </w:r>
      <w:r w:rsidRPr="00447599">
        <w:rPr>
          <w:rStyle w:val="apple-converted-space"/>
          <w:rFonts w:ascii="Times" w:eastAsiaTheme="majorEastAsia" w:hAnsi="Times"/>
          <w:color w:val="000000" w:themeColor="text1"/>
        </w:rPr>
        <w:t> </w:t>
      </w:r>
      <w:r w:rsidRPr="00447599">
        <w:rPr>
          <w:rStyle w:val="Emphasis"/>
          <w:rFonts w:ascii="Times" w:eastAsiaTheme="majorEastAsia" w:hAnsi="Times"/>
          <w:color w:val="000000" w:themeColor="text1"/>
        </w:rPr>
        <w:t>Pseudomonas putida, Pseudomonas mandelii</w:t>
      </w:r>
      <w:r w:rsidRPr="00447599">
        <w:rPr>
          <w:rStyle w:val="apple-converted-space"/>
          <w:rFonts w:ascii="Times" w:eastAsiaTheme="majorEastAsia" w:hAnsi="Times"/>
          <w:color w:val="000000" w:themeColor="text1"/>
        </w:rPr>
        <w:t> </w:t>
      </w:r>
      <w:r w:rsidRPr="00447599">
        <w:rPr>
          <w:rFonts w:ascii="Times" w:hAnsi="Times"/>
          <w:color w:val="000000" w:themeColor="text1"/>
        </w:rPr>
        <w:t>(</w:t>
      </w:r>
      <w:r w:rsidRPr="00447599">
        <w:rPr>
          <w:rStyle w:val="Emphasis"/>
          <w:rFonts w:ascii="Times" w:eastAsiaTheme="majorEastAsia" w:hAnsi="Times"/>
          <w:color w:val="000000" w:themeColor="text1"/>
        </w:rPr>
        <w:t>P. mandelii</w:t>
      </w:r>
      <w:r w:rsidRPr="00447599">
        <w:rPr>
          <w:rFonts w:ascii="Times" w:hAnsi="Times"/>
          <w:color w:val="000000" w:themeColor="text1"/>
        </w:rPr>
        <w:t xml:space="preserve">),  </w:t>
      </w:r>
      <w:r w:rsidRPr="00447599">
        <w:rPr>
          <w:rStyle w:val="Emphasis"/>
          <w:rFonts w:ascii="Times" w:eastAsiaTheme="majorEastAsia" w:hAnsi="Times"/>
          <w:color w:val="000000" w:themeColor="text1"/>
        </w:rPr>
        <w:t>Pseudomonas syringae</w:t>
      </w:r>
      <w:r w:rsidRPr="00447599">
        <w:rPr>
          <w:rStyle w:val="apple-converted-space"/>
          <w:rFonts w:ascii="Times" w:eastAsiaTheme="majorEastAsia" w:hAnsi="Times"/>
          <w:color w:val="000000" w:themeColor="text1"/>
        </w:rPr>
        <w:t xml:space="preserve">, an </w:t>
      </w:r>
      <w:r w:rsidRPr="00447599">
        <w:rPr>
          <w:rStyle w:val="apple-converted-space"/>
          <w:rFonts w:ascii="Times" w:eastAsiaTheme="majorEastAsia" w:hAnsi="Times"/>
          <w:i/>
          <w:iCs/>
          <w:color w:val="000000" w:themeColor="text1"/>
        </w:rPr>
        <w:t>Rhodococcus</w:t>
      </w:r>
      <w:r w:rsidRPr="00447599">
        <w:rPr>
          <w:rStyle w:val="apple-converted-space"/>
          <w:rFonts w:ascii="Times" w:eastAsiaTheme="majorEastAsia" w:hAnsi="Times"/>
          <w:color w:val="000000" w:themeColor="text1"/>
        </w:rPr>
        <w:t xml:space="preserve"> </w:t>
      </w:r>
      <w:r w:rsidRPr="00447599">
        <w:rPr>
          <w:rStyle w:val="apple-converted-space"/>
          <w:rFonts w:ascii="Times" w:eastAsiaTheme="majorEastAsia" w:hAnsi="Times"/>
          <w:i/>
          <w:iCs/>
          <w:color w:val="000000" w:themeColor="text1"/>
        </w:rPr>
        <w:t>erythropolis</w:t>
      </w:r>
      <w:r w:rsidRPr="00447599">
        <w:rPr>
          <w:rStyle w:val="apple-converted-space"/>
          <w:rFonts w:ascii="Times" w:eastAsiaTheme="majorEastAsia" w:hAnsi="Times"/>
          <w:color w:val="000000" w:themeColor="text1"/>
        </w:rPr>
        <w:t xml:space="preserve"> with</w:t>
      </w:r>
      <w:r w:rsidRPr="00447599">
        <w:rPr>
          <w:rFonts w:ascii="Times" w:hAnsi="Times"/>
          <w:color w:val="000000" w:themeColor="text1"/>
        </w:rPr>
        <w:t xml:space="preserve"> 98% bootstrap support (not shown).</w:t>
      </w:r>
      <w:r w:rsidRPr="00447599">
        <w:rPr>
          <w:rFonts w:ascii="Times" w:hAnsi="Times"/>
          <w:i/>
          <w:iCs/>
          <w:color w:val="000000" w:themeColor="text1"/>
        </w:rPr>
        <w:t xml:space="preserve"> Pseudomonas spp.</w:t>
      </w:r>
      <w:r w:rsidRPr="00447599">
        <w:rPr>
          <w:rFonts w:ascii="Times" w:hAnsi="Times"/>
          <w:color w:val="000000" w:themeColor="text1"/>
        </w:rPr>
        <w:t xml:space="preserve"> and </w:t>
      </w:r>
      <w:r w:rsidRPr="00447599">
        <w:rPr>
          <w:rFonts w:ascii="Times" w:hAnsi="Times"/>
          <w:i/>
          <w:iCs/>
          <w:color w:val="000000" w:themeColor="text1"/>
        </w:rPr>
        <w:t>Rhodococcus spp.</w:t>
      </w:r>
      <w:r w:rsidRPr="00447599">
        <w:rPr>
          <w:rFonts w:ascii="Times" w:hAnsi="Times"/>
          <w:color w:val="000000" w:themeColor="text1"/>
        </w:rPr>
        <w:t xml:space="preserve"> degraded various xenobiotics and were often isolated from hydrocarbon-contaminated sites. </w:t>
      </w:r>
      <w:r w:rsidRPr="00447599">
        <w:rPr>
          <w:rFonts w:ascii="Times" w:hAnsi="Times"/>
          <w:color w:val="000000" w:themeColor="text1"/>
        </w:rPr>
        <w:fldChar w:fldCharType="begin"/>
      </w:r>
      <w:r w:rsidRPr="00447599">
        <w:rPr>
          <w:rFonts w:ascii="Times" w:hAnsi="Times"/>
          <w:color w:val="000000" w:themeColor="text1"/>
        </w:rPr>
        <w:instrText xml:space="preserve"> ADDIN EN.CITE &lt;EndNote&gt;&lt;Cite&gt;&lt;Author&gt;Van Hamme&lt;/Author&gt;&lt;Year&gt;2001&lt;/Year&gt;&lt;RecNum&gt;26&lt;/RecNum&gt;&lt;DisplayText&gt;&lt;style face="superscript"&gt;3&lt;/style&gt;&lt;/DisplayText&gt;&lt;record&gt;&lt;rec-number&gt;26&lt;/rec-number&gt;&lt;foreign-keys&gt;&lt;key app="EN" db-id="p0zx9f52s0zwpueeawxv9p279av9dwafsaxz" timestamp="1661888512"&gt;26&lt;/key&gt;&lt;/foreign-keys&gt;&lt;ref-type name="Journal Article"&gt;17&lt;/ref-type&gt;&lt;contributors&gt;&lt;authors&gt;&lt;author&gt;Van Hamme, Jonathan D&lt;/author&gt;&lt;author&gt;Ward, Owen P&lt;/author&gt;&lt;/authors&gt;&lt;/contributors&gt;&lt;titles&gt;&lt;title&gt;Physical and metabolic interactions of Pseudomonas sp. strain JA5-B45 and Rhodococcus sp. strain F9-D79 during growth on crude oil and effect of a chemical surfactant on them&lt;/title&gt;&lt;secondary-title&gt;Applied and environmental microbiology&lt;/secondary-title&gt;&lt;/titles&gt;&lt;periodical&gt;&lt;full-title&gt;Applied and environmental microbiology&lt;/full-title&gt;&lt;/periodical&gt;&lt;pages&gt;4874-4879&lt;/pages&gt;&lt;volume&gt;67&lt;/volume&gt;&lt;number&gt;10&lt;/number&gt;&lt;dates&gt;&lt;year&gt;2001&lt;/year&gt;&lt;/dates&gt;&lt;isbn&gt;1098-5336&lt;/isbn&gt;&lt;urls&gt;&lt;/urls&gt;&lt;/record&gt;&lt;/Cite&gt;&lt;/EndNote&gt;</w:instrText>
      </w:r>
      <w:r w:rsidRPr="00447599">
        <w:rPr>
          <w:rFonts w:ascii="Times" w:hAnsi="Times"/>
          <w:color w:val="000000" w:themeColor="text1"/>
        </w:rPr>
        <w:fldChar w:fldCharType="separate"/>
      </w:r>
      <w:r w:rsidRPr="00447599">
        <w:rPr>
          <w:rFonts w:ascii="Times" w:hAnsi="Times"/>
          <w:noProof/>
          <w:color w:val="000000" w:themeColor="text1"/>
          <w:vertAlign w:val="superscript"/>
        </w:rPr>
        <w:t>3</w:t>
      </w:r>
      <w:r w:rsidRPr="00447599">
        <w:rPr>
          <w:rFonts w:ascii="Times" w:hAnsi="Times"/>
          <w:color w:val="000000" w:themeColor="text1"/>
        </w:rPr>
        <w:fldChar w:fldCharType="end"/>
      </w:r>
      <w:r w:rsidRPr="00447599">
        <w:rPr>
          <w:rFonts w:ascii="Times" w:hAnsi="Times"/>
          <w:color w:val="000000" w:themeColor="text1"/>
        </w:rPr>
        <w:t xml:space="preserve"> Wald </w:t>
      </w:r>
      <w:r w:rsidRPr="00447599">
        <w:rPr>
          <w:rFonts w:ascii="Times" w:hAnsi="Times"/>
          <w:i/>
          <w:iCs/>
          <w:color w:val="000000" w:themeColor="text1"/>
        </w:rPr>
        <w:t>et.al</w:t>
      </w:r>
      <w:r w:rsidRPr="00447599">
        <w:rPr>
          <w:rFonts w:ascii="Times" w:hAnsi="Times"/>
          <w:color w:val="000000" w:themeColor="text1"/>
        </w:rPr>
        <w:t xml:space="preserve"> 2015 indicated that </w:t>
      </w:r>
      <w:r w:rsidRPr="00447599">
        <w:rPr>
          <w:rFonts w:ascii="Times" w:hAnsi="Times"/>
          <w:color w:val="000000" w:themeColor="text1"/>
          <w:shd w:val="clear" w:color="auto" w:fill="FFFFFF"/>
        </w:rPr>
        <w:t>the </w:t>
      </w:r>
      <w:r w:rsidRPr="00447599">
        <w:rPr>
          <w:rFonts w:ascii="Times" w:hAnsi="Times"/>
          <w:i/>
          <w:iCs/>
          <w:color w:val="000000" w:themeColor="text1"/>
        </w:rPr>
        <w:t xml:space="preserve">Pseudomonas syringae </w:t>
      </w:r>
      <w:r w:rsidRPr="00447599">
        <w:rPr>
          <w:rFonts w:ascii="Times" w:hAnsi="Times"/>
          <w:color w:val="000000" w:themeColor="text1"/>
          <w:shd w:val="clear" w:color="auto" w:fill="FFFFFF"/>
        </w:rPr>
        <w:t>group (namely </w:t>
      </w:r>
      <w:r w:rsidRPr="00447599">
        <w:rPr>
          <w:rFonts w:ascii="Times" w:hAnsi="Times"/>
          <w:i/>
          <w:iCs/>
          <w:color w:val="000000" w:themeColor="text1"/>
        </w:rPr>
        <w:t>Pseudomonas cichorii</w:t>
      </w:r>
      <w:r w:rsidRPr="00447599">
        <w:rPr>
          <w:rFonts w:ascii="Times" w:hAnsi="Times"/>
          <w:color w:val="000000" w:themeColor="text1"/>
          <w:shd w:val="clear" w:color="auto" w:fill="FFFFFF"/>
        </w:rPr>
        <w:t xml:space="preserve"> LMG 2162T) was one of the most dominant </w:t>
      </w:r>
      <w:r w:rsidRPr="00447599">
        <w:rPr>
          <w:rFonts w:ascii="Times" w:hAnsi="Times"/>
          <w:i/>
          <w:iCs/>
          <w:color w:val="000000" w:themeColor="text1"/>
          <w:shd w:val="clear" w:color="auto" w:fill="FFFFFF"/>
        </w:rPr>
        <w:t>Pseudomonads</w:t>
      </w:r>
      <w:r w:rsidRPr="00447599">
        <w:rPr>
          <w:rFonts w:ascii="Times" w:hAnsi="Times"/>
          <w:color w:val="000000" w:themeColor="text1"/>
          <w:shd w:val="clear" w:color="auto" w:fill="FFFFFF"/>
        </w:rPr>
        <w:t xml:space="preserve"> in the sequestration and of carbon from naphthalene in the samples and potential degradation of other PAHs upon aeration of the sediment at 20 (7%) and 10°C. </w:t>
      </w:r>
      <w:r w:rsidRPr="00447599">
        <w:rPr>
          <w:rFonts w:ascii="Times" w:hAnsi="Times"/>
          <w:color w:val="000000" w:themeColor="text1"/>
          <w:shd w:val="clear" w:color="auto" w:fill="FFFFFF"/>
        </w:rPr>
        <w:fldChar w:fldCharType="begin"/>
      </w:r>
      <w:r w:rsidRPr="00447599">
        <w:rPr>
          <w:rFonts w:ascii="Times" w:hAnsi="Times"/>
          <w:color w:val="000000" w:themeColor="text1"/>
          <w:shd w:val="clear" w:color="auto" w:fill="FFFFFF"/>
        </w:rPr>
        <w:instrText xml:space="preserve"> ADDIN EN.CITE &lt;EndNote&gt;&lt;Cite&gt;&lt;Author&gt;Wald&lt;/Author&gt;&lt;Year&gt;2015&lt;/Year&gt;&lt;RecNum&gt;27&lt;/RecNum&gt;&lt;DisplayText&gt;&lt;style face="superscript"&gt;4&lt;/style&gt;&lt;/DisplayText&gt;&lt;record&gt;&lt;rec-number&gt;27&lt;/rec-number&gt;&lt;foreign-keys&gt;&lt;key app="EN" db-id="p0zx9f52s0zwpueeawxv9p279av9dwafsaxz" timestamp="1661888512"&gt;27&lt;/key&gt;&lt;/foreign-keys&gt;&lt;ref-type name="Journal Article"&gt;17&lt;/ref-type&gt;&lt;contributors&gt;&lt;authors&gt;&lt;author&gt;Wald, Jiri&lt;/author&gt;&lt;author&gt;Hroudova, Miluse&lt;/author&gt;&lt;author&gt;Jansa, Jan&lt;/author&gt;&lt;author&gt;Vrchotova, Blanka&lt;/author&gt;&lt;author&gt;Macek, Tomas&lt;/author&gt;&lt;author&gt;Uhlik, Ondrej&lt;/author&gt;&lt;/authors&gt;&lt;/contributors&gt;&lt;titles&gt;&lt;title&gt;Pseudomonads rule degradation of polyaromatic hydrocarbons in aerated sediment&lt;/title&gt;&lt;secondary-title&gt;Frontiers in microbiology&lt;/secondary-title&gt;&lt;/titles&gt;&lt;periodical&gt;&lt;full-title&gt;Frontiers in microbiology&lt;/full-title&gt;&lt;/periodical&gt;&lt;pages&gt;1268&lt;/pages&gt;&lt;volume&gt;6&lt;/volume&gt;&lt;dates&gt;&lt;year&gt;2015&lt;/year&gt;&lt;/dates&gt;&lt;isbn&gt;1664-302X&lt;/isbn&gt;&lt;urls&gt;&lt;/urls&gt;&lt;/record&gt;&lt;/Cite&gt;&lt;/EndNote&gt;</w:instrText>
      </w:r>
      <w:r w:rsidRPr="00447599">
        <w:rPr>
          <w:rFonts w:ascii="Times" w:hAnsi="Times"/>
          <w:color w:val="000000" w:themeColor="text1"/>
          <w:shd w:val="clear" w:color="auto" w:fill="FFFFFF"/>
        </w:rPr>
        <w:fldChar w:fldCharType="separate"/>
      </w:r>
      <w:r w:rsidRPr="00447599">
        <w:rPr>
          <w:rFonts w:ascii="Times" w:hAnsi="Times"/>
          <w:noProof/>
          <w:color w:val="000000" w:themeColor="text1"/>
          <w:shd w:val="clear" w:color="auto" w:fill="FFFFFF"/>
          <w:vertAlign w:val="superscript"/>
        </w:rPr>
        <w:t>4</w:t>
      </w:r>
      <w:r w:rsidRPr="00447599">
        <w:rPr>
          <w:rFonts w:ascii="Times" w:hAnsi="Times"/>
          <w:color w:val="000000" w:themeColor="text1"/>
          <w:shd w:val="clear" w:color="auto" w:fill="FFFFFF"/>
        </w:rPr>
        <w:fldChar w:fldCharType="end"/>
      </w:r>
      <w:r w:rsidRPr="00447599">
        <w:rPr>
          <w:rFonts w:ascii="Times" w:hAnsi="Times"/>
          <w:color w:val="000000" w:themeColor="text1"/>
        </w:rPr>
        <w:t xml:space="preserve"> Margesin et al., (2008) isolated cold-tolerant strains from contaminated soil that could degrade BTEX at 10 °C. </w:t>
      </w:r>
      <w:r w:rsidRPr="00447599">
        <w:rPr>
          <w:rFonts w:ascii="Times" w:hAnsi="Times"/>
          <w:color w:val="000000" w:themeColor="text1"/>
        </w:rPr>
        <w:fldChar w:fldCharType="begin"/>
      </w:r>
      <w:r w:rsidRPr="00447599">
        <w:rPr>
          <w:rFonts w:ascii="Times" w:hAnsi="Times"/>
          <w:color w:val="000000" w:themeColor="text1"/>
        </w:rPr>
        <w:instrText xml:space="preserve"> ADDIN EN.CITE &lt;EndNote&gt;&lt;Cite&gt;&lt;Author&gt;Margesin&lt;/Author&gt;&lt;Year&gt;2008&lt;/Year&gt;&lt;RecNum&gt;28&lt;/RecNum&gt;&lt;DisplayText&gt;&lt;style face="superscript"&gt;5&lt;/style&gt;&lt;/DisplayText&gt;&lt;record&gt;&lt;rec-number&gt;28&lt;/rec-number&gt;&lt;foreign-keys&gt;&lt;key app="EN" db-id="p0zx9f52s0zwpueeawxv9p279av9dwafsaxz" timestamp="1661888512"&gt;28&lt;/key&gt;&lt;/foreign-keys&gt;&lt;ref-type name="Book"&gt;6&lt;/ref-type&gt;&lt;contributors&gt;&lt;authors&gt;&lt;author&gt;Margesin, Rosa&lt;/author&gt;&lt;author&gt;Schinner, Franz&lt;/author&gt;&lt;author&gt;Marx, Jean-Claude&lt;/author&gt;&lt;author&gt;Gerday, Charles&lt;/author&gt;&lt;/authors&gt;&lt;/contributors&gt;&lt;titles&gt;&lt;title&gt;Psychrophiles: from biodiversity to biotechnology&lt;/title&gt;&lt;/titles&gt;&lt;dates&gt;&lt;year&gt;2008&lt;/year&gt;&lt;/dates&gt;&lt;publisher&gt;Springer&lt;/publisher&gt;&lt;isbn&gt;3540743340&lt;/isbn&gt;&lt;urls&gt;&lt;/urls&gt;&lt;/record&gt;&lt;/Cite&gt;&lt;/EndNote&gt;</w:instrText>
      </w:r>
      <w:r w:rsidRPr="00447599">
        <w:rPr>
          <w:rFonts w:ascii="Times" w:hAnsi="Times"/>
          <w:color w:val="000000" w:themeColor="text1"/>
        </w:rPr>
        <w:fldChar w:fldCharType="separate"/>
      </w:r>
      <w:r w:rsidRPr="00447599">
        <w:rPr>
          <w:rFonts w:ascii="Times" w:hAnsi="Times"/>
          <w:noProof/>
          <w:color w:val="000000" w:themeColor="text1"/>
          <w:vertAlign w:val="superscript"/>
        </w:rPr>
        <w:t>5</w:t>
      </w:r>
      <w:r w:rsidRPr="00447599">
        <w:rPr>
          <w:rFonts w:ascii="Times" w:hAnsi="Times"/>
          <w:color w:val="000000" w:themeColor="text1"/>
        </w:rPr>
        <w:fldChar w:fldCharType="end"/>
      </w:r>
      <w:r w:rsidRPr="00447599">
        <w:rPr>
          <w:rFonts w:ascii="Times" w:hAnsi="Times"/>
          <w:color w:val="000000" w:themeColor="text1"/>
        </w:rPr>
        <w:t xml:space="preserve"> </w:t>
      </w:r>
    </w:p>
    <w:p w14:paraId="14501146" w14:textId="77777777" w:rsidR="008F460B" w:rsidRPr="00447599" w:rsidRDefault="008F460B" w:rsidP="003340EF">
      <w:pPr>
        <w:spacing w:line="276" w:lineRule="auto"/>
        <w:jc w:val="both"/>
        <w:rPr>
          <w:rFonts w:asciiTheme="majorBidi" w:hAnsiTheme="majorBidi" w:cstheme="majorBidi"/>
          <w:color w:val="000000" w:themeColor="text1"/>
          <w:shd w:val="clear" w:color="auto" w:fill="FFFFFF"/>
        </w:rPr>
      </w:pPr>
    </w:p>
    <w:p w14:paraId="3E4C0A49" w14:textId="28690C0D" w:rsidR="007D3DD9" w:rsidRPr="00447599" w:rsidRDefault="00305AAA" w:rsidP="003340EF">
      <w:pPr>
        <w:spacing w:line="276" w:lineRule="auto"/>
        <w:jc w:val="both"/>
        <w:rPr>
          <w:rFonts w:asciiTheme="minorHAnsi" w:eastAsiaTheme="minorHAnsi" w:hAnsiTheme="minorHAnsi" w:cstheme="minorBidi"/>
          <w:color w:val="000000" w:themeColor="text1"/>
          <w:lang w:val="en-CA"/>
        </w:rPr>
      </w:pPr>
      <w:r w:rsidRPr="00447599">
        <w:rPr>
          <w:rFonts w:ascii="Times" w:hAnsi="Times" w:cstheme="majorBidi"/>
          <w:color w:val="000000" w:themeColor="text1"/>
          <w:lang w:val="en-CA"/>
        </w:rPr>
        <w:t xml:space="preserve">A series of pyrene biodegradation tests were conducted using </w:t>
      </w:r>
      <w:r w:rsidRPr="00447599">
        <w:rPr>
          <w:rFonts w:asciiTheme="majorBidi" w:hAnsiTheme="majorBidi" w:cstheme="majorBidi"/>
          <w:color w:val="000000" w:themeColor="text1"/>
          <w:lang w:val="en-CA"/>
        </w:rPr>
        <w:t xml:space="preserve">SSM supplemented with three </w:t>
      </w:r>
      <w:r w:rsidRPr="00447599">
        <w:rPr>
          <w:rFonts w:asciiTheme="majorBidi" w:hAnsiTheme="majorBidi" w:cstheme="majorBidi"/>
          <w:color w:val="000000" w:themeColor="text1"/>
        </w:rPr>
        <w:t xml:space="preserve">PAHs </w:t>
      </w:r>
      <w:r w:rsidRPr="00447599">
        <w:rPr>
          <w:rFonts w:ascii="Times" w:hAnsi="Times" w:cstheme="majorBidi"/>
          <w:color w:val="000000" w:themeColor="text1"/>
        </w:rPr>
        <w:t>(naphthalene, phenanthrene, pyrene)</w:t>
      </w:r>
      <w:r w:rsidRPr="00447599">
        <w:rPr>
          <w:rFonts w:asciiTheme="majorBidi" w:hAnsiTheme="majorBidi" w:cstheme="majorBidi"/>
          <w:color w:val="000000" w:themeColor="text1"/>
        </w:rPr>
        <w:t>; and</w:t>
      </w:r>
      <w:r w:rsidRPr="00447599">
        <w:rPr>
          <w:rFonts w:ascii="Times" w:hAnsi="Times" w:cstheme="majorBidi"/>
          <w:color w:val="000000" w:themeColor="text1"/>
          <w:lang w:val="en-CA"/>
        </w:rPr>
        <w:t xml:space="preserve"> </w:t>
      </w:r>
      <w:r w:rsidRPr="00447599">
        <w:rPr>
          <w:rFonts w:ascii="Times" w:hAnsi="Times" w:cstheme="majorBidi"/>
          <w:color w:val="000000" w:themeColor="text1"/>
        </w:rPr>
        <w:t xml:space="preserve">among all the isolated obtained (28 strains), URS-5, </w:t>
      </w:r>
      <w:bookmarkStart w:id="1" w:name="OLE_LINK5"/>
      <w:r w:rsidRPr="00447599">
        <w:rPr>
          <w:rFonts w:ascii="Times" w:hAnsi="Times" w:cstheme="majorBidi"/>
          <w:color w:val="000000" w:themeColor="text1"/>
        </w:rPr>
        <w:t>URS-6</w:t>
      </w:r>
      <w:bookmarkEnd w:id="1"/>
      <w:r w:rsidRPr="00447599">
        <w:rPr>
          <w:rFonts w:ascii="Times" w:hAnsi="Times" w:cstheme="majorBidi"/>
          <w:color w:val="000000" w:themeColor="text1"/>
        </w:rPr>
        <w:t xml:space="preserve">, URS-8, and URS-10 were selected based on their ability to grow on pyrene. </w:t>
      </w:r>
      <w:r w:rsidR="007D3DD9" w:rsidRPr="00447599">
        <w:rPr>
          <w:rFonts w:asciiTheme="majorBidi" w:hAnsiTheme="majorBidi" w:cstheme="majorBidi"/>
          <w:color w:val="000000" w:themeColor="text1"/>
        </w:rPr>
        <w:t>To investigate the ability of individual strains to degrade PAHs at 15 ±1°C, 6 × 10</w:t>
      </w:r>
      <w:r w:rsidR="007D3DD9" w:rsidRPr="00447599">
        <w:rPr>
          <w:rFonts w:asciiTheme="majorBidi" w:hAnsiTheme="majorBidi" w:cstheme="majorBidi"/>
          <w:color w:val="000000" w:themeColor="text1"/>
          <w:vertAlign w:val="superscript"/>
        </w:rPr>
        <w:t>9</w:t>
      </w:r>
      <w:r w:rsidR="007D3DD9" w:rsidRPr="00447599">
        <w:rPr>
          <w:rFonts w:asciiTheme="majorBidi" w:hAnsiTheme="majorBidi" w:cstheme="majorBidi"/>
          <w:color w:val="000000" w:themeColor="text1"/>
        </w:rPr>
        <w:t xml:space="preserve"> cfu/mL (exponential phase bacteria) of each bacterial cell were spiked to each sample. All tests were performed in SSM and PAHs (naphthalene, </w:t>
      </w:r>
      <w:r w:rsidR="007D3DD9" w:rsidRPr="00447599">
        <w:rPr>
          <w:rFonts w:ascii="Times" w:hAnsi="Times" w:cstheme="majorBidi"/>
          <w:color w:val="000000" w:themeColor="text1"/>
        </w:rPr>
        <w:t>phenanthrene, and pyrene</w:t>
      </w:r>
      <w:r w:rsidR="007D3DD9" w:rsidRPr="00447599">
        <w:rPr>
          <w:rFonts w:asciiTheme="majorBidi" w:hAnsiTheme="majorBidi" w:cstheme="majorBidi"/>
          <w:color w:val="000000" w:themeColor="text1"/>
        </w:rPr>
        <w:t xml:space="preserve">) </w:t>
      </w:r>
      <w:r w:rsidR="007D3DD9" w:rsidRPr="00447599">
        <w:rPr>
          <w:color w:val="000000" w:themeColor="text1"/>
          <w:shd w:val="clear" w:color="auto" w:fill="FFFFFF"/>
        </w:rPr>
        <w:t>as the sole carbon sources. To control the freely dissolved concentration of PAHs rather than the total concentration, the PAHs were loaded on the silicone O-rings before culturing of the bacteria as described in next section. Then. t</w:t>
      </w:r>
      <w:r w:rsidR="007D3DD9" w:rsidRPr="00447599">
        <w:rPr>
          <w:rFonts w:asciiTheme="majorBidi" w:hAnsiTheme="majorBidi" w:cstheme="majorBidi"/>
          <w:color w:val="000000" w:themeColor="text1"/>
        </w:rPr>
        <w:t xml:space="preserve">he mixture was </w:t>
      </w:r>
      <w:r w:rsidR="007D3DD9" w:rsidRPr="00447599">
        <w:rPr>
          <w:rFonts w:ascii="Times" w:hAnsi="Times" w:cstheme="majorBidi"/>
          <w:color w:val="000000" w:themeColor="text1"/>
        </w:rPr>
        <w:t xml:space="preserve">incubated </w:t>
      </w:r>
      <w:r w:rsidR="007D3DD9" w:rsidRPr="00447599">
        <w:rPr>
          <w:rFonts w:ascii="Times" w:hAnsi="Times"/>
          <w:color w:val="000000" w:themeColor="text1"/>
        </w:rPr>
        <w:t xml:space="preserve">at </w:t>
      </w:r>
      <w:r w:rsidR="007D3DD9" w:rsidRPr="00447599">
        <w:rPr>
          <w:rFonts w:asciiTheme="majorBidi" w:hAnsiTheme="majorBidi" w:cstheme="majorBidi"/>
          <w:color w:val="000000" w:themeColor="text1"/>
        </w:rPr>
        <w:t xml:space="preserve">15 ±1°C </w:t>
      </w:r>
      <w:r w:rsidR="007D3DD9" w:rsidRPr="00447599">
        <w:rPr>
          <w:rFonts w:ascii="Times" w:hAnsi="Times" w:cstheme="majorBidi"/>
          <w:color w:val="000000" w:themeColor="text1"/>
        </w:rPr>
        <w:t>on a rotary shaker</w:t>
      </w:r>
      <w:r w:rsidR="007D3DD9" w:rsidRPr="00447599">
        <w:rPr>
          <w:rFonts w:asciiTheme="majorBidi" w:hAnsiTheme="majorBidi" w:cstheme="majorBidi"/>
          <w:color w:val="000000" w:themeColor="text1"/>
        </w:rPr>
        <w:t xml:space="preserve"> at 170 rpm. These conditions were selected based on </w:t>
      </w:r>
      <w:r w:rsidR="007D3DD9" w:rsidRPr="00447599">
        <w:rPr>
          <w:rFonts w:asciiTheme="majorBidi" w:hAnsiTheme="majorBidi" w:cstheme="majorBidi"/>
          <w:color w:val="000000" w:themeColor="text1"/>
        </w:rPr>
        <w:lastRenderedPageBreak/>
        <w:t xml:space="preserve">aerobic PAH biodegradation  and optimum growth using </w:t>
      </w:r>
      <w:r w:rsidR="007D3DD9" w:rsidRPr="00447599">
        <w:rPr>
          <w:rFonts w:asciiTheme="majorBidi" w:hAnsiTheme="majorBidi" w:cstheme="majorBidi"/>
          <w:color w:val="000000" w:themeColor="text1"/>
          <w:shd w:val="clear" w:color="auto" w:fill="FFFFFF"/>
          <w:lang w:val="en-CA"/>
        </w:rPr>
        <w:t>above-mentioned genera</w:t>
      </w:r>
      <w:r w:rsidR="007D3DD9" w:rsidRPr="00447599">
        <w:rPr>
          <w:rFonts w:asciiTheme="majorBidi" w:hAnsiTheme="majorBidi" w:cstheme="majorBidi"/>
          <w:color w:val="000000" w:themeColor="text1"/>
        </w:rPr>
        <w:t xml:space="preserve">. </w:t>
      </w:r>
      <w:r w:rsidR="007D3DD9" w:rsidRPr="00447599">
        <w:rPr>
          <w:rFonts w:asciiTheme="majorBidi" w:hAnsiTheme="majorBidi" w:cstheme="majorBidi"/>
          <w:color w:val="000000" w:themeColor="text1"/>
        </w:rPr>
        <w:fldChar w:fldCharType="begin"/>
      </w:r>
      <w:r w:rsidR="008F460B" w:rsidRPr="00447599">
        <w:rPr>
          <w:rFonts w:asciiTheme="majorBidi" w:hAnsiTheme="majorBidi" w:cstheme="majorBidi"/>
          <w:color w:val="000000" w:themeColor="text1"/>
        </w:rPr>
        <w:instrText xml:space="preserve"> ADDIN EN.CITE &lt;EndNote&gt;&lt;Cite&gt;&lt;Author&gt;Miri&lt;/Author&gt;&lt;Year&gt;2021&lt;/Year&gt;&lt;RecNum&gt;61&lt;/RecNum&gt;&lt;DisplayText&gt;&lt;style face="superscript"&gt;6&lt;/style&gt;&lt;/DisplayText&gt;&lt;record&gt;&lt;rec-number&gt;61&lt;/rec-number&gt;&lt;foreign-keys&gt;&lt;key app="EN" db-id="fw0pwwe0dwvwvmedstoxs906drsw2awepzsx" timestamp="1634252090"&gt;61&lt;/key&gt;&lt;/foreign-keys&gt;&lt;ref-type name="Journal Article"&gt;17&lt;/ref-type&gt;&lt;contributors&gt;&lt;authors&gt;&lt;author&gt;Miri, Saba&lt;/author&gt;&lt;author&gt;Perez, Jose Alberto Espejel&lt;/author&gt;&lt;author&gt;Brar, Satinder Kaur&lt;/author&gt;&lt;author&gt;Rouissi, Tarek&lt;/author&gt;&lt;author&gt;Martel, Richard&lt;/author&gt;&lt;/authors&gt;&lt;/contributors&gt;&lt;titles&gt;&lt;title&gt;Sustainable production and co-immobilization of cold-active enzymes from Pseudomonas sp. for BTEX biodegradation&lt;/title&gt;&lt;secondary-title&gt;Environmental Pollution&lt;/secondary-title&gt;&lt;/titles&gt;&lt;periodical&gt;&lt;full-title&gt;Environmental Pollution&lt;/full-title&gt;&lt;/periodical&gt;&lt;pages&gt;117678&lt;/pages&gt;&lt;volume&gt;285&lt;/volume&gt;&lt;dates&gt;&lt;year&gt;2021&lt;/year&gt;&lt;/dates&gt;&lt;isbn&gt;0269-7491&lt;/isbn&gt;&lt;urls&gt;&lt;/urls&gt;&lt;/record&gt;&lt;/Cite&gt;&lt;/EndNote&gt;</w:instrText>
      </w:r>
      <w:r w:rsidR="007D3DD9" w:rsidRPr="00447599">
        <w:rPr>
          <w:rFonts w:asciiTheme="majorBidi" w:hAnsiTheme="majorBidi" w:cstheme="majorBidi"/>
          <w:color w:val="000000" w:themeColor="text1"/>
        </w:rPr>
        <w:fldChar w:fldCharType="separate"/>
      </w:r>
      <w:r w:rsidR="008F460B" w:rsidRPr="00447599">
        <w:rPr>
          <w:rFonts w:asciiTheme="majorBidi" w:hAnsiTheme="majorBidi" w:cstheme="majorBidi"/>
          <w:noProof/>
          <w:color w:val="000000" w:themeColor="text1"/>
          <w:vertAlign w:val="superscript"/>
        </w:rPr>
        <w:t>6</w:t>
      </w:r>
      <w:r w:rsidR="007D3DD9" w:rsidRPr="00447599">
        <w:rPr>
          <w:rFonts w:asciiTheme="majorBidi" w:hAnsiTheme="majorBidi" w:cstheme="majorBidi"/>
          <w:color w:val="000000" w:themeColor="text1"/>
        </w:rPr>
        <w:fldChar w:fldCharType="end"/>
      </w:r>
      <w:r w:rsidR="007D3DD9" w:rsidRPr="00447599">
        <w:rPr>
          <w:rFonts w:asciiTheme="majorBidi" w:hAnsiTheme="majorBidi" w:cstheme="majorBidi"/>
          <w:color w:val="000000" w:themeColor="text1"/>
        </w:rPr>
        <w:t xml:space="preserve"> The efficiency of PAH biodegradation was calculated by the Eq. (1)</w:t>
      </w:r>
      <w:r w:rsidR="007D3DD9" w:rsidRPr="00447599" w:rsidDel="00992BCF">
        <w:rPr>
          <w:rFonts w:asciiTheme="majorBidi" w:hAnsiTheme="majorBidi" w:cstheme="majorBidi"/>
          <w:color w:val="000000" w:themeColor="text1"/>
        </w:rPr>
        <w:t xml:space="preserve"> </w:t>
      </w:r>
    </w:p>
    <w:p w14:paraId="06337581" w14:textId="77777777" w:rsidR="007D3DD9" w:rsidRPr="00447599" w:rsidRDefault="007D3DD9" w:rsidP="003340EF">
      <w:pPr>
        <w:spacing w:line="276" w:lineRule="auto"/>
        <w:jc w:val="both"/>
        <w:rPr>
          <w:rFonts w:asciiTheme="majorBidi" w:hAnsiTheme="majorBidi" w:cstheme="majorBidi"/>
          <w:color w:val="000000" w:themeColor="text1"/>
        </w:rPr>
      </w:pPr>
      <w:r w:rsidRPr="00447599">
        <w:rPr>
          <w:rFonts w:asciiTheme="majorBidi" w:hAnsiTheme="majorBidi" w:cstheme="majorBidi"/>
          <w:color w:val="000000" w:themeColor="text1"/>
        </w:rPr>
        <w:t xml:space="preserve">Degradation (%) = </w:t>
      </w:r>
      <m:oMath>
        <m:f>
          <m:fPr>
            <m:ctrlPr>
              <w:rPr>
                <w:rFonts w:ascii="Cambria Math" w:hAnsi="Cambria Math" w:cstheme="majorBidi"/>
                <w:i/>
                <w:color w:val="000000" w:themeColor="text1"/>
              </w:rPr>
            </m:ctrlPr>
          </m:fPr>
          <m:num>
            <m:sSub>
              <m:sSubPr>
                <m:ctrlPr>
                  <w:rPr>
                    <w:rFonts w:ascii="Cambria Math" w:hAnsi="Cambria Math" w:cstheme="majorBidi"/>
                    <w:i/>
                    <w:color w:val="000000" w:themeColor="text1"/>
                  </w:rPr>
                </m:ctrlPr>
              </m:sSubPr>
              <m:e>
                <m:r>
                  <w:rPr>
                    <w:rFonts w:ascii="Cambria Math" w:hAnsi="Cambria Math" w:cstheme="majorBidi"/>
                    <w:color w:val="000000" w:themeColor="text1"/>
                  </w:rPr>
                  <m:t>C</m:t>
                </m:r>
              </m:e>
              <m:sub>
                <m:r>
                  <w:rPr>
                    <w:rFonts w:ascii="Cambria Math" w:hAnsi="Cambria Math" w:cstheme="majorBidi"/>
                    <w:color w:val="000000" w:themeColor="text1"/>
                  </w:rPr>
                  <m:t>n</m:t>
                </m:r>
              </m:sub>
            </m:sSub>
            <m:r>
              <w:rPr>
                <w:rFonts w:ascii="Cambria Math" w:hAnsi="Cambria Math" w:cstheme="majorBidi"/>
                <w:color w:val="000000" w:themeColor="text1"/>
              </w:rPr>
              <m:t>-</m:t>
            </m:r>
            <m:sSub>
              <m:sSubPr>
                <m:ctrlPr>
                  <w:rPr>
                    <w:rFonts w:ascii="Cambria Math" w:hAnsi="Cambria Math" w:cstheme="majorBidi"/>
                    <w:i/>
                    <w:color w:val="000000" w:themeColor="text1"/>
                  </w:rPr>
                </m:ctrlPr>
              </m:sSubPr>
              <m:e>
                <m:r>
                  <w:rPr>
                    <w:rFonts w:ascii="Cambria Math" w:hAnsi="Cambria Math" w:cstheme="majorBidi"/>
                    <w:color w:val="000000" w:themeColor="text1"/>
                  </w:rPr>
                  <m:t>C</m:t>
                </m:r>
              </m:e>
              <m:sub>
                <m:r>
                  <w:rPr>
                    <w:rFonts w:ascii="Cambria Math" w:hAnsi="Cambria Math" w:cstheme="majorBidi"/>
                    <w:color w:val="000000" w:themeColor="text1"/>
                  </w:rPr>
                  <m:t>O</m:t>
                </m:r>
              </m:sub>
            </m:sSub>
          </m:num>
          <m:den>
            <m:sSub>
              <m:sSubPr>
                <m:ctrlPr>
                  <w:rPr>
                    <w:rFonts w:ascii="Cambria Math" w:hAnsi="Cambria Math" w:cstheme="majorBidi"/>
                    <w:i/>
                    <w:color w:val="000000" w:themeColor="text1"/>
                  </w:rPr>
                </m:ctrlPr>
              </m:sSubPr>
              <m:e>
                <m:r>
                  <w:rPr>
                    <w:rFonts w:ascii="Cambria Math" w:hAnsi="Cambria Math" w:cstheme="majorBidi"/>
                    <w:color w:val="000000" w:themeColor="text1"/>
                  </w:rPr>
                  <m:t>C</m:t>
                </m:r>
              </m:e>
              <m:sub>
                <m:r>
                  <w:rPr>
                    <w:rFonts w:ascii="Cambria Math" w:hAnsi="Cambria Math" w:cstheme="majorBidi"/>
                    <w:color w:val="000000" w:themeColor="text1"/>
                  </w:rPr>
                  <m:t>O</m:t>
                </m:r>
              </m:sub>
            </m:sSub>
          </m:den>
        </m:f>
        <m:r>
          <w:rPr>
            <w:rFonts w:ascii="Cambria Math" w:hAnsi="Cambria Math" w:cstheme="majorBidi"/>
            <w:color w:val="000000" w:themeColor="text1"/>
          </w:rPr>
          <m:t>×100</m:t>
        </m:r>
      </m:oMath>
      <w:r w:rsidRPr="00447599">
        <w:rPr>
          <w:rFonts w:asciiTheme="majorBidi" w:hAnsiTheme="majorBidi" w:cstheme="majorBidi"/>
          <w:color w:val="000000" w:themeColor="text1"/>
        </w:rPr>
        <w:t xml:space="preserve">                                                                                              (1)</w:t>
      </w:r>
    </w:p>
    <w:p w14:paraId="73BB9500" w14:textId="43B1A61C" w:rsidR="009F26AC" w:rsidRPr="00447599" w:rsidRDefault="007D3DD9" w:rsidP="003340EF">
      <w:pPr>
        <w:spacing w:line="276" w:lineRule="auto"/>
        <w:jc w:val="both"/>
        <w:rPr>
          <w:rFonts w:asciiTheme="majorBidi" w:hAnsiTheme="majorBidi" w:cstheme="majorBidi"/>
          <w:color w:val="000000" w:themeColor="text1"/>
        </w:rPr>
      </w:pPr>
      <w:r w:rsidRPr="00447599">
        <w:rPr>
          <w:rFonts w:asciiTheme="majorBidi" w:hAnsiTheme="majorBidi" w:cstheme="majorBidi"/>
          <w:color w:val="000000" w:themeColor="text1"/>
        </w:rPr>
        <w:t xml:space="preserve">Where, </w:t>
      </w:r>
      <m:oMath>
        <m:sSub>
          <m:sSubPr>
            <m:ctrlPr>
              <w:rPr>
                <w:rFonts w:ascii="Cambria Math" w:hAnsi="Cambria Math" w:cstheme="majorBidi"/>
                <w:i/>
                <w:color w:val="000000" w:themeColor="text1"/>
              </w:rPr>
            </m:ctrlPr>
          </m:sSubPr>
          <m:e>
            <m:r>
              <w:rPr>
                <w:rFonts w:ascii="Cambria Math" w:hAnsi="Cambria Math" w:cstheme="majorBidi"/>
                <w:color w:val="000000" w:themeColor="text1"/>
              </w:rPr>
              <m:t>C</m:t>
            </m:r>
          </m:e>
          <m:sub>
            <m:r>
              <w:rPr>
                <w:rFonts w:ascii="Cambria Math" w:hAnsi="Cambria Math" w:cstheme="majorBidi"/>
                <w:color w:val="000000" w:themeColor="text1"/>
              </w:rPr>
              <m:t>O</m:t>
            </m:r>
          </m:sub>
        </m:sSub>
      </m:oMath>
      <w:r w:rsidRPr="00447599">
        <w:rPr>
          <w:rFonts w:asciiTheme="majorBidi" w:hAnsiTheme="majorBidi" w:cstheme="majorBidi"/>
          <w:color w:val="000000" w:themeColor="text1"/>
        </w:rPr>
        <w:t xml:space="preserve"> and </w:t>
      </w:r>
      <m:oMath>
        <m:sSub>
          <m:sSubPr>
            <m:ctrlPr>
              <w:rPr>
                <w:rFonts w:ascii="Cambria Math" w:hAnsi="Cambria Math" w:cstheme="majorBidi"/>
                <w:i/>
                <w:color w:val="000000" w:themeColor="text1"/>
              </w:rPr>
            </m:ctrlPr>
          </m:sSubPr>
          <m:e>
            <m:r>
              <w:rPr>
                <w:rFonts w:ascii="Cambria Math" w:hAnsi="Cambria Math" w:cstheme="majorBidi"/>
                <w:color w:val="000000" w:themeColor="text1"/>
              </w:rPr>
              <m:t>C</m:t>
            </m:r>
          </m:e>
          <m:sub>
            <m:r>
              <w:rPr>
                <w:rFonts w:ascii="Cambria Math" w:hAnsi="Cambria Math" w:cstheme="majorBidi"/>
                <w:color w:val="000000" w:themeColor="text1"/>
              </w:rPr>
              <m:t>n</m:t>
            </m:r>
          </m:sub>
        </m:sSub>
      </m:oMath>
      <w:r w:rsidRPr="00447599">
        <w:rPr>
          <w:rFonts w:asciiTheme="majorBidi" w:hAnsiTheme="majorBidi" w:cstheme="majorBidi"/>
          <w:color w:val="000000" w:themeColor="text1"/>
        </w:rPr>
        <w:t xml:space="preserve"> are initial and final concentration (</w:t>
      </w:r>
      <m:oMath>
        <m:r>
          <w:rPr>
            <w:rFonts w:ascii="Cambria Math" w:hAnsi="Cambria Math" w:cstheme="majorBidi"/>
            <w:color w:val="000000" w:themeColor="text1"/>
          </w:rPr>
          <m:t>μ</m:t>
        </m:r>
      </m:oMath>
      <w:r w:rsidRPr="00447599">
        <w:rPr>
          <w:rFonts w:asciiTheme="majorBidi" w:hAnsiTheme="majorBidi" w:cstheme="majorBidi"/>
          <w:color w:val="000000" w:themeColor="text1"/>
        </w:rPr>
        <w:t xml:space="preserve">g/mg of silicon) of PAH in the silicone O-ring, respectively. Among a total of 18 isolates that have been obtained, four isolates, were selected based on their ability to grow on PAHs in separate and mixture substrate tests at </w:t>
      </w:r>
      <w:r w:rsidRPr="00447599">
        <w:rPr>
          <w:rFonts w:ascii="Times" w:hAnsi="Times"/>
          <w:color w:val="000000" w:themeColor="text1"/>
        </w:rPr>
        <w:t xml:space="preserve">15 ± 1 °C. </w:t>
      </w:r>
      <w:r w:rsidRPr="00447599">
        <w:rPr>
          <w:rFonts w:asciiTheme="majorBidi" w:hAnsiTheme="majorBidi" w:cstheme="majorBidi"/>
          <w:color w:val="000000" w:themeColor="text1"/>
        </w:rPr>
        <w:t>A spectrophotometer was used to measure bacterial growth, with the optical density (OD) being measured at 600 nm (OD600nm * 1–1.2, which equals 2.0 × 10</w:t>
      </w:r>
      <w:r w:rsidRPr="00447599">
        <w:rPr>
          <w:rFonts w:asciiTheme="majorBidi" w:hAnsiTheme="majorBidi" w:cstheme="majorBidi"/>
          <w:color w:val="000000" w:themeColor="text1"/>
          <w:vertAlign w:val="superscript"/>
        </w:rPr>
        <w:t>9</w:t>
      </w:r>
      <w:r w:rsidRPr="00447599">
        <w:rPr>
          <w:rFonts w:asciiTheme="majorBidi" w:hAnsiTheme="majorBidi" w:cstheme="majorBidi"/>
          <w:color w:val="000000" w:themeColor="text1"/>
        </w:rPr>
        <w:t xml:space="preserve"> cells/ml).</w:t>
      </w:r>
    </w:p>
    <w:p w14:paraId="217466BA" w14:textId="1976457E" w:rsidR="00FB34E7" w:rsidRPr="00447599" w:rsidRDefault="00FB34E7" w:rsidP="003340EF">
      <w:pPr>
        <w:spacing w:line="276" w:lineRule="auto"/>
        <w:jc w:val="both"/>
        <w:rPr>
          <w:rFonts w:asciiTheme="majorBidi" w:hAnsiTheme="majorBidi" w:cstheme="majorBidi"/>
          <w:color w:val="000000" w:themeColor="text1"/>
        </w:rPr>
      </w:pPr>
      <w:r w:rsidRPr="00447599">
        <w:rPr>
          <w:rFonts w:asciiTheme="majorBidi" w:hAnsiTheme="majorBidi" w:cstheme="majorBidi"/>
          <w:color w:val="000000" w:themeColor="text1"/>
        </w:rPr>
        <w:t>As a final step, the 16S ribosomal RNA gene was used to identify the selected colonies. The following universal primers for PCR were used to amplify the gene fragment: 1492R (5՜-GGTTACCTTGTTACGACTT-3՜) and 27F (5՜- AGAGTTTGATCCTGGCTCAG-3՜). After sequencing the amplified products, the sequences of the 16S rRNA fragments were compared with the reference ones by using the BLASTn program available in the National Center for Biotechnology Information (NCBI) database.</w:t>
      </w:r>
      <w:r w:rsidRPr="00447599">
        <w:rPr>
          <w:rFonts w:asciiTheme="majorBidi" w:hAnsiTheme="majorBidi" w:cstheme="majorBidi"/>
          <w:color w:val="000000" w:themeColor="text1"/>
        </w:rPr>
        <w:fldChar w:fldCharType="begin"/>
      </w:r>
      <w:r w:rsidR="008F460B" w:rsidRPr="00447599">
        <w:rPr>
          <w:rFonts w:asciiTheme="majorBidi" w:hAnsiTheme="majorBidi" w:cstheme="majorBidi"/>
          <w:color w:val="000000" w:themeColor="text1"/>
        </w:rPr>
        <w:instrText xml:space="preserve"> ADDIN EN.CITE &lt;EndNote&gt;&lt;Cite&gt;&lt;Author&gt;Altschul&lt;/Author&gt;&lt;Year&gt;1990&lt;/Year&gt;&lt;RecNum&gt;208&lt;/RecNum&gt;&lt;DisplayText&gt;&lt;style face="superscript"&gt;7&lt;/style&gt;&lt;/DisplayText&gt;&lt;record&gt;&lt;rec-number&gt;208&lt;/rec-number&gt;&lt;foreign-keys&gt;&lt;key app="EN" db-id="e29dz2seoxz0a5es2wbveszlv0aaex2r2sra" timestamp="1659989091"&gt;208&lt;/key&gt;&lt;/foreign-keys&gt;&lt;ref-type name="Journal Article"&gt;17&lt;/ref-type&gt;&lt;contributors&gt;&lt;authors&gt;&lt;author&gt;Altschul, Stephen F&lt;/author&gt;&lt;author&gt;Gish, Warren&lt;/author&gt;&lt;author&gt;Miller, Webb&lt;/author&gt;&lt;author&gt;Myers, Eugene W&lt;/author&gt;&lt;author&gt;Lipman, David J&lt;/author&gt;&lt;/authors&gt;&lt;/contributors&gt;&lt;titles&gt;&lt;title&gt;Basic local alignment search tool&lt;/title&gt;&lt;secondary-title&gt;Journal of molecular biology&lt;/secondary-title&gt;&lt;/titles&gt;&lt;periodical&gt;&lt;full-title&gt;Journal of molecular biology&lt;/full-title&gt;&lt;/periodical&gt;&lt;pages&gt;403-410&lt;/pages&gt;&lt;volume&gt;215&lt;/volume&gt;&lt;number&gt;3&lt;/number&gt;&lt;dates&gt;&lt;year&gt;1990&lt;/year&gt;&lt;/dates&gt;&lt;isbn&gt;0022-2836&lt;/isbn&gt;&lt;urls&gt;&lt;/urls&gt;&lt;/record&gt;&lt;/Cite&gt;&lt;/EndNote&gt;</w:instrText>
      </w:r>
      <w:r w:rsidRPr="00447599">
        <w:rPr>
          <w:rFonts w:asciiTheme="majorBidi" w:hAnsiTheme="majorBidi" w:cstheme="majorBidi"/>
          <w:color w:val="000000" w:themeColor="text1"/>
        </w:rPr>
        <w:fldChar w:fldCharType="separate"/>
      </w:r>
      <w:r w:rsidR="008F460B" w:rsidRPr="00447599">
        <w:rPr>
          <w:rFonts w:asciiTheme="majorBidi" w:hAnsiTheme="majorBidi" w:cstheme="majorBidi"/>
          <w:noProof/>
          <w:color w:val="000000" w:themeColor="text1"/>
          <w:vertAlign w:val="superscript"/>
        </w:rPr>
        <w:t>7</w:t>
      </w:r>
      <w:r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t xml:space="preserve"> Afterward, the phylogenetic analysis was performed utilizing the neighbor-joining algorithm that is part of MEGA 7.0 software with a total of 1000 bootstraps.</w:t>
      </w:r>
      <w:r w:rsidRPr="00447599">
        <w:rPr>
          <w:rFonts w:asciiTheme="majorBidi" w:hAnsiTheme="majorBidi" w:cstheme="majorBidi"/>
          <w:color w:val="000000" w:themeColor="text1"/>
        </w:rPr>
        <w:fldChar w:fldCharType="begin"/>
      </w:r>
      <w:r w:rsidR="008F460B" w:rsidRPr="00447599">
        <w:rPr>
          <w:rFonts w:asciiTheme="majorBidi" w:hAnsiTheme="majorBidi" w:cstheme="majorBidi"/>
          <w:color w:val="000000" w:themeColor="text1"/>
        </w:rPr>
        <w:instrText xml:space="preserve"> ADDIN EN.CITE &lt;EndNote&gt;&lt;Cite&gt;&lt;Author&gt;Tamura&lt;/Author&gt;&lt;Year&gt;2011&lt;/Year&gt;&lt;RecNum&gt;209&lt;/RecNum&gt;&lt;DisplayText&gt;&lt;style face="superscript"&gt;8&lt;/style&gt;&lt;/DisplayText&gt;&lt;record&gt;&lt;rec-number&gt;209&lt;/rec-number&gt;&lt;foreign-keys&gt;&lt;key app="EN" db-id="e29dz2seoxz0a5es2wbveszlv0aaex2r2sra" timestamp="1659989091"&gt;209&lt;/key&gt;&lt;/foreign-keys&gt;&lt;ref-type name="Journal Article"&gt;17&lt;/ref-type&gt;&lt;contributors&gt;&lt;authors&gt;&lt;author&gt;Tamura, Koichiro&lt;/author&gt;&lt;author&gt;Peterson, Daniel&lt;/author&gt;&lt;author&gt;Peterson, Nicholas&lt;/author&gt;&lt;author&gt;Stecher, Glen&lt;/author&gt;&lt;author&gt;Nei, Masatoshi&lt;/author&gt;&lt;author&gt;Kumar, Sudhir&lt;/author&gt;&lt;/authors&gt;&lt;/contributors&gt;&lt;titles&gt;&lt;title&gt;MEGA5: molecular evolutionary genetics analysis using maximum likelihood, evolutionary distance, and maximum parsimony methods&lt;/title&gt;&lt;secondary-title&gt;Molecular biology and evolution&lt;/secondary-title&gt;&lt;/titles&gt;&lt;periodical&gt;&lt;full-title&gt;Molecular biology and evolution&lt;/full-title&gt;&lt;/periodical&gt;&lt;pages&gt;2731-2739&lt;/pages&gt;&lt;volume&gt;28&lt;/volume&gt;&lt;number&gt;10&lt;/number&gt;&lt;dates&gt;&lt;year&gt;2011&lt;/year&gt;&lt;/dates&gt;&lt;isbn&gt;1537-1719&lt;/isbn&gt;&lt;urls&gt;&lt;/urls&gt;&lt;/record&gt;&lt;/Cite&gt;&lt;/EndNote&gt;</w:instrText>
      </w:r>
      <w:r w:rsidRPr="00447599">
        <w:rPr>
          <w:rFonts w:asciiTheme="majorBidi" w:hAnsiTheme="majorBidi" w:cstheme="majorBidi"/>
          <w:color w:val="000000" w:themeColor="text1"/>
        </w:rPr>
        <w:fldChar w:fldCharType="separate"/>
      </w:r>
      <w:r w:rsidR="008F460B" w:rsidRPr="00447599">
        <w:rPr>
          <w:rFonts w:asciiTheme="majorBidi" w:hAnsiTheme="majorBidi" w:cstheme="majorBidi"/>
          <w:noProof/>
          <w:color w:val="000000" w:themeColor="text1"/>
          <w:vertAlign w:val="superscript"/>
        </w:rPr>
        <w:t>8</w:t>
      </w:r>
      <w:r w:rsidRPr="00447599">
        <w:rPr>
          <w:rFonts w:asciiTheme="majorBidi" w:hAnsiTheme="majorBidi" w:cstheme="majorBidi"/>
          <w:color w:val="000000" w:themeColor="text1"/>
        </w:rPr>
        <w:fldChar w:fldCharType="end"/>
      </w:r>
    </w:p>
    <w:p w14:paraId="2A335F29" w14:textId="77777777" w:rsidR="003F6D5E" w:rsidRPr="00447599" w:rsidRDefault="003F6D5E" w:rsidP="003340EF">
      <w:pPr>
        <w:spacing w:line="276" w:lineRule="auto"/>
        <w:jc w:val="both"/>
        <w:rPr>
          <w:rFonts w:asciiTheme="majorBidi" w:hAnsiTheme="majorBidi" w:cstheme="majorBidi"/>
          <w:color w:val="000000" w:themeColor="text1"/>
        </w:rPr>
      </w:pPr>
    </w:p>
    <w:p w14:paraId="27E39FAA" w14:textId="0FD66DF5" w:rsidR="003F6D5E" w:rsidRPr="00447599" w:rsidRDefault="003F6D5E" w:rsidP="003340EF">
      <w:pPr>
        <w:spacing w:line="276" w:lineRule="auto"/>
        <w:rPr>
          <w:rFonts w:ascii="Times" w:hAnsi="Times"/>
          <w:color w:val="000000" w:themeColor="text1"/>
          <w:sz w:val="20"/>
          <w:szCs w:val="20"/>
        </w:rPr>
      </w:pPr>
      <w:r w:rsidRPr="00447599">
        <w:rPr>
          <w:rFonts w:ascii="Times" w:hAnsi="Times"/>
          <w:color w:val="000000" w:themeColor="text1"/>
          <w:sz w:val="21"/>
          <w:szCs w:val="21"/>
        </w:rPr>
        <w:t xml:space="preserve">Table S1 </w:t>
      </w:r>
      <w:r w:rsidRPr="00447599">
        <w:rPr>
          <w:rFonts w:ascii="Calibri" w:hAnsi="Calibri" w:cs="Calibri"/>
          <w:color w:val="000000" w:themeColor="text1"/>
          <w:sz w:val="21"/>
          <w:szCs w:val="21"/>
        </w:rPr>
        <w:t>﻿</w:t>
      </w:r>
      <w:r w:rsidRPr="00447599">
        <w:rPr>
          <w:rFonts w:ascii="Times" w:hAnsi="Times"/>
          <w:color w:val="000000" w:themeColor="text1"/>
          <w:sz w:val="21"/>
          <w:szCs w:val="21"/>
        </w:rPr>
        <w:t xml:space="preserve">The </w:t>
      </w:r>
      <w:r w:rsidRPr="00447599">
        <w:rPr>
          <w:rFonts w:ascii="Times" w:hAnsi="Times"/>
          <w:color w:val="000000" w:themeColor="text1"/>
          <w:sz w:val="20"/>
          <w:szCs w:val="20"/>
        </w:rPr>
        <w:t>individual PAH degrading bacterial strains and their combinations in different</w:t>
      </w:r>
    </w:p>
    <w:p w14:paraId="62710C2E" w14:textId="77777777" w:rsidR="003F6D5E" w:rsidRPr="00447599" w:rsidRDefault="003F6D5E" w:rsidP="003340EF">
      <w:pPr>
        <w:spacing w:line="276" w:lineRule="auto"/>
        <w:jc w:val="both"/>
        <w:rPr>
          <w:rFonts w:ascii="Times" w:hAnsi="Times"/>
          <w:color w:val="000000" w:themeColor="text1"/>
          <w:sz w:val="20"/>
          <w:szCs w:val="20"/>
        </w:rPr>
      </w:pPr>
      <w:r w:rsidRPr="00447599">
        <w:rPr>
          <w:rFonts w:ascii="Times" w:hAnsi="Times"/>
          <w:color w:val="000000" w:themeColor="text1"/>
          <w:sz w:val="20"/>
          <w:szCs w:val="20"/>
        </w:rPr>
        <w:t>synthetic consortia</w:t>
      </w:r>
    </w:p>
    <w:tbl>
      <w:tblPr>
        <w:tblW w:w="7290" w:type="dxa"/>
        <w:jc w:val="center"/>
        <w:tblLook w:val="04A0" w:firstRow="1" w:lastRow="0" w:firstColumn="1" w:lastColumn="0" w:noHBand="0" w:noVBand="1"/>
      </w:tblPr>
      <w:tblGrid>
        <w:gridCol w:w="2040"/>
        <w:gridCol w:w="210"/>
        <w:gridCol w:w="90"/>
        <w:gridCol w:w="1000"/>
        <w:gridCol w:w="3572"/>
        <w:gridCol w:w="378"/>
      </w:tblGrid>
      <w:tr w:rsidR="003F6D5E" w:rsidRPr="00447599" w14:paraId="5D0A6051" w14:textId="77777777" w:rsidTr="003F6D5E">
        <w:trPr>
          <w:gridAfter w:val="1"/>
          <w:wAfter w:w="378" w:type="dxa"/>
          <w:trHeight w:val="320"/>
          <w:jc w:val="center"/>
        </w:trPr>
        <w:tc>
          <w:tcPr>
            <w:tcW w:w="2040" w:type="dxa"/>
            <w:tcBorders>
              <w:top w:val="single" w:sz="4" w:space="0" w:color="auto"/>
              <w:left w:val="nil"/>
              <w:bottom w:val="single" w:sz="4" w:space="0" w:color="auto"/>
              <w:right w:val="nil"/>
            </w:tcBorders>
            <w:shd w:val="clear" w:color="auto" w:fill="auto"/>
            <w:noWrap/>
            <w:vAlign w:val="bottom"/>
            <w:hideMark/>
          </w:tcPr>
          <w:p w14:paraId="25ED2F3B" w14:textId="77777777" w:rsidR="003F6D5E" w:rsidRPr="00447599" w:rsidRDefault="003F6D5E" w:rsidP="003340EF">
            <w:pPr>
              <w:spacing w:line="276" w:lineRule="auto"/>
              <w:rPr>
                <w:color w:val="000000"/>
              </w:rPr>
            </w:pPr>
            <w:r w:rsidRPr="00447599">
              <w:rPr>
                <w:color w:val="000000"/>
              </w:rPr>
              <w:t>Sr.No.</w:t>
            </w:r>
          </w:p>
        </w:tc>
        <w:tc>
          <w:tcPr>
            <w:tcW w:w="1300" w:type="dxa"/>
            <w:gridSpan w:val="3"/>
            <w:tcBorders>
              <w:top w:val="single" w:sz="4" w:space="0" w:color="auto"/>
              <w:left w:val="nil"/>
              <w:bottom w:val="single" w:sz="4" w:space="0" w:color="auto"/>
              <w:right w:val="nil"/>
            </w:tcBorders>
            <w:shd w:val="clear" w:color="auto" w:fill="auto"/>
            <w:noWrap/>
            <w:vAlign w:val="bottom"/>
            <w:hideMark/>
          </w:tcPr>
          <w:p w14:paraId="1739C134" w14:textId="77777777" w:rsidR="003F6D5E" w:rsidRPr="00447599" w:rsidRDefault="003F6D5E" w:rsidP="003340EF">
            <w:pPr>
              <w:spacing w:line="276" w:lineRule="auto"/>
              <w:rPr>
                <w:color w:val="000000"/>
              </w:rPr>
            </w:pPr>
            <w:r w:rsidRPr="00447599">
              <w:rPr>
                <w:color w:val="000000"/>
              </w:rPr>
              <w:t>Codes</w:t>
            </w:r>
          </w:p>
        </w:tc>
        <w:tc>
          <w:tcPr>
            <w:tcW w:w="3572" w:type="dxa"/>
            <w:tcBorders>
              <w:top w:val="single" w:sz="4" w:space="0" w:color="auto"/>
              <w:left w:val="nil"/>
              <w:bottom w:val="single" w:sz="4" w:space="0" w:color="auto"/>
              <w:right w:val="nil"/>
            </w:tcBorders>
            <w:shd w:val="clear" w:color="auto" w:fill="auto"/>
            <w:noWrap/>
            <w:vAlign w:val="bottom"/>
            <w:hideMark/>
          </w:tcPr>
          <w:p w14:paraId="1DB5A868" w14:textId="77777777" w:rsidR="003F6D5E" w:rsidRPr="00447599" w:rsidRDefault="003F6D5E" w:rsidP="003340EF">
            <w:pPr>
              <w:spacing w:line="276" w:lineRule="auto"/>
              <w:rPr>
                <w:color w:val="000000"/>
              </w:rPr>
            </w:pPr>
            <w:r w:rsidRPr="00447599">
              <w:rPr>
                <w:color w:val="000000"/>
              </w:rPr>
              <w:t>Isolated Bacterial Strains</w:t>
            </w:r>
          </w:p>
        </w:tc>
      </w:tr>
      <w:tr w:rsidR="003F6D5E" w:rsidRPr="00447599" w14:paraId="6A010C7D" w14:textId="77777777" w:rsidTr="003F6D5E">
        <w:trPr>
          <w:gridAfter w:val="1"/>
          <w:wAfter w:w="378" w:type="dxa"/>
          <w:trHeight w:val="320"/>
          <w:jc w:val="center"/>
        </w:trPr>
        <w:tc>
          <w:tcPr>
            <w:tcW w:w="2250" w:type="dxa"/>
            <w:gridSpan w:val="2"/>
            <w:tcBorders>
              <w:top w:val="nil"/>
              <w:left w:val="nil"/>
              <w:bottom w:val="nil"/>
              <w:right w:val="nil"/>
            </w:tcBorders>
            <w:shd w:val="clear" w:color="auto" w:fill="auto"/>
            <w:noWrap/>
            <w:vAlign w:val="bottom"/>
            <w:hideMark/>
          </w:tcPr>
          <w:p w14:paraId="721DE8A7" w14:textId="77777777" w:rsidR="003F6D5E" w:rsidRPr="00447599" w:rsidRDefault="003F6D5E" w:rsidP="003340EF">
            <w:pPr>
              <w:spacing w:line="276" w:lineRule="auto"/>
              <w:rPr>
                <w:color w:val="000000"/>
              </w:rPr>
            </w:pPr>
            <w:r w:rsidRPr="00447599">
              <w:rPr>
                <w:color w:val="000000"/>
              </w:rPr>
              <w:t>a) Individual Strains</w:t>
            </w:r>
          </w:p>
        </w:tc>
        <w:tc>
          <w:tcPr>
            <w:tcW w:w="1090" w:type="dxa"/>
            <w:gridSpan w:val="2"/>
            <w:tcBorders>
              <w:top w:val="nil"/>
              <w:left w:val="nil"/>
              <w:bottom w:val="nil"/>
              <w:right w:val="nil"/>
            </w:tcBorders>
            <w:shd w:val="clear" w:color="auto" w:fill="auto"/>
            <w:noWrap/>
            <w:vAlign w:val="bottom"/>
            <w:hideMark/>
          </w:tcPr>
          <w:p w14:paraId="007337B9" w14:textId="77777777" w:rsidR="003F6D5E" w:rsidRPr="00447599" w:rsidRDefault="003F6D5E" w:rsidP="003340EF">
            <w:pPr>
              <w:spacing w:line="276" w:lineRule="auto"/>
              <w:rPr>
                <w:color w:val="000000"/>
              </w:rPr>
            </w:pPr>
          </w:p>
        </w:tc>
        <w:tc>
          <w:tcPr>
            <w:tcW w:w="3572" w:type="dxa"/>
            <w:tcBorders>
              <w:top w:val="nil"/>
              <w:left w:val="nil"/>
              <w:bottom w:val="nil"/>
              <w:right w:val="nil"/>
            </w:tcBorders>
            <w:shd w:val="clear" w:color="auto" w:fill="auto"/>
            <w:noWrap/>
            <w:vAlign w:val="bottom"/>
            <w:hideMark/>
          </w:tcPr>
          <w:p w14:paraId="5F2D5ACB" w14:textId="77777777" w:rsidR="003F6D5E" w:rsidRPr="00447599" w:rsidRDefault="003F6D5E" w:rsidP="003340EF">
            <w:pPr>
              <w:spacing w:line="276" w:lineRule="auto"/>
              <w:rPr>
                <w:sz w:val="20"/>
                <w:szCs w:val="20"/>
              </w:rPr>
            </w:pPr>
          </w:p>
        </w:tc>
      </w:tr>
      <w:tr w:rsidR="003F6D5E" w:rsidRPr="00447599" w14:paraId="0E627123" w14:textId="77777777" w:rsidTr="003F6D5E">
        <w:trPr>
          <w:gridAfter w:val="1"/>
          <w:wAfter w:w="378" w:type="dxa"/>
          <w:trHeight w:val="320"/>
          <w:jc w:val="center"/>
        </w:trPr>
        <w:tc>
          <w:tcPr>
            <w:tcW w:w="2250" w:type="dxa"/>
            <w:gridSpan w:val="2"/>
            <w:tcBorders>
              <w:top w:val="nil"/>
              <w:left w:val="nil"/>
              <w:bottom w:val="nil"/>
              <w:right w:val="nil"/>
            </w:tcBorders>
            <w:shd w:val="clear" w:color="auto" w:fill="auto"/>
            <w:noWrap/>
            <w:vAlign w:val="bottom"/>
            <w:hideMark/>
          </w:tcPr>
          <w:p w14:paraId="45490E8C" w14:textId="77777777" w:rsidR="003F6D5E" w:rsidRPr="00447599" w:rsidRDefault="003F6D5E" w:rsidP="003340EF">
            <w:pPr>
              <w:spacing w:line="276" w:lineRule="auto"/>
              <w:rPr>
                <w:color w:val="000000"/>
              </w:rPr>
            </w:pPr>
            <w:r w:rsidRPr="00447599">
              <w:rPr>
                <w:color w:val="000000"/>
              </w:rPr>
              <w:t>1</w:t>
            </w:r>
          </w:p>
        </w:tc>
        <w:tc>
          <w:tcPr>
            <w:tcW w:w="1090" w:type="dxa"/>
            <w:gridSpan w:val="2"/>
            <w:tcBorders>
              <w:top w:val="nil"/>
              <w:left w:val="nil"/>
              <w:bottom w:val="nil"/>
              <w:right w:val="nil"/>
            </w:tcBorders>
            <w:shd w:val="clear" w:color="auto" w:fill="auto"/>
            <w:noWrap/>
            <w:vAlign w:val="bottom"/>
            <w:hideMark/>
          </w:tcPr>
          <w:p w14:paraId="1EBFE35C" w14:textId="77777777" w:rsidR="003F6D5E" w:rsidRPr="00447599" w:rsidRDefault="003F6D5E" w:rsidP="003340EF">
            <w:pPr>
              <w:spacing w:line="276" w:lineRule="auto"/>
              <w:rPr>
                <w:color w:val="000000"/>
              </w:rPr>
            </w:pPr>
            <w:r w:rsidRPr="00447599">
              <w:rPr>
                <w:color w:val="000000"/>
              </w:rPr>
              <w:t>URS-5</w:t>
            </w:r>
          </w:p>
        </w:tc>
        <w:tc>
          <w:tcPr>
            <w:tcW w:w="3572" w:type="dxa"/>
            <w:tcBorders>
              <w:top w:val="nil"/>
              <w:left w:val="nil"/>
              <w:bottom w:val="nil"/>
              <w:right w:val="nil"/>
            </w:tcBorders>
            <w:shd w:val="clear" w:color="auto" w:fill="auto"/>
            <w:noWrap/>
            <w:vAlign w:val="bottom"/>
            <w:hideMark/>
          </w:tcPr>
          <w:p w14:paraId="4281F360" w14:textId="77777777" w:rsidR="003F6D5E" w:rsidRPr="00447599" w:rsidRDefault="003F6D5E" w:rsidP="003340EF">
            <w:pPr>
              <w:spacing w:line="276" w:lineRule="auto"/>
              <w:rPr>
                <w:color w:val="000000"/>
              </w:rPr>
            </w:pPr>
          </w:p>
        </w:tc>
      </w:tr>
      <w:tr w:rsidR="003F6D5E" w:rsidRPr="00447599" w14:paraId="1052B477" w14:textId="77777777" w:rsidTr="003F6D5E">
        <w:trPr>
          <w:gridAfter w:val="1"/>
          <w:wAfter w:w="378" w:type="dxa"/>
          <w:trHeight w:val="320"/>
          <w:jc w:val="center"/>
        </w:trPr>
        <w:tc>
          <w:tcPr>
            <w:tcW w:w="2250" w:type="dxa"/>
            <w:gridSpan w:val="2"/>
            <w:tcBorders>
              <w:top w:val="nil"/>
              <w:left w:val="nil"/>
              <w:bottom w:val="nil"/>
              <w:right w:val="nil"/>
            </w:tcBorders>
            <w:shd w:val="clear" w:color="auto" w:fill="auto"/>
            <w:noWrap/>
            <w:vAlign w:val="bottom"/>
            <w:hideMark/>
          </w:tcPr>
          <w:p w14:paraId="719AF539" w14:textId="77777777" w:rsidR="003F6D5E" w:rsidRPr="00447599" w:rsidRDefault="003F6D5E" w:rsidP="003340EF">
            <w:pPr>
              <w:spacing w:line="276" w:lineRule="auto"/>
              <w:rPr>
                <w:color w:val="000000"/>
              </w:rPr>
            </w:pPr>
            <w:r w:rsidRPr="00447599">
              <w:rPr>
                <w:color w:val="000000"/>
              </w:rPr>
              <w:t>2</w:t>
            </w:r>
          </w:p>
        </w:tc>
        <w:tc>
          <w:tcPr>
            <w:tcW w:w="1090" w:type="dxa"/>
            <w:gridSpan w:val="2"/>
            <w:tcBorders>
              <w:top w:val="nil"/>
              <w:left w:val="nil"/>
              <w:bottom w:val="nil"/>
              <w:right w:val="nil"/>
            </w:tcBorders>
            <w:shd w:val="clear" w:color="auto" w:fill="auto"/>
            <w:noWrap/>
            <w:vAlign w:val="bottom"/>
            <w:hideMark/>
          </w:tcPr>
          <w:p w14:paraId="60BE7DAC" w14:textId="77777777" w:rsidR="003F6D5E" w:rsidRPr="00447599" w:rsidRDefault="003F6D5E" w:rsidP="003340EF">
            <w:pPr>
              <w:spacing w:line="276" w:lineRule="auto"/>
              <w:rPr>
                <w:color w:val="000000"/>
              </w:rPr>
            </w:pPr>
            <w:r w:rsidRPr="00447599">
              <w:rPr>
                <w:color w:val="000000"/>
              </w:rPr>
              <w:t>URS-6</w:t>
            </w:r>
          </w:p>
        </w:tc>
        <w:tc>
          <w:tcPr>
            <w:tcW w:w="3572" w:type="dxa"/>
            <w:tcBorders>
              <w:top w:val="nil"/>
              <w:left w:val="nil"/>
              <w:bottom w:val="nil"/>
              <w:right w:val="nil"/>
            </w:tcBorders>
            <w:shd w:val="clear" w:color="auto" w:fill="auto"/>
            <w:noWrap/>
            <w:vAlign w:val="bottom"/>
            <w:hideMark/>
          </w:tcPr>
          <w:p w14:paraId="06E813F8" w14:textId="77777777" w:rsidR="003F6D5E" w:rsidRPr="00447599" w:rsidRDefault="003F6D5E" w:rsidP="003340EF">
            <w:pPr>
              <w:spacing w:line="276" w:lineRule="auto"/>
              <w:rPr>
                <w:color w:val="000000"/>
              </w:rPr>
            </w:pPr>
          </w:p>
        </w:tc>
      </w:tr>
      <w:tr w:rsidR="003F6D5E" w:rsidRPr="00447599" w14:paraId="3B28A78F" w14:textId="77777777" w:rsidTr="003F6D5E">
        <w:trPr>
          <w:gridAfter w:val="1"/>
          <w:wAfter w:w="378" w:type="dxa"/>
          <w:trHeight w:val="320"/>
          <w:jc w:val="center"/>
        </w:trPr>
        <w:tc>
          <w:tcPr>
            <w:tcW w:w="2250" w:type="dxa"/>
            <w:gridSpan w:val="2"/>
            <w:tcBorders>
              <w:top w:val="nil"/>
              <w:left w:val="nil"/>
              <w:bottom w:val="nil"/>
              <w:right w:val="nil"/>
            </w:tcBorders>
            <w:shd w:val="clear" w:color="auto" w:fill="auto"/>
            <w:noWrap/>
            <w:vAlign w:val="bottom"/>
            <w:hideMark/>
          </w:tcPr>
          <w:p w14:paraId="4FE1E284" w14:textId="77777777" w:rsidR="003F6D5E" w:rsidRPr="00447599" w:rsidRDefault="003F6D5E" w:rsidP="003340EF">
            <w:pPr>
              <w:spacing w:line="276" w:lineRule="auto"/>
              <w:rPr>
                <w:color w:val="000000"/>
              </w:rPr>
            </w:pPr>
            <w:r w:rsidRPr="00447599">
              <w:rPr>
                <w:color w:val="000000"/>
              </w:rPr>
              <w:t>3</w:t>
            </w:r>
          </w:p>
        </w:tc>
        <w:tc>
          <w:tcPr>
            <w:tcW w:w="1090" w:type="dxa"/>
            <w:gridSpan w:val="2"/>
            <w:tcBorders>
              <w:top w:val="nil"/>
              <w:left w:val="nil"/>
              <w:bottom w:val="nil"/>
              <w:right w:val="nil"/>
            </w:tcBorders>
            <w:shd w:val="clear" w:color="auto" w:fill="auto"/>
            <w:noWrap/>
            <w:vAlign w:val="bottom"/>
            <w:hideMark/>
          </w:tcPr>
          <w:p w14:paraId="27BBBF04" w14:textId="77777777" w:rsidR="003F6D5E" w:rsidRPr="00447599" w:rsidRDefault="003F6D5E" w:rsidP="003340EF">
            <w:pPr>
              <w:spacing w:line="276" w:lineRule="auto"/>
              <w:rPr>
                <w:color w:val="000000"/>
              </w:rPr>
            </w:pPr>
            <w:r w:rsidRPr="00447599">
              <w:rPr>
                <w:color w:val="000000"/>
              </w:rPr>
              <w:t>URS-8</w:t>
            </w:r>
          </w:p>
        </w:tc>
        <w:tc>
          <w:tcPr>
            <w:tcW w:w="3572" w:type="dxa"/>
            <w:tcBorders>
              <w:top w:val="nil"/>
              <w:left w:val="nil"/>
              <w:bottom w:val="nil"/>
              <w:right w:val="nil"/>
            </w:tcBorders>
            <w:shd w:val="clear" w:color="auto" w:fill="auto"/>
            <w:noWrap/>
            <w:vAlign w:val="bottom"/>
            <w:hideMark/>
          </w:tcPr>
          <w:p w14:paraId="689BC6DB" w14:textId="77777777" w:rsidR="003F6D5E" w:rsidRPr="00447599" w:rsidRDefault="003F6D5E" w:rsidP="003340EF">
            <w:pPr>
              <w:spacing w:line="276" w:lineRule="auto"/>
              <w:rPr>
                <w:color w:val="000000"/>
              </w:rPr>
            </w:pPr>
          </w:p>
        </w:tc>
      </w:tr>
      <w:tr w:rsidR="003F6D5E" w:rsidRPr="00447599" w14:paraId="16B095B7" w14:textId="77777777" w:rsidTr="003F6D5E">
        <w:trPr>
          <w:gridAfter w:val="1"/>
          <w:wAfter w:w="378" w:type="dxa"/>
          <w:trHeight w:val="320"/>
          <w:jc w:val="center"/>
        </w:trPr>
        <w:tc>
          <w:tcPr>
            <w:tcW w:w="2250" w:type="dxa"/>
            <w:gridSpan w:val="2"/>
            <w:tcBorders>
              <w:top w:val="nil"/>
              <w:left w:val="nil"/>
              <w:bottom w:val="nil"/>
              <w:right w:val="nil"/>
            </w:tcBorders>
            <w:shd w:val="clear" w:color="auto" w:fill="auto"/>
            <w:noWrap/>
            <w:vAlign w:val="bottom"/>
            <w:hideMark/>
          </w:tcPr>
          <w:p w14:paraId="21B0F749" w14:textId="77777777" w:rsidR="003F6D5E" w:rsidRPr="00447599" w:rsidRDefault="003F6D5E" w:rsidP="003340EF">
            <w:pPr>
              <w:spacing w:line="276" w:lineRule="auto"/>
              <w:rPr>
                <w:color w:val="000000"/>
              </w:rPr>
            </w:pPr>
            <w:r w:rsidRPr="00447599">
              <w:rPr>
                <w:color w:val="000000"/>
              </w:rPr>
              <w:t>4</w:t>
            </w:r>
          </w:p>
        </w:tc>
        <w:tc>
          <w:tcPr>
            <w:tcW w:w="1090" w:type="dxa"/>
            <w:gridSpan w:val="2"/>
            <w:tcBorders>
              <w:top w:val="nil"/>
              <w:left w:val="nil"/>
              <w:bottom w:val="nil"/>
              <w:right w:val="nil"/>
            </w:tcBorders>
            <w:shd w:val="clear" w:color="auto" w:fill="auto"/>
            <w:noWrap/>
            <w:vAlign w:val="bottom"/>
            <w:hideMark/>
          </w:tcPr>
          <w:p w14:paraId="1D0B794C" w14:textId="77777777" w:rsidR="003F6D5E" w:rsidRPr="00447599" w:rsidRDefault="003F6D5E" w:rsidP="003340EF">
            <w:pPr>
              <w:spacing w:line="276" w:lineRule="auto"/>
              <w:rPr>
                <w:color w:val="000000"/>
              </w:rPr>
            </w:pPr>
            <w:r w:rsidRPr="00447599">
              <w:rPr>
                <w:color w:val="000000"/>
              </w:rPr>
              <w:t>URS-10</w:t>
            </w:r>
          </w:p>
        </w:tc>
        <w:tc>
          <w:tcPr>
            <w:tcW w:w="3572" w:type="dxa"/>
            <w:tcBorders>
              <w:top w:val="nil"/>
              <w:left w:val="nil"/>
              <w:bottom w:val="nil"/>
              <w:right w:val="nil"/>
            </w:tcBorders>
            <w:shd w:val="clear" w:color="auto" w:fill="auto"/>
            <w:noWrap/>
            <w:vAlign w:val="bottom"/>
            <w:hideMark/>
          </w:tcPr>
          <w:p w14:paraId="5C3920EA" w14:textId="77777777" w:rsidR="003F6D5E" w:rsidRPr="00447599" w:rsidRDefault="003F6D5E" w:rsidP="003340EF">
            <w:pPr>
              <w:spacing w:line="276" w:lineRule="auto"/>
              <w:rPr>
                <w:color w:val="000000"/>
              </w:rPr>
            </w:pPr>
          </w:p>
        </w:tc>
      </w:tr>
      <w:tr w:rsidR="003F6D5E" w:rsidRPr="00447599" w14:paraId="0F0CF55E" w14:textId="77777777" w:rsidTr="003F6D5E">
        <w:trPr>
          <w:gridAfter w:val="1"/>
          <w:wAfter w:w="378" w:type="dxa"/>
          <w:trHeight w:val="320"/>
          <w:jc w:val="center"/>
        </w:trPr>
        <w:tc>
          <w:tcPr>
            <w:tcW w:w="2250" w:type="dxa"/>
            <w:gridSpan w:val="2"/>
            <w:tcBorders>
              <w:top w:val="nil"/>
              <w:left w:val="nil"/>
              <w:bottom w:val="single" w:sz="4" w:space="0" w:color="auto"/>
              <w:right w:val="nil"/>
            </w:tcBorders>
            <w:shd w:val="clear" w:color="auto" w:fill="auto"/>
            <w:noWrap/>
            <w:vAlign w:val="bottom"/>
            <w:hideMark/>
          </w:tcPr>
          <w:p w14:paraId="0F6C45C1" w14:textId="77777777" w:rsidR="003F6D5E" w:rsidRPr="00447599" w:rsidRDefault="003F6D5E" w:rsidP="003340EF">
            <w:pPr>
              <w:spacing w:line="276" w:lineRule="auto"/>
              <w:rPr>
                <w:color w:val="000000"/>
              </w:rPr>
            </w:pPr>
            <w:r w:rsidRPr="00447599">
              <w:rPr>
                <w:color w:val="000000"/>
              </w:rPr>
              <w:t>5</w:t>
            </w:r>
          </w:p>
        </w:tc>
        <w:tc>
          <w:tcPr>
            <w:tcW w:w="1090" w:type="dxa"/>
            <w:gridSpan w:val="2"/>
            <w:tcBorders>
              <w:top w:val="nil"/>
              <w:left w:val="nil"/>
              <w:bottom w:val="single" w:sz="4" w:space="0" w:color="auto"/>
              <w:right w:val="nil"/>
            </w:tcBorders>
            <w:shd w:val="clear" w:color="auto" w:fill="auto"/>
            <w:noWrap/>
            <w:vAlign w:val="bottom"/>
            <w:hideMark/>
          </w:tcPr>
          <w:p w14:paraId="47BCC066" w14:textId="77777777" w:rsidR="003F6D5E" w:rsidRPr="00447599" w:rsidRDefault="003F6D5E" w:rsidP="003340EF">
            <w:pPr>
              <w:spacing w:line="276" w:lineRule="auto"/>
              <w:rPr>
                <w:color w:val="000000"/>
              </w:rPr>
            </w:pPr>
            <w:r w:rsidRPr="00447599">
              <w:rPr>
                <w:color w:val="000000"/>
              </w:rPr>
              <w:t>Alc</w:t>
            </w:r>
          </w:p>
        </w:tc>
        <w:tc>
          <w:tcPr>
            <w:tcW w:w="3572" w:type="dxa"/>
            <w:tcBorders>
              <w:top w:val="nil"/>
              <w:left w:val="nil"/>
              <w:bottom w:val="single" w:sz="4" w:space="0" w:color="auto"/>
              <w:right w:val="nil"/>
            </w:tcBorders>
            <w:shd w:val="clear" w:color="auto" w:fill="auto"/>
            <w:noWrap/>
            <w:vAlign w:val="bottom"/>
            <w:hideMark/>
          </w:tcPr>
          <w:p w14:paraId="2F2DE73E" w14:textId="77777777" w:rsidR="003F6D5E" w:rsidRPr="00447599" w:rsidRDefault="003F6D5E" w:rsidP="003340EF">
            <w:pPr>
              <w:spacing w:line="276" w:lineRule="auto"/>
              <w:rPr>
                <w:color w:val="000000"/>
              </w:rPr>
            </w:pPr>
            <w:r w:rsidRPr="00447599">
              <w:rPr>
                <w:color w:val="000000"/>
              </w:rPr>
              <w:t> </w:t>
            </w:r>
          </w:p>
        </w:tc>
      </w:tr>
      <w:tr w:rsidR="003F6D5E" w:rsidRPr="00447599" w14:paraId="014E1754" w14:textId="77777777" w:rsidTr="003F6D5E">
        <w:trPr>
          <w:trHeight w:val="320"/>
          <w:jc w:val="center"/>
        </w:trPr>
        <w:tc>
          <w:tcPr>
            <w:tcW w:w="2340" w:type="dxa"/>
            <w:gridSpan w:val="3"/>
            <w:tcBorders>
              <w:top w:val="nil"/>
              <w:left w:val="nil"/>
              <w:bottom w:val="single" w:sz="4" w:space="0" w:color="auto"/>
              <w:right w:val="nil"/>
            </w:tcBorders>
            <w:shd w:val="clear" w:color="auto" w:fill="auto"/>
            <w:noWrap/>
            <w:vAlign w:val="bottom"/>
            <w:hideMark/>
          </w:tcPr>
          <w:p w14:paraId="7F2DC154" w14:textId="77777777" w:rsidR="003F6D5E" w:rsidRPr="00447599" w:rsidRDefault="003F6D5E" w:rsidP="003340EF">
            <w:pPr>
              <w:spacing w:line="276" w:lineRule="auto"/>
              <w:rPr>
                <w:color w:val="000000"/>
              </w:rPr>
            </w:pPr>
            <w:r w:rsidRPr="00447599">
              <w:rPr>
                <w:color w:val="000000"/>
              </w:rPr>
              <w:t>b) Consortium code</w:t>
            </w:r>
          </w:p>
        </w:tc>
        <w:tc>
          <w:tcPr>
            <w:tcW w:w="1000" w:type="dxa"/>
            <w:tcBorders>
              <w:top w:val="nil"/>
              <w:left w:val="nil"/>
              <w:bottom w:val="single" w:sz="4" w:space="0" w:color="auto"/>
              <w:right w:val="nil"/>
            </w:tcBorders>
            <w:shd w:val="clear" w:color="auto" w:fill="auto"/>
            <w:noWrap/>
            <w:vAlign w:val="bottom"/>
            <w:hideMark/>
          </w:tcPr>
          <w:p w14:paraId="195EBDD6" w14:textId="77777777" w:rsidR="003F6D5E" w:rsidRPr="00447599" w:rsidRDefault="003F6D5E" w:rsidP="003340EF">
            <w:pPr>
              <w:spacing w:line="276" w:lineRule="auto"/>
              <w:rPr>
                <w:color w:val="000000"/>
              </w:rPr>
            </w:pPr>
          </w:p>
        </w:tc>
        <w:tc>
          <w:tcPr>
            <w:tcW w:w="3950" w:type="dxa"/>
            <w:gridSpan w:val="2"/>
            <w:tcBorders>
              <w:top w:val="nil"/>
              <w:left w:val="nil"/>
              <w:bottom w:val="single" w:sz="4" w:space="0" w:color="auto"/>
              <w:right w:val="nil"/>
            </w:tcBorders>
            <w:shd w:val="clear" w:color="auto" w:fill="auto"/>
            <w:noWrap/>
            <w:vAlign w:val="bottom"/>
            <w:hideMark/>
          </w:tcPr>
          <w:p w14:paraId="62A57A34" w14:textId="77777777" w:rsidR="003F6D5E" w:rsidRPr="00447599" w:rsidRDefault="003F6D5E" w:rsidP="003340EF">
            <w:pPr>
              <w:spacing w:line="276" w:lineRule="auto"/>
              <w:rPr>
                <w:color w:val="000000"/>
              </w:rPr>
            </w:pPr>
            <w:r w:rsidRPr="00447599">
              <w:rPr>
                <w:color w:val="000000"/>
              </w:rPr>
              <w:t>Bacterial Combination in consortia</w:t>
            </w:r>
          </w:p>
        </w:tc>
      </w:tr>
      <w:tr w:rsidR="003F6D5E" w:rsidRPr="00447599" w14:paraId="11272C08"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2BE19D5A" w14:textId="77777777" w:rsidR="003F6D5E" w:rsidRPr="00447599" w:rsidRDefault="003F6D5E" w:rsidP="003340EF">
            <w:pPr>
              <w:spacing w:line="276" w:lineRule="auto"/>
              <w:rPr>
                <w:color w:val="000000"/>
              </w:rPr>
            </w:pPr>
            <w:r w:rsidRPr="00447599">
              <w:rPr>
                <w:color w:val="000000"/>
              </w:rPr>
              <w:t>5</w:t>
            </w:r>
          </w:p>
        </w:tc>
        <w:tc>
          <w:tcPr>
            <w:tcW w:w="1300" w:type="dxa"/>
            <w:gridSpan w:val="3"/>
            <w:tcBorders>
              <w:top w:val="nil"/>
              <w:left w:val="nil"/>
              <w:bottom w:val="nil"/>
              <w:right w:val="nil"/>
            </w:tcBorders>
            <w:shd w:val="clear" w:color="auto" w:fill="auto"/>
            <w:noWrap/>
            <w:vAlign w:val="bottom"/>
            <w:hideMark/>
          </w:tcPr>
          <w:p w14:paraId="095E4324" w14:textId="77777777" w:rsidR="003F6D5E" w:rsidRPr="00447599" w:rsidRDefault="003F6D5E" w:rsidP="003340EF">
            <w:pPr>
              <w:spacing w:line="276" w:lineRule="auto"/>
              <w:rPr>
                <w:color w:val="000000"/>
              </w:rPr>
            </w:pPr>
            <w:r w:rsidRPr="00447599">
              <w:rPr>
                <w:color w:val="000000"/>
              </w:rPr>
              <w:t>Mix1</w:t>
            </w:r>
          </w:p>
        </w:tc>
        <w:tc>
          <w:tcPr>
            <w:tcW w:w="3572" w:type="dxa"/>
            <w:tcBorders>
              <w:top w:val="nil"/>
              <w:left w:val="nil"/>
              <w:bottom w:val="nil"/>
              <w:right w:val="nil"/>
            </w:tcBorders>
            <w:shd w:val="clear" w:color="auto" w:fill="auto"/>
            <w:noWrap/>
            <w:vAlign w:val="bottom"/>
            <w:hideMark/>
          </w:tcPr>
          <w:p w14:paraId="004278F6" w14:textId="77777777" w:rsidR="003F6D5E" w:rsidRPr="00447599" w:rsidRDefault="003F6D5E" w:rsidP="003340EF">
            <w:pPr>
              <w:spacing w:line="276" w:lineRule="auto"/>
              <w:rPr>
                <w:color w:val="000000"/>
              </w:rPr>
            </w:pPr>
            <w:r w:rsidRPr="00447599">
              <w:rPr>
                <w:color w:val="000000"/>
              </w:rPr>
              <w:t>URS5+URS6+URS8</w:t>
            </w:r>
          </w:p>
        </w:tc>
      </w:tr>
      <w:tr w:rsidR="003F6D5E" w:rsidRPr="00447599" w14:paraId="5CAC68CA"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26D0E2A6" w14:textId="77777777" w:rsidR="003F6D5E" w:rsidRPr="00447599" w:rsidRDefault="003F6D5E" w:rsidP="003340EF">
            <w:pPr>
              <w:spacing w:line="276" w:lineRule="auto"/>
              <w:rPr>
                <w:color w:val="000000"/>
              </w:rPr>
            </w:pPr>
            <w:r w:rsidRPr="00447599">
              <w:rPr>
                <w:color w:val="000000"/>
              </w:rPr>
              <w:t>6</w:t>
            </w:r>
          </w:p>
        </w:tc>
        <w:tc>
          <w:tcPr>
            <w:tcW w:w="1300" w:type="dxa"/>
            <w:gridSpan w:val="3"/>
            <w:tcBorders>
              <w:top w:val="nil"/>
              <w:left w:val="nil"/>
              <w:bottom w:val="nil"/>
              <w:right w:val="nil"/>
            </w:tcBorders>
            <w:shd w:val="clear" w:color="auto" w:fill="auto"/>
            <w:noWrap/>
            <w:vAlign w:val="bottom"/>
            <w:hideMark/>
          </w:tcPr>
          <w:p w14:paraId="3693B930" w14:textId="77777777" w:rsidR="003F6D5E" w:rsidRPr="00447599" w:rsidRDefault="003F6D5E" w:rsidP="003340EF">
            <w:pPr>
              <w:spacing w:line="276" w:lineRule="auto"/>
              <w:rPr>
                <w:color w:val="000000"/>
              </w:rPr>
            </w:pPr>
            <w:r w:rsidRPr="00447599">
              <w:rPr>
                <w:color w:val="000000"/>
              </w:rPr>
              <w:t>Mix2</w:t>
            </w:r>
          </w:p>
        </w:tc>
        <w:tc>
          <w:tcPr>
            <w:tcW w:w="3572" w:type="dxa"/>
            <w:tcBorders>
              <w:top w:val="nil"/>
              <w:left w:val="nil"/>
              <w:bottom w:val="nil"/>
              <w:right w:val="nil"/>
            </w:tcBorders>
            <w:shd w:val="clear" w:color="auto" w:fill="auto"/>
            <w:noWrap/>
            <w:vAlign w:val="bottom"/>
            <w:hideMark/>
          </w:tcPr>
          <w:p w14:paraId="5C34479E" w14:textId="77777777" w:rsidR="003F6D5E" w:rsidRPr="00447599" w:rsidRDefault="003F6D5E" w:rsidP="003340EF">
            <w:pPr>
              <w:spacing w:line="276" w:lineRule="auto"/>
              <w:rPr>
                <w:color w:val="000000"/>
              </w:rPr>
            </w:pPr>
            <w:r w:rsidRPr="00447599">
              <w:rPr>
                <w:color w:val="000000"/>
              </w:rPr>
              <w:t>URS5+URS6+URS8+Alc</w:t>
            </w:r>
          </w:p>
        </w:tc>
      </w:tr>
      <w:tr w:rsidR="003F6D5E" w:rsidRPr="00447599" w14:paraId="07573792"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5D3CF8E7" w14:textId="77777777" w:rsidR="003F6D5E" w:rsidRPr="00447599" w:rsidRDefault="003F6D5E" w:rsidP="003340EF">
            <w:pPr>
              <w:spacing w:line="276" w:lineRule="auto"/>
              <w:rPr>
                <w:color w:val="000000"/>
              </w:rPr>
            </w:pPr>
            <w:r w:rsidRPr="00447599">
              <w:rPr>
                <w:color w:val="000000"/>
              </w:rPr>
              <w:t>7</w:t>
            </w:r>
          </w:p>
        </w:tc>
        <w:tc>
          <w:tcPr>
            <w:tcW w:w="1300" w:type="dxa"/>
            <w:gridSpan w:val="3"/>
            <w:tcBorders>
              <w:top w:val="nil"/>
              <w:left w:val="nil"/>
              <w:bottom w:val="nil"/>
              <w:right w:val="nil"/>
            </w:tcBorders>
            <w:shd w:val="clear" w:color="auto" w:fill="auto"/>
            <w:noWrap/>
            <w:vAlign w:val="bottom"/>
            <w:hideMark/>
          </w:tcPr>
          <w:p w14:paraId="0725A8DD" w14:textId="77777777" w:rsidR="003F6D5E" w:rsidRPr="00447599" w:rsidRDefault="003F6D5E" w:rsidP="003340EF">
            <w:pPr>
              <w:spacing w:line="276" w:lineRule="auto"/>
              <w:rPr>
                <w:color w:val="000000"/>
              </w:rPr>
            </w:pPr>
            <w:r w:rsidRPr="00447599">
              <w:rPr>
                <w:color w:val="000000"/>
              </w:rPr>
              <w:t>Mix3</w:t>
            </w:r>
          </w:p>
        </w:tc>
        <w:tc>
          <w:tcPr>
            <w:tcW w:w="3572" w:type="dxa"/>
            <w:tcBorders>
              <w:top w:val="nil"/>
              <w:left w:val="nil"/>
              <w:bottom w:val="nil"/>
              <w:right w:val="nil"/>
            </w:tcBorders>
            <w:shd w:val="clear" w:color="auto" w:fill="auto"/>
            <w:noWrap/>
            <w:vAlign w:val="bottom"/>
            <w:hideMark/>
          </w:tcPr>
          <w:p w14:paraId="4ACBCBD3" w14:textId="77777777" w:rsidR="003F6D5E" w:rsidRPr="00447599" w:rsidRDefault="003F6D5E" w:rsidP="003340EF">
            <w:pPr>
              <w:spacing w:line="276" w:lineRule="auto"/>
              <w:rPr>
                <w:color w:val="000000"/>
              </w:rPr>
            </w:pPr>
            <w:r w:rsidRPr="00447599">
              <w:rPr>
                <w:color w:val="000000"/>
              </w:rPr>
              <w:t>URS6+URS10</w:t>
            </w:r>
          </w:p>
        </w:tc>
      </w:tr>
      <w:tr w:rsidR="003F6D5E" w:rsidRPr="00447599" w14:paraId="3B3D25EF"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37FB8E51" w14:textId="77777777" w:rsidR="003F6D5E" w:rsidRPr="00447599" w:rsidRDefault="003F6D5E" w:rsidP="003340EF">
            <w:pPr>
              <w:spacing w:line="276" w:lineRule="auto"/>
              <w:rPr>
                <w:color w:val="000000"/>
              </w:rPr>
            </w:pPr>
            <w:r w:rsidRPr="00447599">
              <w:rPr>
                <w:color w:val="000000"/>
              </w:rPr>
              <w:t>8</w:t>
            </w:r>
          </w:p>
        </w:tc>
        <w:tc>
          <w:tcPr>
            <w:tcW w:w="1300" w:type="dxa"/>
            <w:gridSpan w:val="3"/>
            <w:tcBorders>
              <w:top w:val="nil"/>
              <w:left w:val="nil"/>
              <w:bottom w:val="nil"/>
              <w:right w:val="nil"/>
            </w:tcBorders>
            <w:shd w:val="clear" w:color="auto" w:fill="auto"/>
            <w:noWrap/>
            <w:vAlign w:val="bottom"/>
            <w:hideMark/>
          </w:tcPr>
          <w:p w14:paraId="488F8EB2" w14:textId="77777777" w:rsidR="003F6D5E" w:rsidRPr="00447599" w:rsidRDefault="003F6D5E" w:rsidP="003340EF">
            <w:pPr>
              <w:spacing w:line="276" w:lineRule="auto"/>
              <w:rPr>
                <w:color w:val="000000"/>
              </w:rPr>
            </w:pPr>
            <w:r w:rsidRPr="00447599">
              <w:rPr>
                <w:color w:val="000000"/>
              </w:rPr>
              <w:t>Mix4</w:t>
            </w:r>
          </w:p>
        </w:tc>
        <w:tc>
          <w:tcPr>
            <w:tcW w:w="3572" w:type="dxa"/>
            <w:tcBorders>
              <w:top w:val="nil"/>
              <w:left w:val="nil"/>
              <w:bottom w:val="nil"/>
              <w:right w:val="nil"/>
            </w:tcBorders>
            <w:shd w:val="clear" w:color="auto" w:fill="auto"/>
            <w:noWrap/>
            <w:vAlign w:val="bottom"/>
          </w:tcPr>
          <w:p w14:paraId="46621144" w14:textId="77777777" w:rsidR="003F6D5E" w:rsidRPr="00447599" w:rsidRDefault="003F6D5E" w:rsidP="003340EF">
            <w:pPr>
              <w:spacing w:line="276" w:lineRule="auto"/>
              <w:rPr>
                <w:color w:val="000000"/>
              </w:rPr>
            </w:pPr>
            <w:r w:rsidRPr="00447599">
              <w:rPr>
                <w:color w:val="000000"/>
              </w:rPr>
              <w:t>URS6+URS10+Alc</w:t>
            </w:r>
          </w:p>
        </w:tc>
      </w:tr>
      <w:tr w:rsidR="003F6D5E" w:rsidRPr="00447599" w14:paraId="47E1E08A"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33E51F90" w14:textId="77777777" w:rsidR="003F6D5E" w:rsidRPr="00447599" w:rsidRDefault="003F6D5E" w:rsidP="003340EF">
            <w:pPr>
              <w:spacing w:line="276" w:lineRule="auto"/>
              <w:rPr>
                <w:color w:val="000000"/>
              </w:rPr>
            </w:pPr>
            <w:r w:rsidRPr="00447599">
              <w:rPr>
                <w:color w:val="000000"/>
              </w:rPr>
              <w:t>8</w:t>
            </w:r>
          </w:p>
        </w:tc>
        <w:tc>
          <w:tcPr>
            <w:tcW w:w="1300" w:type="dxa"/>
            <w:gridSpan w:val="3"/>
            <w:tcBorders>
              <w:top w:val="nil"/>
              <w:left w:val="nil"/>
              <w:bottom w:val="nil"/>
              <w:right w:val="nil"/>
            </w:tcBorders>
            <w:shd w:val="clear" w:color="auto" w:fill="auto"/>
            <w:noWrap/>
            <w:vAlign w:val="bottom"/>
            <w:hideMark/>
          </w:tcPr>
          <w:p w14:paraId="77F893B4" w14:textId="77777777" w:rsidR="003F6D5E" w:rsidRPr="00447599" w:rsidRDefault="003F6D5E" w:rsidP="003340EF">
            <w:pPr>
              <w:spacing w:line="276" w:lineRule="auto"/>
              <w:rPr>
                <w:color w:val="000000"/>
              </w:rPr>
            </w:pPr>
            <w:r w:rsidRPr="00447599">
              <w:rPr>
                <w:color w:val="000000"/>
              </w:rPr>
              <w:t>Mix5</w:t>
            </w:r>
          </w:p>
        </w:tc>
        <w:tc>
          <w:tcPr>
            <w:tcW w:w="3572" w:type="dxa"/>
            <w:tcBorders>
              <w:top w:val="nil"/>
              <w:left w:val="nil"/>
              <w:bottom w:val="nil"/>
              <w:right w:val="nil"/>
            </w:tcBorders>
            <w:shd w:val="clear" w:color="auto" w:fill="auto"/>
            <w:noWrap/>
            <w:vAlign w:val="bottom"/>
          </w:tcPr>
          <w:p w14:paraId="164749AB" w14:textId="77777777" w:rsidR="003F6D5E" w:rsidRPr="00447599" w:rsidRDefault="003F6D5E" w:rsidP="003340EF">
            <w:pPr>
              <w:spacing w:line="276" w:lineRule="auto"/>
              <w:rPr>
                <w:color w:val="000000"/>
              </w:rPr>
            </w:pPr>
            <w:r w:rsidRPr="00447599">
              <w:rPr>
                <w:color w:val="000000"/>
              </w:rPr>
              <w:t>URS5+URS8+URS10</w:t>
            </w:r>
          </w:p>
        </w:tc>
      </w:tr>
      <w:tr w:rsidR="003F6D5E" w:rsidRPr="00447599" w14:paraId="2414DFB9"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3F6FE98C" w14:textId="77777777" w:rsidR="003F6D5E" w:rsidRPr="00447599" w:rsidRDefault="003F6D5E" w:rsidP="003340EF">
            <w:pPr>
              <w:spacing w:line="276" w:lineRule="auto"/>
              <w:rPr>
                <w:color w:val="000000"/>
              </w:rPr>
            </w:pPr>
            <w:r w:rsidRPr="00447599">
              <w:rPr>
                <w:color w:val="000000"/>
              </w:rPr>
              <w:t>9</w:t>
            </w:r>
          </w:p>
        </w:tc>
        <w:tc>
          <w:tcPr>
            <w:tcW w:w="1300" w:type="dxa"/>
            <w:gridSpan w:val="3"/>
            <w:tcBorders>
              <w:top w:val="nil"/>
              <w:left w:val="nil"/>
              <w:bottom w:val="nil"/>
              <w:right w:val="nil"/>
            </w:tcBorders>
            <w:shd w:val="clear" w:color="auto" w:fill="auto"/>
            <w:noWrap/>
            <w:vAlign w:val="bottom"/>
            <w:hideMark/>
          </w:tcPr>
          <w:p w14:paraId="435F6A6A" w14:textId="77777777" w:rsidR="003F6D5E" w:rsidRPr="00447599" w:rsidRDefault="003F6D5E" w:rsidP="003340EF">
            <w:pPr>
              <w:spacing w:line="276" w:lineRule="auto"/>
              <w:rPr>
                <w:color w:val="000000"/>
              </w:rPr>
            </w:pPr>
            <w:r w:rsidRPr="00447599">
              <w:rPr>
                <w:color w:val="000000"/>
              </w:rPr>
              <w:t>Mix6</w:t>
            </w:r>
          </w:p>
        </w:tc>
        <w:tc>
          <w:tcPr>
            <w:tcW w:w="3572" w:type="dxa"/>
            <w:tcBorders>
              <w:top w:val="nil"/>
              <w:left w:val="nil"/>
              <w:bottom w:val="nil"/>
              <w:right w:val="nil"/>
            </w:tcBorders>
            <w:shd w:val="clear" w:color="auto" w:fill="auto"/>
            <w:noWrap/>
            <w:vAlign w:val="bottom"/>
            <w:hideMark/>
          </w:tcPr>
          <w:p w14:paraId="3E823415" w14:textId="77777777" w:rsidR="003F6D5E" w:rsidRPr="00447599" w:rsidRDefault="003F6D5E" w:rsidP="003340EF">
            <w:pPr>
              <w:spacing w:line="276" w:lineRule="auto"/>
              <w:rPr>
                <w:color w:val="000000"/>
              </w:rPr>
            </w:pPr>
            <w:r w:rsidRPr="00447599">
              <w:rPr>
                <w:color w:val="000000"/>
              </w:rPr>
              <w:t>URS5+URS8+URS10+Alc</w:t>
            </w:r>
          </w:p>
        </w:tc>
      </w:tr>
      <w:tr w:rsidR="003F6D5E" w:rsidRPr="00447599" w14:paraId="1C7D3B38" w14:textId="77777777" w:rsidTr="003F6D5E">
        <w:trPr>
          <w:gridAfter w:val="1"/>
          <w:wAfter w:w="378" w:type="dxa"/>
          <w:trHeight w:val="320"/>
          <w:jc w:val="center"/>
        </w:trPr>
        <w:tc>
          <w:tcPr>
            <w:tcW w:w="2040" w:type="dxa"/>
            <w:tcBorders>
              <w:top w:val="nil"/>
              <w:left w:val="nil"/>
              <w:bottom w:val="nil"/>
              <w:right w:val="nil"/>
            </w:tcBorders>
            <w:shd w:val="clear" w:color="auto" w:fill="auto"/>
            <w:noWrap/>
            <w:vAlign w:val="bottom"/>
            <w:hideMark/>
          </w:tcPr>
          <w:p w14:paraId="4FD78ABB" w14:textId="77777777" w:rsidR="003F6D5E" w:rsidRPr="00447599" w:rsidRDefault="003F6D5E" w:rsidP="003340EF">
            <w:pPr>
              <w:spacing w:line="276" w:lineRule="auto"/>
              <w:rPr>
                <w:color w:val="000000"/>
              </w:rPr>
            </w:pPr>
            <w:r w:rsidRPr="00447599">
              <w:rPr>
                <w:color w:val="000000"/>
              </w:rPr>
              <w:t>10</w:t>
            </w:r>
          </w:p>
        </w:tc>
        <w:tc>
          <w:tcPr>
            <w:tcW w:w="1300" w:type="dxa"/>
            <w:gridSpan w:val="3"/>
            <w:tcBorders>
              <w:top w:val="nil"/>
              <w:left w:val="nil"/>
              <w:bottom w:val="nil"/>
              <w:right w:val="nil"/>
            </w:tcBorders>
            <w:shd w:val="clear" w:color="auto" w:fill="auto"/>
            <w:noWrap/>
            <w:vAlign w:val="bottom"/>
            <w:hideMark/>
          </w:tcPr>
          <w:p w14:paraId="1AF20F90" w14:textId="77777777" w:rsidR="003F6D5E" w:rsidRPr="00447599" w:rsidRDefault="003F6D5E" w:rsidP="003340EF">
            <w:pPr>
              <w:spacing w:line="276" w:lineRule="auto"/>
              <w:rPr>
                <w:color w:val="000000"/>
              </w:rPr>
            </w:pPr>
            <w:r w:rsidRPr="00447599">
              <w:rPr>
                <w:color w:val="000000"/>
              </w:rPr>
              <w:t>Mix7</w:t>
            </w:r>
          </w:p>
        </w:tc>
        <w:tc>
          <w:tcPr>
            <w:tcW w:w="3572" w:type="dxa"/>
            <w:tcBorders>
              <w:top w:val="nil"/>
              <w:left w:val="nil"/>
              <w:bottom w:val="nil"/>
              <w:right w:val="nil"/>
            </w:tcBorders>
            <w:shd w:val="clear" w:color="auto" w:fill="auto"/>
            <w:noWrap/>
            <w:vAlign w:val="bottom"/>
            <w:hideMark/>
          </w:tcPr>
          <w:p w14:paraId="534BC2CE" w14:textId="77777777" w:rsidR="003F6D5E" w:rsidRPr="00447599" w:rsidRDefault="003F6D5E" w:rsidP="003340EF">
            <w:pPr>
              <w:spacing w:line="276" w:lineRule="auto"/>
              <w:rPr>
                <w:color w:val="000000"/>
              </w:rPr>
            </w:pPr>
            <w:r w:rsidRPr="00447599">
              <w:rPr>
                <w:color w:val="000000"/>
              </w:rPr>
              <w:t>URS5+URS6+URS8+URS10</w:t>
            </w:r>
          </w:p>
        </w:tc>
      </w:tr>
      <w:tr w:rsidR="003F6D5E" w:rsidRPr="00447599" w14:paraId="19AE3127" w14:textId="77777777" w:rsidTr="003F6D5E">
        <w:trPr>
          <w:gridAfter w:val="1"/>
          <w:wAfter w:w="378" w:type="dxa"/>
          <w:trHeight w:val="320"/>
          <w:jc w:val="center"/>
        </w:trPr>
        <w:tc>
          <w:tcPr>
            <w:tcW w:w="2040" w:type="dxa"/>
            <w:tcBorders>
              <w:top w:val="nil"/>
              <w:left w:val="nil"/>
              <w:bottom w:val="single" w:sz="4" w:space="0" w:color="auto"/>
              <w:right w:val="nil"/>
            </w:tcBorders>
            <w:shd w:val="clear" w:color="auto" w:fill="auto"/>
            <w:noWrap/>
            <w:vAlign w:val="bottom"/>
          </w:tcPr>
          <w:p w14:paraId="0B5599C8" w14:textId="77777777" w:rsidR="003F6D5E" w:rsidRPr="00447599" w:rsidRDefault="003F6D5E" w:rsidP="003340EF">
            <w:pPr>
              <w:spacing w:line="276" w:lineRule="auto"/>
              <w:rPr>
                <w:color w:val="000000"/>
              </w:rPr>
            </w:pPr>
            <w:r w:rsidRPr="00447599">
              <w:rPr>
                <w:color w:val="000000"/>
              </w:rPr>
              <w:t>11</w:t>
            </w:r>
          </w:p>
        </w:tc>
        <w:tc>
          <w:tcPr>
            <w:tcW w:w="1300" w:type="dxa"/>
            <w:gridSpan w:val="3"/>
            <w:tcBorders>
              <w:top w:val="nil"/>
              <w:left w:val="nil"/>
              <w:bottom w:val="single" w:sz="4" w:space="0" w:color="auto"/>
              <w:right w:val="nil"/>
            </w:tcBorders>
            <w:shd w:val="clear" w:color="auto" w:fill="auto"/>
            <w:noWrap/>
            <w:vAlign w:val="bottom"/>
          </w:tcPr>
          <w:p w14:paraId="6DF9373D" w14:textId="77777777" w:rsidR="003F6D5E" w:rsidRPr="00447599" w:rsidRDefault="003F6D5E" w:rsidP="003340EF">
            <w:pPr>
              <w:spacing w:line="276" w:lineRule="auto"/>
              <w:rPr>
                <w:color w:val="000000"/>
              </w:rPr>
            </w:pPr>
            <w:r w:rsidRPr="00447599">
              <w:rPr>
                <w:color w:val="000000"/>
              </w:rPr>
              <w:t>Mix8</w:t>
            </w:r>
          </w:p>
        </w:tc>
        <w:tc>
          <w:tcPr>
            <w:tcW w:w="3572" w:type="dxa"/>
            <w:tcBorders>
              <w:top w:val="nil"/>
              <w:left w:val="nil"/>
              <w:bottom w:val="single" w:sz="4" w:space="0" w:color="auto"/>
              <w:right w:val="nil"/>
            </w:tcBorders>
            <w:shd w:val="clear" w:color="auto" w:fill="auto"/>
            <w:noWrap/>
            <w:vAlign w:val="bottom"/>
          </w:tcPr>
          <w:p w14:paraId="0CC91819" w14:textId="77777777" w:rsidR="003F6D5E" w:rsidRPr="00447599" w:rsidRDefault="003F6D5E" w:rsidP="003340EF">
            <w:pPr>
              <w:spacing w:line="276" w:lineRule="auto"/>
              <w:rPr>
                <w:color w:val="000000"/>
                <w:lang w:val="fr-CA"/>
              </w:rPr>
            </w:pPr>
            <w:r w:rsidRPr="00447599">
              <w:rPr>
                <w:color w:val="000000"/>
                <w:lang w:val="fr-CA"/>
              </w:rPr>
              <w:t>URS5+URS6+URS8+URS10+Alc</w:t>
            </w:r>
          </w:p>
        </w:tc>
      </w:tr>
    </w:tbl>
    <w:p w14:paraId="4AA0763D" w14:textId="77777777" w:rsidR="003F6D5E" w:rsidRPr="00447599" w:rsidRDefault="003F6D5E" w:rsidP="003340EF">
      <w:pPr>
        <w:spacing w:line="276" w:lineRule="auto"/>
        <w:jc w:val="both"/>
        <w:rPr>
          <w:rFonts w:asciiTheme="majorBidi" w:hAnsiTheme="majorBidi" w:cstheme="majorBidi"/>
          <w:i/>
          <w:iCs/>
          <w:color w:val="000000" w:themeColor="text1"/>
          <w:lang w:val="fr-CA"/>
        </w:rPr>
      </w:pPr>
    </w:p>
    <w:p w14:paraId="113E634E" w14:textId="77777777" w:rsidR="00FB34E7" w:rsidRPr="00447599" w:rsidRDefault="00FB34E7" w:rsidP="003340EF">
      <w:pPr>
        <w:spacing w:line="276" w:lineRule="auto"/>
        <w:jc w:val="both"/>
        <w:rPr>
          <w:rFonts w:asciiTheme="majorBidi" w:hAnsiTheme="majorBidi" w:cstheme="majorBidi"/>
          <w:color w:val="000000" w:themeColor="text1"/>
          <w:lang w:bidi="fa-IR"/>
        </w:rPr>
      </w:pPr>
    </w:p>
    <w:p w14:paraId="0B082AE7" w14:textId="481D8663" w:rsidR="00017A0C" w:rsidRPr="00447599" w:rsidRDefault="00017A0C">
      <w:pPr>
        <w:rPr>
          <w:rFonts w:asciiTheme="majorBidi" w:hAnsiTheme="majorBidi" w:cstheme="majorBidi"/>
          <w:color w:val="000000" w:themeColor="text1"/>
        </w:rPr>
      </w:pPr>
      <w:r w:rsidRPr="00447599">
        <w:rPr>
          <w:rFonts w:asciiTheme="majorBidi" w:hAnsiTheme="majorBidi" w:cstheme="majorBidi"/>
          <w:color w:val="000000" w:themeColor="text1"/>
        </w:rPr>
        <w:br w:type="page"/>
      </w:r>
    </w:p>
    <w:p w14:paraId="72C3F6DD" w14:textId="727559C6" w:rsidR="00017A0C" w:rsidRPr="00447599" w:rsidRDefault="00017A0C" w:rsidP="00017A0C">
      <w:pPr>
        <w:spacing w:line="360" w:lineRule="auto"/>
        <w:jc w:val="both"/>
        <w:rPr>
          <w:rFonts w:ascii="Times" w:hAnsi="Times"/>
          <w:color w:val="000000"/>
          <w:shd w:val="clear" w:color="auto" w:fill="FFFFFF"/>
        </w:rPr>
      </w:pPr>
      <w:r w:rsidRPr="00447599">
        <w:rPr>
          <w:rFonts w:ascii="Times" w:hAnsi="Times"/>
          <w:noProof/>
        </w:rPr>
        <w:lastRenderedPageBreak/>
        <w:t xml:space="preserve">Regarding the URS-5, general sequental pattern of degradation was observed in which naphthalene was transformed first, followed by </w:t>
      </w:r>
      <w:r w:rsidRPr="00447599">
        <w:rPr>
          <w:rFonts w:ascii="Times" w:hAnsi="Times"/>
          <w:color w:val="000000"/>
        </w:rPr>
        <w:t>phenanthrene</w:t>
      </w:r>
      <w:r w:rsidRPr="00447599">
        <w:rPr>
          <w:rFonts w:ascii="Times" w:hAnsi="Times"/>
          <w:noProof/>
        </w:rPr>
        <w:t xml:space="preserve">, and pyrene (Fig.1(a)). </w:t>
      </w:r>
      <w:r w:rsidRPr="00447599">
        <w:rPr>
          <w:rFonts w:ascii="Times" w:hAnsi="Times"/>
          <w:color w:val="000000"/>
          <w:shd w:val="clear" w:color="auto" w:fill="FFFFFF"/>
        </w:rPr>
        <w:t>As a result of this pattern of degradation, this is also in agreement with previous studies that have shown that degradation rates generally decrease with increasing molecular weight. </w:t>
      </w:r>
      <w:r w:rsidRPr="00447599">
        <w:rPr>
          <w:rFonts w:ascii="Times" w:hAnsi="Times" w:cs="Arial"/>
          <w:color w:val="000000"/>
          <w:shd w:val="clear" w:color="auto" w:fill="FFFFFF"/>
        </w:rPr>
        <w:t>Aqueous solubility is thought to be responsible for this phenomenon.</w:t>
      </w:r>
      <w:r w:rsidRPr="00447599">
        <w:rPr>
          <w:rFonts w:ascii="Times" w:hAnsi="Times" w:cs="Arial"/>
          <w:color w:val="000000"/>
          <w:shd w:val="clear" w:color="auto" w:fill="FFFFFF"/>
        </w:rPr>
        <w:fldChar w:fldCharType="begin"/>
      </w:r>
      <w:r w:rsidRPr="00447599">
        <w:rPr>
          <w:rFonts w:ascii="Times" w:hAnsi="Times" w:cs="Arial"/>
          <w:color w:val="000000"/>
          <w:shd w:val="clear" w:color="auto" w:fill="FFFFFF"/>
        </w:rPr>
        <w:instrText xml:space="preserve"> ADDIN EN.CITE &lt;EndNote&gt;&lt;Cite&gt;&lt;Author&gt;Bacosa&lt;/Author&gt;&lt;Year&gt;2015&lt;/Year&gt;&lt;RecNum&gt;52&lt;/RecNum&gt;&lt;DisplayText&gt;&lt;style face="superscript"&gt;9&lt;/style&gt;&lt;/DisplayText&gt;&lt;record&gt;&lt;rec-number&gt;52&lt;/rec-number&gt;&lt;foreign-keys&gt;&lt;key app="EN" db-id="p0zx9f52s0zwpueeawxv9p279av9dwafsaxz" timestamp="1661889931"&gt;52&lt;/key&gt;&lt;/foreign-keys&gt;&lt;ref-type name="Journal Article"&gt;17&lt;/ref-type&gt;&lt;contributors&gt;&lt;authors&gt;&lt;author&gt;Bacosa, Hernando Pactao&lt;/author&gt;&lt;author&gt;Inoue, Chihiro&lt;/author&gt;&lt;/authors&gt;&lt;/contributors&gt;&lt;titles&gt;&lt;title&gt;Polycyclic aromatic hydrocarbons (PAHs) biodegradation potential and diversity of microbial consortia enriched from tsunami sediments in Miyagi, Japan&lt;/title&gt;&lt;secondary-title&gt;Journal of hazardous materials&lt;/secondary-title&gt;&lt;/titles&gt;&lt;periodical&gt;&lt;full-title&gt;Journal of Hazardous Materials&lt;/full-title&gt;&lt;/periodical&gt;&lt;pages&gt;689-697&lt;/pages&gt;&lt;volume&gt;283&lt;/volume&gt;&lt;dates&gt;&lt;year&gt;2015&lt;/year&gt;&lt;/dates&gt;&lt;isbn&gt;0304-3894&lt;/isbn&gt;&lt;urls&gt;&lt;/urls&gt;&lt;/record&gt;&lt;/Cite&gt;&lt;/EndNote&gt;</w:instrText>
      </w:r>
      <w:r w:rsidRPr="00447599">
        <w:rPr>
          <w:rFonts w:ascii="Times" w:hAnsi="Times" w:cs="Arial"/>
          <w:color w:val="000000"/>
          <w:shd w:val="clear" w:color="auto" w:fill="FFFFFF"/>
        </w:rPr>
        <w:fldChar w:fldCharType="separate"/>
      </w:r>
      <w:r w:rsidRPr="00447599">
        <w:rPr>
          <w:rFonts w:ascii="Times" w:hAnsi="Times" w:cs="Arial"/>
          <w:noProof/>
          <w:color w:val="000000"/>
          <w:shd w:val="clear" w:color="auto" w:fill="FFFFFF"/>
          <w:vertAlign w:val="superscript"/>
        </w:rPr>
        <w:t>9</w:t>
      </w:r>
      <w:r w:rsidRPr="00447599">
        <w:rPr>
          <w:rFonts w:ascii="Times" w:hAnsi="Times" w:cs="Arial"/>
          <w:color w:val="000000"/>
          <w:shd w:val="clear" w:color="auto" w:fill="FFFFFF"/>
        </w:rPr>
        <w:fldChar w:fldCharType="end"/>
      </w:r>
      <w:r w:rsidRPr="00447599">
        <w:rPr>
          <w:rFonts w:ascii="Times" w:hAnsi="Times"/>
          <w:color w:val="000000"/>
          <w:shd w:val="clear" w:color="auto" w:fill="FFFFFF"/>
        </w:rPr>
        <w:t xml:space="preserve"> </w:t>
      </w:r>
      <w:r w:rsidRPr="00447599">
        <w:rPr>
          <w:rFonts w:ascii="Times" w:hAnsi="Times" w:cstheme="majorBidi"/>
          <w:color w:val="000000" w:themeColor="text1"/>
          <w:lang w:bidi="fa-IR"/>
        </w:rPr>
        <w:t xml:space="preserve">Our results showed that partially purified dioxygenase converted three PAHs (section 3). This was also previously observed for other dioxygenases from </w:t>
      </w:r>
      <w:r w:rsidRPr="00447599">
        <w:rPr>
          <w:rFonts w:ascii="Times" w:hAnsi="Times" w:cstheme="majorBidi"/>
          <w:i/>
          <w:iCs/>
          <w:color w:val="333333"/>
        </w:rPr>
        <w:t>Pseudomonas</w:t>
      </w:r>
      <w:r w:rsidRPr="00447599">
        <w:rPr>
          <w:rFonts w:ascii="Times" w:hAnsi="Times" w:cstheme="majorBidi"/>
          <w:color w:val="333333"/>
          <w:shd w:val="clear" w:color="auto" w:fill="FAFAFA"/>
        </w:rPr>
        <w:t> sp. strain NCIB 9816-4 and</w:t>
      </w:r>
      <w:r w:rsidRPr="00447599">
        <w:rPr>
          <w:rFonts w:ascii="Times" w:hAnsi="Times" w:cstheme="majorBidi"/>
          <w:color w:val="000000" w:themeColor="text1"/>
          <w:lang w:bidi="fa-IR"/>
        </w:rPr>
        <w:t xml:space="preserve"> </w:t>
      </w:r>
      <w:r w:rsidRPr="00447599">
        <w:rPr>
          <w:rFonts w:ascii="Times" w:hAnsi="Times" w:cstheme="majorBidi"/>
          <w:i/>
          <w:iCs/>
          <w:color w:val="000000"/>
        </w:rPr>
        <w:t>Sphingomonas</w:t>
      </w:r>
      <w:r w:rsidRPr="00447599">
        <w:rPr>
          <w:rStyle w:val="apple-converted-space"/>
          <w:rFonts w:ascii="Times" w:hAnsi="Times" w:cstheme="majorBidi"/>
          <w:color w:val="000000"/>
          <w:shd w:val="clear" w:color="auto" w:fill="F4F4F4"/>
        </w:rPr>
        <w:t> </w:t>
      </w:r>
      <w:r w:rsidRPr="00447599">
        <w:rPr>
          <w:rFonts w:ascii="Times" w:hAnsi="Times" w:cstheme="majorBidi"/>
          <w:color w:val="000000"/>
          <w:shd w:val="clear" w:color="auto" w:fill="F4F4F4"/>
        </w:rPr>
        <w:t>CHY-1</w:t>
      </w:r>
      <w:r w:rsidRPr="00447599">
        <w:rPr>
          <w:rFonts w:ascii="Times" w:hAnsi="Times" w:cstheme="majorBidi"/>
          <w:color w:val="000000" w:themeColor="text1"/>
          <w:lang w:bidi="fa-IR"/>
        </w:rPr>
        <w:t>strain</w:t>
      </w:r>
      <w:r w:rsidRPr="00447599">
        <w:rPr>
          <w:rFonts w:ascii="Times" w:hAnsi="Times" w:cstheme="majorBidi"/>
          <w:color w:val="000000" w:themeColor="text1"/>
          <w:rtl/>
          <w:lang w:bidi="fa-IR"/>
        </w:rPr>
        <w:t xml:space="preserve"> </w:t>
      </w:r>
      <w:r w:rsidRPr="00447599">
        <w:rPr>
          <w:rFonts w:ascii="Times" w:hAnsi="Times" w:cstheme="majorBidi"/>
          <w:color w:val="000000" w:themeColor="text1"/>
          <w:lang w:bidi="fa-IR"/>
        </w:rPr>
        <w:t xml:space="preserve">that the enzymes in the upper part of the naphthalene pathway possess broad substrate specificities. </w:t>
      </w:r>
      <w:r w:rsidRPr="00447599">
        <w:rPr>
          <w:rFonts w:ascii="Times" w:hAnsi="Times" w:cstheme="majorBidi"/>
          <w:color w:val="000000" w:themeColor="text1"/>
          <w:lang w:bidi="fa-IR"/>
        </w:rPr>
        <w:fldChar w:fldCharType="begin"/>
      </w:r>
      <w:r w:rsidRPr="00447599">
        <w:rPr>
          <w:rFonts w:ascii="Times" w:hAnsi="Times" w:cstheme="majorBidi"/>
          <w:color w:val="000000" w:themeColor="text1"/>
          <w:lang w:bidi="fa-IR"/>
        </w:rPr>
        <w:instrText xml:space="preserve"> ADDIN EN.CITE &lt;EndNote&gt;&lt;Cite&gt;&lt;Author&gt;Jouanneau&lt;/Author&gt;&lt;Year&gt;2006&lt;/Year&gt;&lt;RecNum&gt;29&lt;/RecNum&gt;&lt;DisplayText&gt;&lt;style face="superscript"&gt;10, 11&lt;/style&gt;&lt;/DisplayText&gt;&lt;record&gt;&lt;rec-number&gt;29&lt;/rec-number&gt;&lt;foreign-keys&gt;&lt;key app="EN" db-id="p0zx9f52s0zwpueeawxv9p279av9dwafsaxz" timestamp="1661888512"&gt;29&lt;/key&gt;&lt;/foreign-keys&gt;&lt;ref-type name="Journal Article"&gt;17&lt;/ref-type&gt;&lt;contributors&gt;&lt;authors&gt;&lt;author&gt;Jouanneau, Yves&lt;/author&gt;&lt;author&gt;Meyer, Christine&lt;/author&gt;&lt;author&gt;Jakoncic, Jean&lt;/author&gt;&lt;author&gt;Stojanoff, Vivian&lt;/author&gt;&lt;author&gt;Gaillard, Jacques&lt;/author&gt;&lt;/authors&gt;&lt;/contributors&gt;&lt;titles&gt;&lt;title&gt;Characterization of a naphthalene dioxygenase endowed with an exceptionally broad substrate specificity toward polycyclic aromatic hydrocarbons&lt;/title&gt;&lt;secondary-title&gt;Biochemistry&lt;/secondary-title&gt;&lt;/titles&gt;&lt;periodical&gt;&lt;full-title&gt;Biochemistry&lt;/full-title&gt;&lt;/periodical&gt;&lt;pages&gt;12380-12391&lt;/pages&gt;&lt;volume&gt;45&lt;/volume&gt;&lt;number&gt;40&lt;/number&gt;&lt;dates&gt;&lt;year&gt;2006&lt;/year&gt;&lt;/dates&gt;&lt;isbn&gt;0006-2960&lt;/isbn&gt;&lt;urls&gt;&lt;/urls&gt;&lt;/record&gt;&lt;/Cite&gt;&lt;Cite&gt;&lt;Author&gt;Parales&lt;/Author&gt;&lt;Year&gt;1998&lt;/Year&gt;&lt;RecNum&gt;30&lt;/RecNum&gt;&lt;record&gt;&lt;rec-number&gt;30&lt;/rec-number&gt;&lt;foreign-keys&gt;&lt;key app="EN" db-id="p0zx9f52s0zwpueeawxv9p279av9dwafsaxz" timestamp="1661888512"&gt;30&lt;/key&gt;&lt;/foreign-keys&gt;&lt;ref-type name="Journal Article"&gt;17&lt;/ref-type&gt;&lt;contributors&gt;&lt;authors&gt;&lt;author&gt;Parales, Rebecca E&lt;/author&gt;&lt;author&gt;Emig, Matthew D&lt;/author&gt;&lt;author&gt;Lynch, Nancy A&lt;/author&gt;&lt;author&gt;Gibson, David T&lt;/author&gt;&lt;/authors&gt;&lt;/contributors&gt;&lt;titles&gt;&lt;title&gt;Substrate specificities of hybrid naphthalene and 2, 4-dinitrotoluene dioxygenase enzyme systems&lt;/title&gt;&lt;secondary-title&gt;Journal of Bacteriology&lt;/secondary-title&gt;&lt;/titles&gt;&lt;periodical&gt;&lt;full-title&gt;Journal of Bacteriology&lt;/full-title&gt;&lt;/periodical&gt;&lt;pages&gt;2337-2344&lt;/pages&gt;&lt;volume&gt;180&lt;/volume&gt;&lt;number&gt;9&lt;/number&gt;&lt;dates&gt;&lt;year&gt;1998&lt;/year&gt;&lt;/dates&gt;&lt;isbn&gt;1098-5530&lt;/isbn&gt;&lt;urls&gt;&lt;/urls&gt;&lt;/record&gt;&lt;/Cite&gt;&lt;/EndNote&gt;</w:instrText>
      </w:r>
      <w:r w:rsidRPr="00447599">
        <w:rPr>
          <w:rFonts w:ascii="Times" w:hAnsi="Times" w:cstheme="majorBidi"/>
          <w:color w:val="000000" w:themeColor="text1"/>
          <w:lang w:bidi="fa-IR"/>
        </w:rPr>
        <w:fldChar w:fldCharType="separate"/>
      </w:r>
      <w:r w:rsidRPr="00447599">
        <w:rPr>
          <w:rFonts w:ascii="Times" w:hAnsi="Times" w:cstheme="majorBidi"/>
          <w:noProof/>
          <w:color w:val="000000" w:themeColor="text1"/>
          <w:vertAlign w:val="superscript"/>
          <w:lang w:bidi="fa-IR"/>
        </w:rPr>
        <w:t>10, 11</w:t>
      </w:r>
      <w:r w:rsidRPr="00447599">
        <w:rPr>
          <w:rFonts w:ascii="Times" w:hAnsi="Times" w:cstheme="majorBidi"/>
          <w:color w:val="000000" w:themeColor="text1"/>
          <w:lang w:bidi="fa-IR"/>
        </w:rPr>
        <w:fldChar w:fldCharType="end"/>
      </w:r>
      <w:r w:rsidRPr="00447599">
        <w:rPr>
          <w:rFonts w:ascii="Times" w:hAnsi="Times" w:cstheme="majorBidi"/>
          <w:color w:val="000000" w:themeColor="text1"/>
          <w:lang w:bidi="fa-IR"/>
        </w:rPr>
        <w:t xml:space="preserve">  The lack of accumulated intermediate for the degradation of PAHs in samples can be attributed to the fact that the rate-limiting step for the biodegradation might be the initial ring oxidation reaction. The other reason of simple degradation pathway might be the enzyme activities observed for the oxidation of NADH in the presence of salicylate and 1-hydroxy-2- naphthoate hydroxylase in the cultures grown on three PAHs.</w:t>
      </w:r>
      <w:r w:rsidRPr="00447599">
        <w:rPr>
          <w:rFonts w:ascii="Times" w:hAnsi="Times" w:cstheme="majorBidi"/>
          <w:color w:val="000000" w:themeColor="text1"/>
          <w:lang w:bidi="fa-IR"/>
        </w:rPr>
        <w:fldChar w:fldCharType="begin"/>
      </w:r>
      <w:r w:rsidRPr="00447599">
        <w:rPr>
          <w:rFonts w:ascii="Times" w:hAnsi="Times" w:cstheme="majorBidi"/>
          <w:color w:val="000000" w:themeColor="text1"/>
          <w:lang w:bidi="fa-IR"/>
        </w:rPr>
        <w:instrText xml:space="preserve"> ADDIN EN.CITE &lt;EndNote&gt;&lt;Cite&gt;&lt;Author&gt;1-109.&lt;/Author&gt;&lt;RecNum&gt;31&lt;/RecNum&gt;&lt;DisplayText&gt;&lt;style face="superscript"&gt;12&lt;/style&gt;&lt;/DisplayText&gt;&lt;record&gt;&lt;rec-number&gt;31&lt;/rec-number&gt;&lt;foreign-keys&gt;&lt;key app="EN" db-id="p0zx9f52s0zwpueeawxv9p279av9dwafsaxz" timestamp="1661888512"&gt;31&lt;/key&gt;&lt;/foreign-keys&gt;&lt;ref-type name="Journal Article"&gt;17&lt;/ref-type&gt;&lt;contributors&gt;&lt;authors&gt;&lt;author&gt;Eurpoean Commission. (2017). Final Report. Amec Foster Wheeler Environment &amp;amp; Infrastructure UK Limited. 1-109. &lt;/author&gt;&lt;/authors&gt;&lt;/contributors&gt;&lt;titles&gt;&lt;/titles&gt;&lt;dates&gt;&lt;/dates&gt;&lt;urls&gt;&lt;/urls&gt;&lt;/record&gt;&lt;/Cite&gt;&lt;/EndNote&gt;</w:instrText>
      </w:r>
      <w:r w:rsidRPr="00447599">
        <w:rPr>
          <w:rFonts w:ascii="Times" w:hAnsi="Times" w:cstheme="majorBidi"/>
          <w:color w:val="000000" w:themeColor="text1"/>
          <w:lang w:bidi="fa-IR"/>
        </w:rPr>
        <w:fldChar w:fldCharType="separate"/>
      </w:r>
      <w:r w:rsidRPr="00447599">
        <w:rPr>
          <w:rFonts w:ascii="Times" w:hAnsi="Times" w:cstheme="majorBidi"/>
          <w:noProof/>
          <w:color w:val="000000" w:themeColor="text1"/>
          <w:vertAlign w:val="superscript"/>
          <w:lang w:bidi="fa-IR"/>
        </w:rPr>
        <w:t>12</w:t>
      </w:r>
      <w:r w:rsidRPr="00447599">
        <w:rPr>
          <w:rFonts w:ascii="Times" w:hAnsi="Times" w:cstheme="majorBidi"/>
          <w:color w:val="000000" w:themeColor="text1"/>
          <w:lang w:bidi="fa-IR"/>
        </w:rPr>
        <w:fldChar w:fldCharType="end"/>
      </w:r>
      <w:r w:rsidRPr="00447599">
        <w:rPr>
          <w:rFonts w:ascii="Times" w:hAnsi="Times" w:cstheme="majorBidi"/>
          <w:color w:val="000000" w:themeColor="text1"/>
          <w:lang w:bidi="fa-IR"/>
        </w:rPr>
        <w:t xml:space="preserve"> </w:t>
      </w:r>
    </w:p>
    <w:p w14:paraId="62E2646F" w14:textId="7CA40FF0" w:rsidR="00017A0C" w:rsidRPr="00447599" w:rsidRDefault="00017A0C" w:rsidP="00017A0C">
      <w:pPr>
        <w:spacing w:line="360" w:lineRule="auto"/>
        <w:jc w:val="both"/>
        <w:rPr>
          <w:rFonts w:ascii="Times" w:hAnsi="Times" w:cstheme="majorBidi"/>
          <w:color w:val="000000" w:themeColor="text1"/>
          <w:rtl/>
          <w:lang w:bidi="fa-IR"/>
        </w:rPr>
      </w:pPr>
      <w:r w:rsidRPr="00447599">
        <w:rPr>
          <w:rFonts w:ascii="Times" w:hAnsi="Times" w:cstheme="majorBidi"/>
          <w:color w:val="000000" w:themeColor="text1"/>
          <w:lang w:bidi="fa-IR"/>
        </w:rPr>
        <w:t xml:space="preserve">For </w:t>
      </w:r>
      <w:r w:rsidRPr="00447599">
        <w:rPr>
          <w:rFonts w:ascii="Times" w:hAnsi="Times" w:cstheme="majorBidi"/>
          <w:color w:val="000000" w:themeColor="text1"/>
        </w:rPr>
        <w:t xml:space="preserve">URS-8, the same pattern of degradation for pyrene was observed. This strain did not show extensive degradation of pyrene in the PAHs mixture; however, the lack of accumulated intermediate can be considered positive effect that might be attributed to the enzyme system present in liquid medium. The lack of </w:t>
      </w:r>
      <w:r w:rsidRPr="00447599">
        <w:rPr>
          <w:rFonts w:ascii="Times" w:hAnsi="Times" w:cstheme="majorBidi"/>
          <w:color w:val="000000" w:themeColor="text1"/>
          <w:lang w:bidi="fa-IR"/>
        </w:rPr>
        <w:t xml:space="preserve">1-hydroxy-2- naphthoate hydroxylase </w:t>
      </w:r>
      <w:r w:rsidRPr="00447599">
        <w:rPr>
          <w:rFonts w:ascii="Times" w:hAnsi="Times" w:cstheme="majorBidi"/>
          <w:color w:val="000000" w:themeColor="text1"/>
        </w:rPr>
        <w:t xml:space="preserve">activity in cell free lysate suggested a pathway for three PAHs that does not pass through salicylate. However, protocatechuic acid 3,4-dioxygenase enzyme assay suggested the pathway for the catabolism of phthalate to central metabolites via intradiol cleavage of protocatechuic acid </w:t>
      </w:r>
      <w:r w:rsidRPr="00447599">
        <w:rPr>
          <w:rFonts w:ascii="Times" w:hAnsi="Times" w:cstheme="majorBidi"/>
          <w:color w:val="000000" w:themeColor="text1"/>
          <w:lang w:bidi="fa-IR"/>
        </w:rPr>
        <w:t xml:space="preserve">(Fig S4). </w:t>
      </w:r>
      <w:r w:rsidRPr="00447599">
        <w:rPr>
          <w:rFonts w:ascii="Times" w:hAnsi="Times" w:cstheme="majorBidi"/>
          <w:color w:val="000000" w:themeColor="text1"/>
        </w:rPr>
        <w:t xml:space="preserve"> </w:t>
      </w:r>
      <w:r w:rsidRPr="00447599">
        <w:rPr>
          <w:rFonts w:ascii="Times" w:hAnsi="Times" w:cstheme="majorBidi"/>
          <w:color w:val="000000" w:themeColor="text1"/>
        </w:rPr>
        <w:fldChar w:fldCharType="begin"/>
      </w:r>
      <w:r w:rsidRPr="00447599">
        <w:rPr>
          <w:rFonts w:ascii="Times" w:hAnsi="Times" w:cstheme="majorBidi"/>
          <w:color w:val="000000" w:themeColor="text1"/>
        </w:rPr>
        <w:instrText xml:space="preserve"> ADDIN EN.CITE &lt;EndNote&gt;&lt;Cite&gt;&lt;Author&gt;Mawad&lt;/Author&gt;&lt;Year&gt;2020&lt;/Year&gt;&lt;RecNum&gt;32&lt;/RecNum&gt;&lt;DisplayText&gt;&lt;style face="superscript"&gt;13, 14&lt;/style&gt;&lt;/DisplayText&gt;&lt;record&gt;&lt;rec-number&gt;32&lt;/rec-number&gt;&lt;foreign-keys&gt;&lt;key app="EN" db-id="p0zx9f52s0zwpueeawxv9p279av9dwafsaxz" timestamp="1661888512"&gt;32&lt;/key&gt;&lt;/foreign-keys&gt;&lt;ref-type name="Journal Article"&gt;17&lt;/ref-type&gt;&lt;contributors&gt;&lt;authors&gt;&lt;author&gt;Mawad, Asmaa MM&lt;/author&gt;&lt;author&gt;Abdel-Mageed, Wael S&lt;/author&gt;&lt;author&gt;Hesham, Abd El-Latif&lt;/author&gt;&lt;/authors&gt;&lt;/contributors&gt;&lt;titles&gt;&lt;title&gt;Quantification of naphthalene dioxygenase (NahAC) and catechol dioxygenase (C23O) catabolic genes produced by phenanthrene-degrading Pseudomonas fluorescens AH-40&lt;/title&gt;&lt;secondary-title&gt;Current Genomics&lt;/secondary-title&gt;&lt;/titles&gt;&lt;periodical&gt;&lt;full-title&gt;Current Genomics&lt;/full-title&gt;&lt;/periodical&gt;&lt;pages&gt;111-118&lt;/pages&gt;&lt;volume&gt;21&lt;/volume&gt;&lt;number&gt;2&lt;/number&gt;&lt;dates&gt;&lt;year&gt;2020&lt;/year&gt;&lt;/dates&gt;&lt;isbn&gt;1389-2029&lt;/isbn&gt;&lt;urls&gt;&lt;/urls&gt;&lt;/record&gt;&lt;/Cite&gt;&lt;Cite&gt;&lt;Author&gt;Krishnan&lt;/Author&gt;&lt;Year&gt;2004&lt;/Year&gt;&lt;RecNum&gt;33&lt;/RecNum&gt;&lt;record&gt;&lt;rec-number&gt;33&lt;/rec-number&gt;&lt;foreign-keys&gt;&lt;key app="EN" db-id="p0zx9f52s0zwpueeawxv9p279av9dwafsaxz" timestamp="1661888512"&gt;33&lt;/key&gt;&lt;/foreign-keys&gt;&lt;ref-type name="Journal Article"&gt;17&lt;/ref-type&gt;&lt;contributors&gt;&lt;authors&gt;&lt;author&gt;Krishnan, Samyuktha&lt;/author&gt;&lt;author&gt;Prabhu, Yogikala&lt;/author&gt;&lt;author&gt;Phale, Prashant S&lt;/author&gt;&lt;/authors&gt;&lt;/contributors&gt;&lt;titles&gt;&lt;title&gt;o-Phthalic acid, a dead-end product in one of the two pathways of phenanthrene degradation in Pseudomonas sp. strain PP2&lt;/title&gt;&lt;/titles&gt;&lt;dates&gt;&lt;year&gt;2004&lt;/year&gt;&lt;/dates&gt;&lt;isbn&gt;0301-1208&lt;/isbn&gt;&lt;urls&gt;&lt;/urls&gt;&lt;/record&gt;&lt;/Cite&gt;&lt;/EndNote&gt;</w:instrText>
      </w:r>
      <w:r w:rsidRPr="00447599">
        <w:rPr>
          <w:rFonts w:ascii="Times" w:hAnsi="Times" w:cstheme="majorBidi"/>
          <w:color w:val="000000" w:themeColor="text1"/>
        </w:rPr>
        <w:fldChar w:fldCharType="separate"/>
      </w:r>
      <w:r w:rsidRPr="00447599">
        <w:rPr>
          <w:rFonts w:ascii="Times" w:hAnsi="Times" w:cstheme="majorBidi"/>
          <w:noProof/>
          <w:color w:val="000000" w:themeColor="text1"/>
          <w:vertAlign w:val="superscript"/>
        </w:rPr>
        <w:t>13, 14</w:t>
      </w:r>
      <w:r w:rsidRPr="00447599">
        <w:rPr>
          <w:rFonts w:ascii="Times" w:hAnsi="Times" w:cstheme="majorBidi"/>
          <w:color w:val="000000" w:themeColor="text1"/>
        </w:rPr>
        <w:fldChar w:fldCharType="end"/>
      </w:r>
      <w:r w:rsidRPr="00447599">
        <w:rPr>
          <w:rFonts w:ascii="Times" w:hAnsi="Times" w:cstheme="majorBidi"/>
          <w:color w:val="000000" w:themeColor="text1"/>
        </w:rPr>
        <w:t xml:space="preserve"> </w:t>
      </w:r>
    </w:p>
    <w:p w14:paraId="2233E2BF" w14:textId="77777777" w:rsidR="00017A0C" w:rsidRPr="00447599" w:rsidRDefault="00017A0C" w:rsidP="00017A0C">
      <w:pPr>
        <w:spacing w:line="360" w:lineRule="auto"/>
        <w:jc w:val="both"/>
        <w:rPr>
          <w:rFonts w:ascii="Times" w:hAnsi="Times" w:cstheme="majorBidi"/>
          <w:color w:val="000000" w:themeColor="text1"/>
        </w:rPr>
      </w:pPr>
      <w:r w:rsidRPr="00447599">
        <w:rPr>
          <w:rFonts w:ascii="Times" w:hAnsi="Times" w:cstheme="majorBidi"/>
          <w:color w:val="000000" w:themeColor="text1"/>
        </w:rPr>
        <w:t xml:space="preserve">Compared to URS-5 and URS-8 strains, URS-6 showed higher degradation rate that might be attributed to increasing the bioavailability of pyrene as well as high activity of naphthalene dioxygenase enzyme. This isolate was considered as efficient biosurfactant producer based on surface tension measurement. </w:t>
      </w:r>
      <w:r w:rsidRPr="00447599">
        <w:rPr>
          <w:rFonts w:ascii="Times" w:hAnsi="Times"/>
        </w:rPr>
        <w:t>The surface tension reduction by cell extracts by 12.5 mN.m</w:t>
      </w:r>
      <w:r w:rsidRPr="00447599">
        <w:rPr>
          <w:rFonts w:ascii="Times" w:hAnsi="Times"/>
          <w:vertAlign w:val="superscript"/>
        </w:rPr>
        <w:t xml:space="preserve">-1 </w:t>
      </w:r>
      <w:r w:rsidRPr="00447599">
        <w:rPr>
          <w:rFonts w:ascii="Times" w:hAnsi="Times"/>
        </w:rPr>
        <w:t>compared with distilled water for URS-6 confirmed the ability of isolated to produce biosurfactants.</w:t>
      </w:r>
    </w:p>
    <w:p w14:paraId="3B8E8CDC" w14:textId="31FC1BEC" w:rsidR="00017A0C" w:rsidRPr="00447599" w:rsidRDefault="00017A0C" w:rsidP="00017A0C">
      <w:pPr>
        <w:spacing w:line="360" w:lineRule="auto"/>
        <w:jc w:val="both"/>
        <w:rPr>
          <w:rFonts w:ascii="Times" w:hAnsi="Times"/>
          <w:noProof/>
        </w:rPr>
      </w:pPr>
      <w:r w:rsidRPr="00447599">
        <w:rPr>
          <w:rFonts w:ascii="Times" w:hAnsi="Times"/>
          <w:noProof/>
        </w:rPr>
        <w:t xml:space="preserve">For URS-10, different patterns of degradation were observed in which this strain degraded small amount of pyrene in the PAHs mixture, and degraded considerably more pyrene when it was present as the sole subtrate. These results suggested the presence of pyrene degrading enzymes repressed in culture grow in the mixture of PAHs. The enzyme activity and </w:t>
      </w:r>
      <w:r w:rsidRPr="00447599">
        <w:rPr>
          <w:rFonts w:ascii="Calibri" w:hAnsi="Calibri" w:cs="Calibri"/>
          <w:noProof/>
        </w:rPr>
        <w:t>﻿</w:t>
      </w:r>
      <w:r w:rsidRPr="00447599">
        <w:rPr>
          <w:rFonts w:ascii="Times" w:hAnsi="Times"/>
          <w:noProof/>
        </w:rPr>
        <w:t xml:space="preserve">catalytic efficiency of pyrene dioxygenase was calculated using the partially purified dioxygenase (Section S10). </w:t>
      </w:r>
      <w:r w:rsidRPr="00447599">
        <w:rPr>
          <w:rFonts w:ascii="Times" w:hAnsi="Times"/>
          <w:noProof/>
        </w:rPr>
        <w:lastRenderedPageBreak/>
        <w:t>Naphthalene did not appear to be transformed by this dioxygenase and no particular reaction was observed when indole was added to the reaction. There is a possibility that a negative result for a given PAH can be attributed to undetermined factors other than substrate specificity (e.g., poor expression, enzyme instability).</w:t>
      </w:r>
      <w:r w:rsidRPr="00447599">
        <w:rPr>
          <w:rFonts w:ascii="Times" w:hAnsi="Times"/>
          <w:noProof/>
        </w:rPr>
        <w:fldChar w:fldCharType="begin"/>
      </w:r>
      <w:r w:rsidRPr="00447599">
        <w:rPr>
          <w:rFonts w:ascii="Times" w:hAnsi="Times"/>
          <w:noProof/>
        </w:rPr>
        <w:instrText xml:space="preserve"> ADDIN EN.CITE &lt;EndNote&gt;&lt;Cite&gt;&lt;Author&gt;Singleton&lt;/Author&gt;&lt;Year&gt;2012&lt;/Year&gt;&lt;RecNum&gt;34&lt;/RecNum&gt;&lt;DisplayText&gt;&lt;style face="superscript"&gt;15&lt;/style&gt;&lt;/DisplayText&gt;&lt;record&gt;&lt;rec-number&gt;34&lt;/rec-number&gt;&lt;foreign-keys&gt;&lt;key app="EN" db-id="p0zx9f52s0zwpueeawxv9p279av9dwafsaxz" timestamp="1661888512"&gt;34&lt;/key&gt;&lt;/foreign-keys&gt;&lt;ref-type name="Journal Article"&gt;17&lt;/ref-type&gt;&lt;contributors&gt;&lt;authors&gt;&lt;author&gt;Singleton, David R&lt;/author&gt;&lt;author&gt;Hu, Jing&lt;/author&gt;&lt;author&gt;Aitken, Michael D&lt;/author&gt;&lt;/authors&gt;&lt;/contributors&gt;&lt;titles&gt;&lt;title&gt;Heterologous expression of polycyclic aromatic hydrocarbon ring-hydroxylating dioxygenase genes from a novel pyrene-degrading betaproteobacterium&lt;/title&gt;&lt;secondary-title&gt;Applied and environmental microbiology&lt;/secondary-title&gt;&lt;/titles&gt;&lt;periodical&gt;&lt;full-title&gt;Applied and environmental microbiology&lt;/full-title&gt;&lt;/periodical&gt;&lt;pages&gt;3552-3559&lt;/pages&gt;&lt;volume&gt;78&lt;/volume&gt;&lt;number&gt;10&lt;/number&gt;&lt;dates&gt;&lt;year&gt;2012&lt;/year&gt;&lt;/dates&gt;&lt;isbn&gt;0099-2240&lt;/isbn&gt;&lt;urls&gt;&lt;/urls&gt;&lt;/record&gt;&lt;/Cite&gt;&lt;/EndNote&gt;</w:instrText>
      </w:r>
      <w:r w:rsidRPr="00447599">
        <w:rPr>
          <w:rFonts w:ascii="Times" w:hAnsi="Times"/>
          <w:noProof/>
        </w:rPr>
        <w:fldChar w:fldCharType="separate"/>
      </w:r>
      <w:r w:rsidRPr="00447599">
        <w:rPr>
          <w:rFonts w:ascii="Times" w:hAnsi="Times"/>
          <w:noProof/>
          <w:vertAlign w:val="superscript"/>
        </w:rPr>
        <w:t>15</w:t>
      </w:r>
      <w:r w:rsidRPr="00447599">
        <w:rPr>
          <w:rFonts w:ascii="Times" w:hAnsi="Times"/>
          <w:noProof/>
        </w:rPr>
        <w:fldChar w:fldCharType="end"/>
      </w:r>
      <w:r w:rsidRPr="00447599">
        <w:rPr>
          <w:rFonts w:ascii="Times" w:hAnsi="Times"/>
          <w:noProof/>
        </w:rPr>
        <w:t xml:space="preserve"> </w:t>
      </w:r>
    </w:p>
    <w:p w14:paraId="2FB94CCC" w14:textId="77777777" w:rsidR="009F26AC" w:rsidRPr="00447599" w:rsidRDefault="009F26AC" w:rsidP="003340EF">
      <w:pPr>
        <w:spacing w:line="276" w:lineRule="auto"/>
        <w:jc w:val="both"/>
        <w:rPr>
          <w:rFonts w:asciiTheme="majorBidi" w:hAnsiTheme="majorBidi" w:cstheme="majorBidi"/>
          <w:color w:val="000000" w:themeColor="text1"/>
        </w:rPr>
      </w:pPr>
    </w:p>
    <w:p w14:paraId="11A2CD07" w14:textId="536288E7" w:rsidR="009F26AC" w:rsidRPr="00447599" w:rsidRDefault="009F26AC" w:rsidP="003340EF">
      <w:pPr>
        <w:spacing w:line="276" w:lineRule="auto"/>
        <w:jc w:val="both"/>
        <w:rPr>
          <w:rFonts w:asciiTheme="majorBidi" w:hAnsiTheme="majorBidi" w:cstheme="majorBidi"/>
          <w:color w:val="000000" w:themeColor="text1"/>
        </w:rPr>
      </w:pPr>
      <w:r w:rsidRPr="00447599">
        <w:rPr>
          <w:rFonts w:asciiTheme="majorBidi" w:hAnsiTheme="majorBidi" w:cstheme="majorBidi"/>
          <w:b/>
          <w:bCs/>
          <w:color w:val="000000" w:themeColor="text1"/>
        </w:rPr>
        <w:t xml:space="preserve">S2 </w:t>
      </w:r>
      <w:r w:rsidRPr="00447599">
        <w:rPr>
          <w:rFonts w:asciiTheme="majorBidi" w:hAnsiTheme="majorBidi" w:cstheme="majorBidi"/>
          <w:b/>
          <w:bCs/>
          <w:lang w:bidi="fa-IR"/>
        </w:rPr>
        <w:t>Biodegradation versus dissolved concentration</w:t>
      </w:r>
    </w:p>
    <w:p w14:paraId="2DA0416A" w14:textId="77777777" w:rsidR="009F26AC" w:rsidRPr="00447599" w:rsidRDefault="009F26AC" w:rsidP="003340EF">
      <w:pPr>
        <w:pStyle w:val="ListParagraph"/>
        <w:spacing w:line="276" w:lineRule="auto"/>
        <w:jc w:val="both"/>
        <w:rPr>
          <w:rFonts w:asciiTheme="majorBidi" w:hAnsiTheme="majorBidi" w:cstheme="majorBidi"/>
          <w:color w:val="000000" w:themeColor="text1"/>
          <w:lang w:val="fr-CA"/>
        </w:rPr>
      </w:pPr>
    </w:p>
    <w:p w14:paraId="77FA3800" w14:textId="1A9D82F7" w:rsidR="009F26AC" w:rsidRPr="00447599" w:rsidRDefault="009F26AC" w:rsidP="003340EF">
      <w:pPr>
        <w:spacing w:line="276" w:lineRule="auto"/>
        <w:jc w:val="both"/>
        <w:rPr>
          <w:rFonts w:ascii="Times" w:hAnsi="Times"/>
          <w:color w:val="000000" w:themeColor="text1"/>
        </w:rPr>
      </w:pPr>
      <w:r w:rsidRPr="00447599">
        <w:rPr>
          <w:rFonts w:asciiTheme="majorBidi" w:hAnsiTheme="majorBidi" w:cstheme="majorBidi"/>
          <w:color w:val="000000" w:themeColor="text1"/>
        </w:rPr>
        <w:t xml:space="preserve">The performance of passive dosing was determined by studying O-ring loading, substrate release into medium and equilibrium concentration in medium. During the loading of PAHs, </w:t>
      </w:r>
      <w:r w:rsidRPr="00447599">
        <w:rPr>
          <w:color w:val="000000" w:themeColor="text1"/>
          <w:sz w:val="23"/>
          <w:szCs w:val="23"/>
        </w:rPr>
        <w:t xml:space="preserve">individual PAHs were dissolved in methanol (loading solvent) to saturation level. To create the PAHs mixture, the concentration in loading solution was calculated using partitioning coefficients for each PAH from Gilbert et.al. (2011). </w:t>
      </w:r>
      <w:r w:rsidRPr="00447599">
        <w:rPr>
          <w:color w:val="000000" w:themeColor="text1"/>
          <w:sz w:val="23"/>
          <w:szCs w:val="23"/>
        </w:rPr>
        <w:fldChar w:fldCharType="begin"/>
      </w:r>
      <w:r w:rsidR="00017A0C" w:rsidRPr="00447599">
        <w:rPr>
          <w:color w:val="000000" w:themeColor="text1"/>
          <w:sz w:val="23"/>
          <w:szCs w:val="23"/>
        </w:rPr>
        <w:instrText xml:space="preserve"> ADDIN EN.CITE &lt;EndNote&gt;&lt;Cite&gt;&lt;Author&gt;Gilbert&lt;/Author&gt;&lt;Year&gt;2015&lt;/Year&gt;&lt;RecNum&gt;103&lt;/RecNum&gt;&lt;DisplayText&gt;&lt;style face="superscript"&gt;16&lt;/style&gt;&lt;/DisplayText&gt;&lt;record&gt;&lt;rec-number&gt;103&lt;/rec-number&gt;&lt;foreign-keys&gt;&lt;key app="EN" db-id="fw0pwwe0dwvwvmedstoxs906drsw2awepzsx" timestamp="1635362864"&gt;103&lt;/key&gt;&lt;/foreign-keys&gt;&lt;ref-type name="Journal Article"&gt;17&lt;/ref-type&gt;&lt;contributors&gt;&lt;authors&gt;&lt;author&gt;Gilbert, Dorothea&lt;/author&gt;&lt;author&gt;Mayer, Philipp&lt;/author&gt;&lt;author&gt;Pedersen, Mikael&lt;/author&gt;&lt;author&gt;Vinggaard, Anne Marie&lt;/author&gt;&lt;/authors&gt;&lt;/contributors&gt;&lt;titles&gt;&lt;title&gt;Endocrine activity of persistent organic pollutants accumulated in human silicone implants—Dosing in vitro assays by partitioning from silicone&lt;/title&gt;&lt;secondary-title&gt;Environment international&lt;/secondary-title&gt;&lt;/titles&gt;&lt;periodical&gt;&lt;full-title&gt;Environment international&lt;/full-title&gt;&lt;/periodical&gt;&lt;pages&gt;107-114&lt;/pages&gt;&lt;volume&gt;84&lt;/volume&gt;&lt;dates&gt;&lt;year&gt;2015&lt;/year&gt;&lt;/dates&gt;&lt;isbn&gt;0160-4120&lt;/isbn&gt;&lt;urls&gt;&lt;/urls&gt;&lt;/record&gt;&lt;/Cite&gt;&lt;/EndNote&gt;</w:instrText>
      </w:r>
      <w:r w:rsidRPr="00447599">
        <w:rPr>
          <w:color w:val="000000" w:themeColor="text1"/>
          <w:sz w:val="23"/>
          <w:szCs w:val="23"/>
        </w:rPr>
        <w:fldChar w:fldCharType="separate"/>
      </w:r>
      <w:r w:rsidR="00017A0C" w:rsidRPr="00447599">
        <w:rPr>
          <w:noProof/>
          <w:color w:val="000000" w:themeColor="text1"/>
          <w:sz w:val="23"/>
          <w:szCs w:val="23"/>
          <w:vertAlign w:val="superscript"/>
        </w:rPr>
        <w:t>16</w:t>
      </w:r>
      <w:r w:rsidRPr="00447599">
        <w:rPr>
          <w:color w:val="000000" w:themeColor="text1"/>
          <w:sz w:val="23"/>
          <w:szCs w:val="23"/>
        </w:rPr>
        <w:fldChar w:fldCharType="end"/>
      </w:r>
      <w:r w:rsidRPr="00447599">
        <w:rPr>
          <w:color w:val="000000" w:themeColor="text1"/>
          <w:sz w:val="23"/>
          <w:szCs w:val="23"/>
        </w:rPr>
        <w:t xml:space="preserve"> It has been suggested that after the O-rings have been cleaned and dried, 50 mL of loading solution at 15*1°C be added to the 50 mL of O-rings.</w:t>
      </w:r>
      <w:r w:rsidRPr="00447599">
        <w:rPr>
          <w:rFonts w:asciiTheme="majorBidi" w:hAnsiTheme="majorBidi" w:cstheme="majorBidi"/>
          <w:color w:val="000000" w:themeColor="text1"/>
        </w:rPr>
        <w:t xml:space="preserve"> The O-ring was removed from each loading batch after 128 h, and they were transferred into SSM to measure O-ring </w:t>
      </w:r>
      <w:r w:rsidRPr="00447599">
        <w:rPr>
          <w:rFonts w:asciiTheme="majorBidi" w:hAnsiTheme="majorBidi" w:cstheme="majorBidi"/>
          <w:color w:val="000000" w:themeColor="text1"/>
          <w:lang w:bidi="fa-IR"/>
        </w:rPr>
        <w:t>(</w:t>
      </w:r>
      <w:r w:rsidRPr="00447599">
        <w:rPr>
          <w:rFonts w:asciiTheme="majorBidi" w:hAnsiTheme="majorBidi" w:cstheme="majorBidi"/>
          <w:i/>
          <w:iCs/>
          <w:color w:val="000000" w:themeColor="text1"/>
          <w:lang w:bidi="fa-IR"/>
        </w:rPr>
        <w:t>C</w:t>
      </w:r>
      <w:r w:rsidRPr="00447599">
        <w:rPr>
          <w:rFonts w:asciiTheme="majorBidi" w:hAnsiTheme="majorBidi" w:cstheme="majorBidi"/>
          <w:i/>
          <w:iCs/>
          <w:color w:val="000000" w:themeColor="text1"/>
          <w:vertAlign w:val="subscript"/>
          <w:lang w:bidi="fa-IR"/>
        </w:rPr>
        <w:t>test</w:t>
      </w:r>
      <w:r w:rsidRPr="00447599">
        <w:rPr>
          <w:rFonts w:asciiTheme="majorBidi" w:hAnsiTheme="majorBidi" w:cstheme="majorBidi"/>
          <w:color w:val="000000" w:themeColor="text1"/>
          <w:lang w:bidi="fa-IR"/>
        </w:rPr>
        <w:t xml:space="preserve">) </w:t>
      </w:r>
      <w:r w:rsidRPr="00447599">
        <w:rPr>
          <w:rFonts w:asciiTheme="majorBidi" w:hAnsiTheme="majorBidi" w:cstheme="majorBidi"/>
          <w:color w:val="000000" w:themeColor="text1"/>
        </w:rPr>
        <w:t xml:space="preserve">and freely dissolved concentration of each PAH </w:t>
      </w:r>
      <w:r w:rsidRPr="00447599">
        <w:rPr>
          <w:rFonts w:asciiTheme="majorBidi" w:hAnsiTheme="majorBidi" w:cstheme="majorBidi"/>
          <w:color w:val="000000" w:themeColor="text1"/>
          <w:lang w:bidi="fa-IR"/>
        </w:rPr>
        <w:t>(</w:t>
      </w:r>
      <w:r w:rsidRPr="00447599">
        <w:rPr>
          <w:rFonts w:asciiTheme="majorBidi" w:hAnsiTheme="majorBidi" w:cstheme="majorBidi"/>
          <w:i/>
          <w:iCs/>
          <w:color w:val="000000" w:themeColor="text1"/>
          <w:lang w:bidi="fa-IR"/>
        </w:rPr>
        <w:t>C</w:t>
      </w:r>
      <w:r w:rsidRPr="00447599">
        <w:rPr>
          <w:rFonts w:asciiTheme="majorBidi" w:hAnsiTheme="majorBidi" w:cstheme="majorBidi"/>
          <w:i/>
          <w:iCs/>
          <w:color w:val="000000" w:themeColor="text1"/>
          <w:vertAlign w:val="subscript"/>
          <w:lang w:bidi="fa-IR"/>
        </w:rPr>
        <w:t>free</w:t>
      </w:r>
      <w:r w:rsidRPr="00447599">
        <w:rPr>
          <w:rFonts w:asciiTheme="majorBidi" w:hAnsiTheme="majorBidi" w:cstheme="majorBidi"/>
          <w:color w:val="000000" w:themeColor="text1"/>
          <w:lang w:bidi="fa-IR"/>
        </w:rPr>
        <w:t xml:space="preserve">) at 0.33, 0.66, 1.33, 2.66, 5.33, 12, 24,48 and 72 h. </w:t>
      </w:r>
      <w:r w:rsidRPr="00447599">
        <w:rPr>
          <w:rFonts w:asciiTheme="majorBidi" w:hAnsiTheme="majorBidi" w:cstheme="majorBidi"/>
          <w:color w:val="000000" w:themeColor="text1"/>
        </w:rPr>
        <w:t>The partition coefficient between different phases (</w:t>
      </w:r>
      <w:r w:rsidRPr="00447599">
        <w:rPr>
          <w:rFonts w:asciiTheme="majorBidi" w:hAnsiTheme="majorBidi" w:cstheme="majorBidi"/>
          <w:i/>
          <w:iCs/>
          <w:color w:val="000000" w:themeColor="text1"/>
        </w:rPr>
        <w:t>K</w:t>
      </w:r>
      <w:r w:rsidRPr="00447599">
        <w:rPr>
          <w:rFonts w:asciiTheme="majorBidi" w:hAnsiTheme="majorBidi" w:cstheme="majorBidi"/>
          <w:i/>
          <w:iCs/>
          <w:color w:val="000000" w:themeColor="text1"/>
          <w:vertAlign w:val="subscript"/>
        </w:rPr>
        <w:t xml:space="preserve">Methanol:Oring </w:t>
      </w:r>
      <w:r w:rsidRPr="00447599">
        <w:rPr>
          <w:rFonts w:asciiTheme="majorBidi" w:hAnsiTheme="majorBidi" w:cstheme="majorBidi"/>
          <w:i/>
          <w:iCs/>
          <w:color w:val="000000" w:themeColor="text1"/>
        </w:rPr>
        <w:t>and K</w:t>
      </w:r>
      <w:r w:rsidRPr="00447599">
        <w:rPr>
          <w:rFonts w:asciiTheme="majorBidi" w:hAnsiTheme="majorBidi" w:cstheme="majorBidi"/>
          <w:i/>
          <w:iCs/>
          <w:color w:val="000000" w:themeColor="text1"/>
          <w:vertAlign w:val="subscript"/>
        </w:rPr>
        <w:t>Oring:SSM</w:t>
      </w:r>
      <w:r w:rsidRPr="00447599">
        <w:rPr>
          <w:rFonts w:asciiTheme="majorBidi" w:hAnsiTheme="majorBidi" w:cstheme="majorBidi"/>
          <w:color w:val="000000" w:themeColor="text1"/>
        </w:rPr>
        <w:t xml:space="preserve">) were obtained using the measured </w:t>
      </w:r>
      <w:r w:rsidRPr="00447599">
        <w:rPr>
          <w:rFonts w:asciiTheme="majorBidi" w:hAnsiTheme="majorBidi" w:cstheme="majorBidi"/>
          <w:i/>
          <w:iCs/>
          <w:color w:val="000000" w:themeColor="text1"/>
          <w:lang w:bidi="fa-IR"/>
        </w:rPr>
        <w:t>C</w:t>
      </w:r>
      <w:r w:rsidRPr="00447599">
        <w:rPr>
          <w:rFonts w:asciiTheme="majorBidi" w:hAnsiTheme="majorBidi" w:cstheme="majorBidi"/>
          <w:i/>
          <w:iCs/>
          <w:color w:val="000000" w:themeColor="text1"/>
          <w:vertAlign w:val="subscript"/>
          <w:lang w:bidi="fa-IR"/>
        </w:rPr>
        <w:t>test</w:t>
      </w:r>
      <w:r w:rsidRPr="00447599">
        <w:rPr>
          <w:rFonts w:asciiTheme="majorBidi" w:hAnsiTheme="majorBidi" w:cstheme="majorBidi"/>
          <w:color w:val="000000" w:themeColor="text1"/>
          <w:vertAlign w:val="subscript"/>
          <w:lang w:bidi="fa-IR"/>
        </w:rPr>
        <w:t>,</w:t>
      </w:r>
      <w:r w:rsidRPr="00447599">
        <w:rPr>
          <w:rFonts w:asciiTheme="majorBidi" w:hAnsiTheme="majorBidi" w:cstheme="majorBidi"/>
          <w:i/>
          <w:iCs/>
          <w:color w:val="000000" w:themeColor="text1"/>
          <w:vertAlign w:val="subscript"/>
          <w:lang w:bidi="fa-IR"/>
        </w:rPr>
        <w:t>initial</w:t>
      </w:r>
      <w:r w:rsidRPr="00447599">
        <w:rPr>
          <w:rFonts w:asciiTheme="majorBidi" w:hAnsiTheme="majorBidi" w:cstheme="majorBidi"/>
          <w:color w:val="000000" w:themeColor="text1"/>
        </w:rPr>
        <w:t xml:space="preserve"> and </w:t>
      </w:r>
      <w:r w:rsidRPr="00447599">
        <w:rPr>
          <w:rFonts w:asciiTheme="majorBidi" w:hAnsiTheme="majorBidi" w:cstheme="majorBidi"/>
          <w:i/>
          <w:iCs/>
          <w:color w:val="000000" w:themeColor="text1"/>
          <w:lang w:bidi="fa-IR"/>
        </w:rPr>
        <w:t>C</w:t>
      </w:r>
      <w:r w:rsidRPr="00447599">
        <w:rPr>
          <w:rFonts w:asciiTheme="majorBidi" w:hAnsiTheme="majorBidi" w:cstheme="majorBidi"/>
          <w:i/>
          <w:iCs/>
          <w:color w:val="000000" w:themeColor="text1"/>
          <w:vertAlign w:val="subscript"/>
          <w:lang w:bidi="fa-IR"/>
        </w:rPr>
        <w:t>free</w:t>
      </w:r>
      <w:r w:rsidRPr="00447599">
        <w:rPr>
          <w:rFonts w:asciiTheme="majorBidi" w:hAnsiTheme="majorBidi" w:cstheme="majorBidi"/>
          <w:color w:val="000000" w:themeColor="text1"/>
          <w:vertAlign w:val="subscript"/>
          <w:lang w:bidi="fa-IR"/>
        </w:rPr>
        <w:t>,</w:t>
      </w:r>
      <w:r w:rsidRPr="00447599">
        <w:rPr>
          <w:rFonts w:asciiTheme="majorBidi" w:hAnsiTheme="majorBidi" w:cstheme="majorBidi"/>
          <w:i/>
          <w:iCs/>
          <w:color w:val="000000" w:themeColor="text1"/>
          <w:vertAlign w:val="subscript"/>
          <w:lang w:bidi="fa-IR"/>
        </w:rPr>
        <w:t xml:space="preserve"> initial</w:t>
      </w:r>
      <w:r w:rsidRPr="00447599">
        <w:rPr>
          <w:rFonts w:asciiTheme="majorBidi" w:hAnsiTheme="majorBidi" w:cstheme="majorBidi"/>
          <w:color w:val="000000" w:themeColor="text1"/>
        </w:rPr>
        <w:t xml:space="preserve">. The obtained partitioning coefficient </w:t>
      </w:r>
      <w:r w:rsidRPr="00447599">
        <w:rPr>
          <w:rFonts w:ascii="Times" w:hAnsi="Times" w:cstheme="majorBidi"/>
          <w:color w:val="000000" w:themeColor="text1"/>
        </w:rPr>
        <w:t>(</w:t>
      </w:r>
      <w:r w:rsidRPr="00447599">
        <w:rPr>
          <w:rFonts w:ascii="Times" w:hAnsi="Times" w:cstheme="majorBidi"/>
          <w:i/>
          <w:iCs/>
          <w:color w:val="000000" w:themeColor="text1"/>
          <w:lang w:bidi="fa-IR"/>
        </w:rPr>
        <w:t>K</w:t>
      </w:r>
      <w:r w:rsidRPr="00447599">
        <w:rPr>
          <w:rFonts w:ascii="Times" w:hAnsi="Times" w:cstheme="majorBidi"/>
          <w:i/>
          <w:iCs/>
          <w:color w:val="000000" w:themeColor="text1"/>
          <w:vertAlign w:val="subscript"/>
          <w:lang w:bidi="fa-IR"/>
        </w:rPr>
        <w:t>Oring:SSM</w:t>
      </w:r>
      <w:r w:rsidRPr="00447599">
        <w:rPr>
          <w:rFonts w:ascii="Times" w:hAnsi="Times" w:cstheme="majorBidi"/>
          <w:color w:val="000000" w:themeColor="text1"/>
        </w:rPr>
        <w:t>) was applied to calculate the required O-ring volume to avoid depletion (&lt; 5%) using Eq.(2)</w:t>
      </w:r>
    </w:p>
    <w:p w14:paraId="5543568E" w14:textId="77777777" w:rsidR="009F26AC" w:rsidRPr="00447599" w:rsidRDefault="00F24CA7" w:rsidP="003340EF">
      <w:pPr>
        <w:spacing w:line="276" w:lineRule="auto"/>
        <w:jc w:val="both"/>
        <w:rPr>
          <w:rFonts w:ascii="Times" w:hAnsi="Times" w:cstheme="majorBidi"/>
          <w:color w:val="000000" w:themeColor="text1"/>
        </w:rPr>
      </w:pPr>
      <m:oMath>
        <m:sSub>
          <m:sSubPr>
            <m:ctrlPr>
              <w:rPr>
                <w:rFonts w:ascii="Cambria Math" w:hAnsi="Cambria Math" w:cstheme="majorBidi"/>
                <w:i/>
                <w:color w:val="000000" w:themeColor="text1"/>
              </w:rPr>
            </m:ctrlPr>
          </m:sSubPr>
          <m:e>
            <m:r>
              <w:rPr>
                <w:rFonts w:ascii="Cambria Math" w:hAnsi="Cambria Math" w:cstheme="majorBidi"/>
                <w:color w:val="000000" w:themeColor="text1"/>
              </w:rPr>
              <m:t>V</m:t>
            </m:r>
          </m:e>
          <m:sub>
            <m:r>
              <w:rPr>
                <w:rFonts w:ascii="Cambria Math" w:hAnsi="Cambria Math" w:cstheme="majorBidi"/>
                <w:color w:val="000000" w:themeColor="text1"/>
              </w:rPr>
              <m:t>Oring</m:t>
            </m:r>
          </m:sub>
        </m:sSub>
        <m:r>
          <w:rPr>
            <w:rFonts w:ascii="Cambria Math" w:hAnsi="Cambria Math" w:cstheme="majorBidi"/>
            <w:color w:val="000000" w:themeColor="text1"/>
          </w:rPr>
          <m:t>=</m:t>
        </m:r>
        <m:f>
          <m:fPr>
            <m:ctrlPr>
              <w:rPr>
                <w:rFonts w:ascii="Cambria Math" w:hAnsi="Cambria Math" w:cstheme="majorBidi"/>
                <w:i/>
                <w:color w:val="000000" w:themeColor="text1"/>
              </w:rPr>
            </m:ctrlPr>
          </m:fPr>
          <m:num>
            <m:sSub>
              <m:sSubPr>
                <m:ctrlPr>
                  <w:rPr>
                    <w:rFonts w:ascii="Cambria Math" w:hAnsi="Cambria Math" w:cstheme="majorBidi"/>
                    <w:i/>
                    <w:color w:val="000000" w:themeColor="text1"/>
                  </w:rPr>
                </m:ctrlPr>
              </m:sSubPr>
              <m:e>
                <m:r>
                  <w:rPr>
                    <w:rFonts w:ascii="Cambria Math" w:hAnsi="Cambria Math" w:cstheme="majorBidi"/>
                    <w:color w:val="000000" w:themeColor="text1"/>
                  </w:rPr>
                  <m:t>V</m:t>
                </m:r>
              </m:e>
              <m:sub>
                <m:r>
                  <w:rPr>
                    <w:rFonts w:ascii="Cambria Math" w:hAnsi="Cambria Math" w:cstheme="majorBidi"/>
                    <w:color w:val="000000" w:themeColor="text1"/>
                  </w:rPr>
                  <m:t>MSM</m:t>
                </m:r>
              </m:sub>
            </m:sSub>
          </m:num>
          <m:den>
            <m:sSub>
              <m:sSubPr>
                <m:ctrlPr>
                  <w:rPr>
                    <w:rFonts w:ascii="Cambria Math" w:hAnsi="Cambria Math" w:cstheme="majorBidi"/>
                    <w:i/>
                    <w:color w:val="000000" w:themeColor="text1"/>
                  </w:rPr>
                </m:ctrlPr>
              </m:sSubPr>
              <m:e>
                <m:r>
                  <w:rPr>
                    <w:rFonts w:ascii="Cambria Math" w:hAnsi="Cambria Math" w:cstheme="majorBidi"/>
                    <w:color w:val="000000" w:themeColor="text1"/>
                  </w:rPr>
                  <m:t>0.05*K</m:t>
                </m:r>
              </m:e>
              <m:sub>
                <m:r>
                  <w:rPr>
                    <w:rFonts w:ascii="Cambria Math" w:hAnsi="Cambria Math" w:cstheme="majorBidi"/>
                    <w:color w:val="000000" w:themeColor="text1"/>
                  </w:rPr>
                  <m:t xml:space="preserve">Oring:SSM </m:t>
                </m:r>
              </m:sub>
            </m:sSub>
          </m:den>
        </m:f>
        <m:r>
          <m:rPr>
            <m:sty m:val="p"/>
          </m:rPr>
          <w:rPr>
            <w:rFonts w:ascii="Cambria Math" w:hAnsi="Cambria Math" w:cstheme="majorBidi"/>
            <w:color w:val="000000" w:themeColor="text1"/>
          </w:rPr>
          <m:t xml:space="preserve">    </m:t>
        </m:r>
      </m:oMath>
      <w:r w:rsidR="009F26AC" w:rsidRPr="00447599">
        <w:rPr>
          <w:rFonts w:ascii="Times" w:hAnsi="Times" w:cstheme="majorBidi"/>
          <w:color w:val="000000" w:themeColor="text1"/>
        </w:rPr>
        <w:t xml:space="preserve">                                                                                          (2)</w:t>
      </w:r>
    </w:p>
    <w:p w14:paraId="135C577C" w14:textId="46BFDEE1" w:rsidR="009F26AC" w:rsidRPr="00447599" w:rsidRDefault="009F26AC" w:rsidP="003340EF">
      <w:pPr>
        <w:spacing w:line="276" w:lineRule="auto"/>
        <w:jc w:val="both"/>
        <w:rPr>
          <w:rFonts w:ascii="Times" w:hAnsi="Times" w:cstheme="majorBidi"/>
          <w:color w:val="000000" w:themeColor="text1"/>
          <w:lang w:bidi="fa-IR"/>
        </w:rPr>
      </w:pPr>
      <w:r w:rsidRPr="00447599">
        <w:rPr>
          <w:rFonts w:ascii="Times" w:hAnsi="Times" w:cstheme="majorBidi"/>
          <w:color w:val="000000" w:themeColor="text1"/>
          <w:lang w:bidi="fa-IR"/>
        </w:rPr>
        <w:t>With a 5 mL SSM and partitioning coefficients from Table.</w:t>
      </w:r>
      <w:r w:rsidR="00106EC7" w:rsidRPr="00447599">
        <w:rPr>
          <w:rFonts w:ascii="Times" w:hAnsi="Times" w:cstheme="majorBidi"/>
          <w:color w:val="000000" w:themeColor="text1"/>
          <w:lang w:bidi="fa-IR"/>
        </w:rPr>
        <w:t>S2</w:t>
      </w:r>
      <w:r w:rsidRPr="00447599">
        <w:rPr>
          <w:rFonts w:ascii="Times" w:hAnsi="Times" w:cstheme="majorBidi"/>
          <w:color w:val="000000" w:themeColor="text1"/>
          <w:lang w:bidi="fa-IR"/>
        </w:rPr>
        <w:t>, the O-ring volume needed for each PAH and PAH mixture were determined (Table.</w:t>
      </w:r>
      <w:r w:rsidR="00106EC7" w:rsidRPr="00447599">
        <w:rPr>
          <w:rFonts w:ascii="Times" w:hAnsi="Times" w:cstheme="majorBidi"/>
          <w:color w:val="000000" w:themeColor="text1"/>
          <w:lang w:bidi="fa-IR"/>
        </w:rPr>
        <w:t>S2</w:t>
      </w:r>
      <w:r w:rsidRPr="00447599">
        <w:rPr>
          <w:rFonts w:ascii="Times" w:hAnsi="Times" w:cstheme="majorBidi"/>
          <w:color w:val="000000" w:themeColor="text1"/>
          <w:lang w:bidi="fa-IR"/>
        </w:rPr>
        <w:t>). The initial concentrations of freely dissolved PAHs (</w:t>
      </w:r>
      <w:r w:rsidRPr="00447599">
        <w:rPr>
          <w:rFonts w:ascii="Times" w:hAnsi="Times" w:cstheme="majorBidi"/>
          <w:i/>
          <w:iCs/>
          <w:color w:val="000000" w:themeColor="text1"/>
          <w:lang w:bidi="fa-IR"/>
        </w:rPr>
        <w:t>C</w:t>
      </w:r>
      <w:r w:rsidRPr="00447599">
        <w:rPr>
          <w:rFonts w:ascii="Times" w:hAnsi="Times" w:cstheme="majorBidi"/>
          <w:i/>
          <w:iCs/>
          <w:color w:val="000000" w:themeColor="text1"/>
          <w:vertAlign w:val="subscript"/>
          <w:lang w:bidi="fa-IR"/>
        </w:rPr>
        <w:t>free initial</w:t>
      </w:r>
      <w:r w:rsidRPr="00447599">
        <w:rPr>
          <w:rFonts w:ascii="Times" w:hAnsi="Times" w:cstheme="majorBidi"/>
          <w:color w:val="000000" w:themeColor="text1"/>
          <w:lang w:bidi="fa-IR"/>
        </w:rPr>
        <w:t xml:space="preserve">) and </w:t>
      </w:r>
      <w:r w:rsidRPr="00447599">
        <w:rPr>
          <w:rFonts w:ascii="Times" w:hAnsi="Times" w:cstheme="majorBidi"/>
          <w:color w:val="000000" w:themeColor="text1"/>
        </w:rPr>
        <w:t>O-ring concentrations</w:t>
      </w:r>
      <w:r w:rsidRPr="00447599">
        <w:rPr>
          <w:rFonts w:ascii="Times" w:hAnsi="Times" w:cstheme="majorBidi"/>
          <w:color w:val="000000" w:themeColor="text1"/>
          <w:lang w:bidi="fa-IR"/>
        </w:rPr>
        <w:t xml:space="preserve"> (</w:t>
      </w:r>
      <w:r w:rsidRPr="00447599">
        <w:rPr>
          <w:rFonts w:ascii="Times" w:hAnsi="Times" w:cstheme="majorBidi"/>
          <w:i/>
          <w:iCs/>
          <w:color w:val="000000" w:themeColor="text1"/>
          <w:lang w:bidi="fa-IR"/>
        </w:rPr>
        <w:t>C</w:t>
      </w:r>
      <w:r w:rsidRPr="00447599">
        <w:rPr>
          <w:rFonts w:ascii="Times" w:hAnsi="Times" w:cstheme="majorBidi"/>
          <w:i/>
          <w:iCs/>
          <w:color w:val="000000" w:themeColor="text1"/>
          <w:vertAlign w:val="subscript"/>
          <w:lang w:bidi="fa-IR"/>
        </w:rPr>
        <w:t>test</w:t>
      </w:r>
      <w:r w:rsidRPr="00447599">
        <w:rPr>
          <w:rFonts w:ascii="Times" w:hAnsi="Times" w:cstheme="majorBidi"/>
          <w:color w:val="000000" w:themeColor="text1"/>
          <w:lang w:bidi="fa-IR"/>
        </w:rPr>
        <w:t xml:space="preserve">) in medium samples were calculated via the approach published by Butler et.al (2013). </w:t>
      </w:r>
      <w:r w:rsidRPr="00447599">
        <w:rPr>
          <w:rFonts w:ascii="Times" w:hAnsi="Times" w:cstheme="majorBidi"/>
          <w:color w:val="000000" w:themeColor="text1"/>
          <w:lang w:bidi="fa-IR"/>
        </w:rPr>
        <w:fldChar w:fldCharType="begin"/>
      </w:r>
      <w:r w:rsidR="00017A0C" w:rsidRPr="00447599">
        <w:rPr>
          <w:rFonts w:ascii="Times" w:hAnsi="Times" w:cstheme="majorBidi"/>
          <w:color w:val="000000" w:themeColor="text1"/>
          <w:lang w:bidi="fa-IR"/>
        </w:rPr>
        <w:instrText xml:space="preserve"> ADDIN EN.CITE &lt;EndNote&gt;&lt;Cite&gt;&lt;Author&gt;Butler&lt;/Author&gt;&lt;Year&gt;2013&lt;/Year&gt;&lt;RecNum&gt;104&lt;/RecNum&gt;&lt;DisplayText&gt;&lt;style face="superscript"&gt;17&lt;/style&gt;&lt;/DisplayText&gt;&lt;record&gt;&lt;rec-number&gt;104&lt;/rec-number&gt;&lt;foreign-keys&gt;&lt;key app="EN" db-id="fw0pwwe0dwvwvmedstoxs906drsw2awepzsx" timestamp="1635368543"&gt;104&lt;/key&gt;&lt;/foreign-keys&gt;&lt;ref-type name="Journal Article"&gt;17&lt;/ref-type&gt;&lt;contributors&gt;&lt;authors&gt;&lt;author&gt;Butler, Josh D&lt;/author&gt;&lt;author&gt;Parkerton, Thomas F&lt;/author&gt;&lt;author&gt;Letinski, Daniel J&lt;/author&gt;&lt;author&gt;Bragin, Gail E&lt;/author&gt;&lt;author&gt;Lampi, Mark A&lt;/author&gt;&lt;author&gt;Cooper, Keith R&lt;/author&gt;&lt;/authors&gt;&lt;/contributors&gt;&lt;titles&gt;&lt;title&gt;A novel passive dosing system for determining the toxicity of phenanthrene to early life stages of zebrafish&lt;/title&gt;&lt;secondary-title&gt;Science of the Total Environment&lt;/secondary-title&gt;&lt;/titles&gt;&lt;periodical&gt;&lt;full-title&gt;Science of The Total Environment&lt;/full-title&gt;&lt;/periodical&gt;&lt;pages&gt;952-958&lt;/pages&gt;&lt;volume&gt;463&lt;/volume&gt;&lt;dates&gt;&lt;year&gt;2013&lt;/year&gt;&lt;/dates&gt;&lt;isbn&gt;0048-9697&lt;/isbn&gt;&lt;urls&gt;&lt;/urls&gt;&lt;/record&gt;&lt;/Cite&gt;&lt;/EndNote&gt;</w:instrText>
      </w:r>
      <w:r w:rsidRPr="00447599">
        <w:rPr>
          <w:rFonts w:ascii="Times" w:hAnsi="Times" w:cstheme="majorBidi"/>
          <w:color w:val="000000" w:themeColor="text1"/>
          <w:lang w:bidi="fa-IR"/>
        </w:rPr>
        <w:fldChar w:fldCharType="separate"/>
      </w:r>
      <w:r w:rsidR="00017A0C" w:rsidRPr="00447599">
        <w:rPr>
          <w:rFonts w:ascii="Times" w:hAnsi="Times" w:cstheme="majorBidi"/>
          <w:noProof/>
          <w:color w:val="000000" w:themeColor="text1"/>
          <w:vertAlign w:val="superscript"/>
          <w:lang w:bidi="fa-IR"/>
        </w:rPr>
        <w:t>17</w:t>
      </w:r>
      <w:r w:rsidRPr="00447599">
        <w:rPr>
          <w:rFonts w:ascii="Times" w:hAnsi="Times" w:cstheme="majorBidi"/>
          <w:color w:val="000000" w:themeColor="text1"/>
          <w:lang w:bidi="fa-IR"/>
        </w:rPr>
        <w:fldChar w:fldCharType="end"/>
      </w:r>
      <w:r w:rsidRPr="00447599">
        <w:rPr>
          <w:rFonts w:ascii="Times" w:hAnsi="Times" w:cstheme="majorBidi"/>
          <w:color w:val="000000" w:themeColor="text1"/>
          <w:lang w:bidi="fa-IR"/>
        </w:rPr>
        <w:t xml:space="preserve"> Finally, for the determination of the losses, freely dissolved concentrations of PAHs were directly measured in medium samples to compare with calculated </w:t>
      </w:r>
      <w:r w:rsidRPr="00447599">
        <w:rPr>
          <w:rFonts w:ascii="Times" w:hAnsi="Times" w:cstheme="majorBidi"/>
          <w:i/>
          <w:iCs/>
          <w:color w:val="000000" w:themeColor="text1"/>
          <w:lang w:bidi="fa-IR"/>
        </w:rPr>
        <w:t>C</w:t>
      </w:r>
      <w:r w:rsidRPr="00447599">
        <w:rPr>
          <w:rFonts w:ascii="Times" w:hAnsi="Times" w:cstheme="majorBidi"/>
          <w:i/>
          <w:iCs/>
          <w:color w:val="000000" w:themeColor="text1"/>
          <w:vertAlign w:val="subscript"/>
          <w:lang w:bidi="fa-IR"/>
        </w:rPr>
        <w:t>free initial</w:t>
      </w:r>
      <w:r w:rsidRPr="00447599">
        <w:rPr>
          <w:rFonts w:ascii="Times" w:hAnsi="Times" w:cstheme="majorBidi"/>
          <w:color w:val="000000" w:themeColor="text1"/>
          <w:lang w:bidi="fa-IR"/>
        </w:rPr>
        <w:t xml:space="preserve">. </w:t>
      </w:r>
    </w:p>
    <w:p w14:paraId="5894F7FA" w14:textId="77777777" w:rsidR="009F26AC" w:rsidRPr="00447599" w:rsidRDefault="009F26AC" w:rsidP="003340EF">
      <w:pPr>
        <w:spacing w:line="276" w:lineRule="auto"/>
        <w:jc w:val="both"/>
        <w:rPr>
          <w:rFonts w:ascii="Times" w:hAnsi="Times" w:cstheme="majorBidi"/>
          <w:color w:val="000000" w:themeColor="text1"/>
          <w:lang w:bidi="fa-IR"/>
        </w:rPr>
      </w:pPr>
      <w:r w:rsidRPr="00447599">
        <w:rPr>
          <w:rFonts w:ascii="Times" w:hAnsi="Times" w:cstheme="majorBidi"/>
          <w:color w:val="000000" w:themeColor="text1"/>
          <w:lang w:bidi="fa-IR"/>
        </w:rPr>
        <w:t xml:space="preserve">Two controls were included to study biodegradation versus dissolved concentrations.  First control contained 5 mL of strain inoculating suspension in passive doing vials with O-rings to account for losses through biodegradation. Second control contained 5 mL of SSM without any strain in passive dosing vials in the presence of O-ring loaded with PAHs to account for losses through volatilization. </w:t>
      </w:r>
    </w:p>
    <w:p w14:paraId="36453BF9" w14:textId="139E0B70" w:rsidR="00324D2C" w:rsidRPr="00447599" w:rsidRDefault="009F26AC" w:rsidP="003340EF">
      <w:pPr>
        <w:spacing w:line="276" w:lineRule="auto"/>
        <w:jc w:val="both"/>
        <w:rPr>
          <w:rFonts w:ascii="Times" w:hAnsi="Times" w:cstheme="majorBidi"/>
        </w:rPr>
        <w:sectPr w:rsidR="00324D2C" w:rsidRPr="00447599" w:rsidSect="008F5E50">
          <w:pgSz w:w="12240" w:h="15840"/>
          <w:pgMar w:top="1440" w:right="1440" w:bottom="1440" w:left="1440" w:header="720" w:footer="720" w:gutter="0"/>
          <w:lnNumType w:countBy="1" w:restart="continuous"/>
          <w:cols w:space="720"/>
          <w:docGrid w:linePitch="360"/>
        </w:sectPr>
      </w:pPr>
      <w:r w:rsidRPr="00447599">
        <w:rPr>
          <w:rFonts w:asciiTheme="majorBidi" w:hAnsiTheme="majorBidi" w:cstheme="majorBidi"/>
          <w:lang w:bidi="fa-IR"/>
        </w:rPr>
        <w:t>Table.S</w:t>
      </w:r>
      <w:r w:rsidR="00F9691D" w:rsidRPr="00447599">
        <w:rPr>
          <w:rFonts w:asciiTheme="majorBidi" w:hAnsiTheme="majorBidi" w:cstheme="majorBidi"/>
          <w:lang w:bidi="fa-IR"/>
        </w:rPr>
        <w:t>2</w:t>
      </w:r>
      <w:r w:rsidRPr="00447599">
        <w:rPr>
          <w:rFonts w:asciiTheme="majorBidi" w:hAnsiTheme="majorBidi" w:cstheme="majorBidi"/>
          <w:lang w:bidi="fa-IR"/>
        </w:rPr>
        <w:t xml:space="preserve"> shows the partition coefficients obtained from measured PAH concentrations in loading solution, MSM and O-ring. The losses of </w:t>
      </w:r>
      <w:r w:rsidRPr="00447599">
        <w:rPr>
          <w:rFonts w:asciiTheme="majorBidi" w:hAnsiTheme="majorBidi" w:cstheme="majorBidi"/>
        </w:rPr>
        <w:t xml:space="preserve">naphthalene, anthracene, </w:t>
      </w:r>
      <w:r w:rsidRPr="00447599">
        <w:rPr>
          <w:rFonts w:ascii="Times" w:hAnsi="Times" w:cstheme="majorBidi"/>
        </w:rPr>
        <w:t xml:space="preserve">phenanthrene, and pyrene through volatilization for control 1 were 19, 4, 0 and 0 %, respectively. </w:t>
      </w:r>
    </w:p>
    <w:p w14:paraId="65FA1A0B" w14:textId="176C715A" w:rsidR="009F26AC" w:rsidRPr="00447599" w:rsidRDefault="009F26AC" w:rsidP="003340EF">
      <w:pPr>
        <w:spacing w:line="276" w:lineRule="auto"/>
        <w:jc w:val="both"/>
        <w:rPr>
          <w:rFonts w:ascii="Times" w:hAnsi="Times" w:cstheme="majorBidi"/>
        </w:rPr>
      </w:pPr>
    </w:p>
    <w:p w14:paraId="46C60B3C" w14:textId="77777777" w:rsidR="009F26AC" w:rsidRPr="00447599" w:rsidRDefault="009F26AC" w:rsidP="003340EF">
      <w:pPr>
        <w:spacing w:line="276" w:lineRule="auto"/>
        <w:jc w:val="both"/>
        <w:rPr>
          <w:rFonts w:ascii="Times" w:hAnsi="Times" w:cstheme="majorBidi"/>
        </w:rPr>
      </w:pPr>
    </w:p>
    <w:p w14:paraId="36A9E493" w14:textId="6EFBD764" w:rsidR="009F26AC" w:rsidRPr="00447599" w:rsidRDefault="009F26AC" w:rsidP="003340EF">
      <w:pPr>
        <w:spacing w:line="276" w:lineRule="auto"/>
        <w:jc w:val="both"/>
        <w:rPr>
          <w:rFonts w:ascii="Times" w:hAnsi="Times" w:cstheme="majorBidi"/>
          <w:color w:val="000000" w:themeColor="text1"/>
          <w:sz w:val="22"/>
          <w:szCs w:val="22"/>
          <w:lang w:val="en-CA"/>
        </w:rPr>
      </w:pPr>
      <w:r w:rsidRPr="00447599">
        <w:rPr>
          <w:rFonts w:ascii="Times" w:hAnsi="Times" w:cstheme="majorBidi"/>
          <w:color w:val="000000" w:themeColor="text1"/>
          <w:sz w:val="22"/>
          <w:szCs w:val="22"/>
          <w:lang w:val="en-CA"/>
        </w:rPr>
        <w:t>Table S</w:t>
      </w:r>
      <w:r w:rsidR="00F9691D" w:rsidRPr="00447599">
        <w:rPr>
          <w:rFonts w:ascii="Times" w:hAnsi="Times" w:cstheme="majorBidi"/>
          <w:color w:val="000000" w:themeColor="text1"/>
          <w:sz w:val="22"/>
          <w:szCs w:val="22"/>
          <w:lang w:val="en-CA"/>
        </w:rPr>
        <w:t>2</w:t>
      </w:r>
      <w:r w:rsidRPr="00447599">
        <w:rPr>
          <w:rFonts w:ascii="Times" w:hAnsi="Times" w:cstheme="majorBidi"/>
          <w:color w:val="000000" w:themeColor="text1"/>
          <w:sz w:val="22"/>
          <w:szCs w:val="22"/>
          <w:lang w:val="en-CA"/>
        </w:rPr>
        <w:t xml:space="preserve">. </w:t>
      </w:r>
      <w:r w:rsidRPr="00447599">
        <w:rPr>
          <w:rFonts w:ascii="Calibri" w:hAnsi="Calibri" w:cs="Calibri"/>
          <w:color w:val="000000" w:themeColor="text1"/>
          <w:sz w:val="22"/>
          <w:szCs w:val="22"/>
          <w:lang w:val="en-CA"/>
        </w:rPr>
        <w:t>﻿</w:t>
      </w:r>
      <w:r w:rsidRPr="00447599">
        <w:rPr>
          <w:rFonts w:ascii="Times" w:hAnsi="Times" w:cstheme="majorBidi"/>
          <w:color w:val="000000" w:themeColor="text1"/>
          <w:sz w:val="22"/>
          <w:szCs w:val="22"/>
          <w:lang w:val="en-CA"/>
        </w:rPr>
        <w:t>Octanol-water coefficients (log K</w:t>
      </w:r>
      <w:r w:rsidRPr="00447599">
        <w:rPr>
          <w:rFonts w:ascii="Times" w:hAnsi="Times" w:cstheme="majorBidi"/>
          <w:color w:val="000000" w:themeColor="text1"/>
          <w:sz w:val="22"/>
          <w:szCs w:val="22"/>
          <w:vertAlign w:val="subscript"/>
          <w:lang w:val="en-CA"/>
        </w:rPr>
        <w:t>OW</w:t>
      </w:r>
      <w:r w:rsidRPr="00447599">
        <w:rPr>
          <w:rFonts w:ascii="Times" w:hAnsi="Times" w:cstheme="majorBidi"/>
          <w:color w:val="000000" w:themeColor="text1"/>
          <w:sz w:val="22"/>
          <w:szCs w:val="22"/>
          <w:lang w:val="en-CA"/>
        </w:rPr>
        <w:t>) and solubilities for PAHs in MSM. Also initial concentrations in solution and O-ring as well as the obtained partitioning coefficients for O-ring and MSM</w:t>
      </w:r>
    </w:p>
    <w:tbl>
      <w:tblPr>
        <w:tblW w:w="13380" w:type="dxa"/>
        <w:jc w:val="center"/>
        <w:tblLook w:val="04A0" w:firstRow="1" w:lastRow="0" w:firstColumn="1" w:lastColumn="0" w:noHBand="0" w:noVBand="1"/>
      </w:tblPr>
      <w:tblGrid>
        <w:gridCol w:w="1580"/>
        <w:gridCol w:w="1300"/>
        <w:gridCol w:w="2760"/>
        <w:gridCol w:w="1940"/>
        <w:gridCol w:w="2000"/>
        <w:gridCol w:w="1560"/>
        <w:gridCol w:w="2240"/>
      </w:tblGrid>
      <w:tr w:rsidR="009F26AC" w:rsidRPr="00447599" w14:paraId="2B1E3F55" w14:textId="77777777" w:rsidTr="00324D2C">
        <w:trPr>
          <w:trHeight w:val="560"/>
          <w:jc w:val="center"/>
        </w:trPr>
        <w:tc>
          <w:tcPr>
            <w:tcW w:w="1580" w:type="dxa"/>
            <w:tcBorders>
              <w:top w:val="single" w:sz="4" w:space="0" w:color="auto"/>
              <w:left w:val="nil"/>
              <w:bottom w:val="nil"/>
              <w:right w:val="nil"/>
            </w:tcBorders>
            <w:noWrap/>
            <w:vAlign w:val="bottom"/>
            <w:hideMark/>
          </w:tcPr>
          <w:p w14:paraId="2EB2A4D5"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 </w:t>
            </w:r>
          </w:p>
        </w:tc>
        <w:tc>
          <w:tcPr>
            <w:tcW w:w="1300" w:type="dxa"/>
            <w:tcBorders>
              <w:top w:val="single" w:sz="4" w:space="0" w:color="auto"/>
              <w:left w:val="nil"/>
              <w:bottom w:val="single" w:sz="4" w:space="0" w:color="auto"/>
              <w:right w:val="nil"/>
            </w:tcBorders>
            <w:noWrap/>
            <w:vAlign w:val="center"/>
            <w:hideMark/>
          </w:tcPr>
          <w:p w14:paraId="166A5985"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Log K</w:t>
            </w:r>
            <w:r w:rsidRPr="00447599">
              <w:rPr>
                <w:rFonts w:ascii="Times Roman" w:hAnsi="Times Roman" w:cs="Calibri"/>
                <w:color w:val="000000"/>
                <w:sz w:val="22"/>
                <w:szCs w:val="22"/>
                <w:vertAlign w:val="subscript"/>
              </w:rPr>
              <w:t>ow</w:t>
            </w:r>
          </w:p>
        </w:tc>
        <w:tc>
          <w:tcPr>
            <w:tcW w:w="2760" w:type="dxa"/>
            <w:tcBorders>
              <w:top w:val="single" w:sz="4" w:space="0" w:color="auto"/>
              <w:left w:val="nil"/>
              <w:bottom w:val="single" w:sz="4" w:space="0" w:color="auto"/>
              <w:right w:val="nil"/>
            </w:tcBorders>
            <w:noWrap/>
            <w:vAlign w:val="center"/>
            <w:hideMark/>
          </w:tcPr>
          <w:p w14:paraId="08F90A81"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C</w:t>
            </w:r>
            <w:r w:rsidRPr="00447599">
              <w:rPr>
                <w:rFonts w:ascii="Times Roman" w:hAnsi="Times Roman" w:cs="Calibri"/>
                <w:color w:val="000000"/>
                <w:sz w:val="22"/>
                <w:szCs w:val="22"/>
                <w:vertAlign w:val="subscript"/>
              </w:rPr>
              <w:t>MSM</w:t>
            </w:r>
            <w:r w:rsidRPr="00447599">
              <w:rPr>
                <w:rFonts w:ascii="Times Roman" w:hAnsi="Times Roman" w:cs="Calibri"/>
                <w:color w:val="000000"/>
                <w:sz w:val="22"/>
                <w:szCs w:val="22"/>
              </w:rPr>
              <w:t xml:space="preserve"> mg/L</w:t>
            </w:r>
          </w:p>
        </w:tc>
        <w:tc>
          <w:tcPr>
            <w:tcW w:w="1940" w:type="dxa"/>
            <w:tcBorders>
              <w:top w:val="single" w:sz="4" w:space="0" w:color="auto"/>
              <w:left w:val="nil"/>
              <w:bottom w:val="single" w:sz="4" w:space="0" w:color="auto"/>
              <w:right w:val="nil"/>
            </w:tcBorders>
            <w:noWrap/>
            <w:vAlign w:val="center"/>
            <w:hideMark/>
          </w:tcPr>
          <w:p w14:paraId="55149967"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C</w:t>
            </w:r>
            <w:r w:rsidRPr="00447599">
              <w:rPr>
                <w:rFonts w:ascii="Times Roman" w:hAnsi="Times Roman" w:cs="Calibri"/>
                <w:color w:val="000000"/>
                <w:sz w:val="22"/>
                <w:szCs w:val="22"/>
                <w:vertAlign w:val="subscript"/>
              </w:rPr>
              <w:t>test initial</w:t>
            </w:r>
            <w:r w:rsidRPr="00447599">
              <w:rPr>
                <w:rFonts w:ascii="Times Roman" w:hAnsi="Times Roman" w:cs="Calibri"/>
                <w:color w:val="000000"/>
                <w:sz w:val="22"/>
                <w:szCs w:val="22"/>
              </w:rPr>
              <w:t xml:space="preserve"> mg/L</w:t>
            </w:r>
          </w:p>
        </w:tc>
        <w:tc>
          <w:tcPr>
            <w:tcW w:w="2000" w:type="dxa"/>
            <w:tcBorders>
              <w:top w:val="single" w:sz="4" w:space="0" w:color="auto"/>
              <w:left w:val="nil"/>
              <w:bottom w:val="single" w:sz="4" w:space="0" w:color="auto"/>
              <w:right w:val="nil"/>
            </w:tcBorders>
            <w:noWrap/>
            <w:vAlign w:val="center"/>
            <w:hideMark/>
          </w:tcPr>
          <w:p w14:paraId="124DFA82"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C</w:t>
            </w:r>
            <w:r w:rsidRPr="00447599">
              <w:rPr>
                <w:rFonts w:ascii="Times Roman" w:hAnsi="Times Roman" w:cs="Calibri"/>
                <w:color w:val="000000"/>
                <w:sz w:val="22"/>
                <w:szCs w:val="22"/>
                <w:vertAlign w:val="subscript"/>
              </w:rPr>
              <w:t>free initial</w:t>
            </w:r>
            <w:r w:rsidRPr="00447599">
              <w:rPr>
                <w:rFonts w:ascii="Times Roman" w:hAnsi="Times Roman" w:cs="Calibri"/>
                <w:color w:val="000000"/>
                <w:sz w:val="22"/>
                <w:szCs w:val="22"/>
              </w:rPr>
              <w:t xml:space="preserve"> mg/L</w:t>
            </w:r>
          </w:p>
        </w:tc>
        <w:tc>
          <w:tcPr>
            <w:tcW w:w="1560" w:type="dxa"/>
            <w:tcBorders>
              <w:top w:val="single" w:sz="4" w:space="0" w:color="auto"/>
              <w:left w:val="nil"/>
              <w:bottom w:val="single" w:sz="4" w:space="0" w:color="auto"/>
              <w:right w:val="nil"/>
            </w:tcBorders>
            <w:noWrap/>
            <w:vAlign w:val="center"/>
            <w:hideMark/>
          </w:tcPr>
          <w:p w14:paraId="54900AE4"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C</w:t>
            </w:r>
            <w:r w:rsidRPr="00447599">
              <w:rPr>
                <w:rFonts w:ascii="Times Roman" w:hAnsi="Times Roman" w:cs="Calibri"/>
                <w:color w:val="000000"/>
                <w:sz w:val="22"/>
                <w:szCs w:val="22"/>
                <w:vertAlign w:val="subscript"/>
              </w:rPr>
              <w:t>free</w:t>
            </w:r>
            <w:r w:rsidRPr="00447599">
              <w:rPr>
                <w:rFonts w:ascii="Times Roman" w:hAnsi="Times Roman" w:cs="Calibri"/>
                <w:color w:val="000000"/>
                <w:sz w:val="22"/>
                <w:szCs w:val="22"/>
              </w:rPr>
              <w:t xml:space="preserve"> mg/L</w:t>
            </w:r>
          </w:p>
        </w:tc>
        <w:tc>
          <w:tcPr>
            <w:tcW w:w="2240" w:type="dxa"/>
            <w:tcBorders>
              <w:top w:val="single" w:sz="4" w:space="0" w:color="auto"/>
              <w:left w:val="nil"/>
              <w:bottom w:val="single" w:sz="4" w:space="0" w:color="auto"/>
              <w:right w:val="nil"/>
            </w:tcBorders>
            <w:noWrap/>
            <w:vAlign w:val="center"/>
            <w:hideMark/>
          </w:tcPr>
          <w:p w14:paraId="34FEB97A"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K</w:t>
            </w:r>
            <w:r w:rsidRPr="00447599">
              <w:rPr>
                <w:rFonts w:ascii="Times Roman" w:hAnsi="Times Roman" w:cs="Calibri"/>
                <w:color w:val="000000"/>
                <w:sz w:val="22"/>
                <w:szCs w:val="22"/>
                <w:vertAlign w:val="subscript"/>
              </w:rPr>
              <w:t xml:space="preserve">Oring:MSM </w:t>
            </w:r>
            <w:r w:rsidRPr="00447599">
              <w:rPr>
                <w:rFonts w:ascii="Times Roman" w:hAnsi="Times Roman" w:cs="Calibri"/>
                <w:color w:val="000000"/>
                <w:sz w:val="22"/>
                <w:szCs w:val="22"/>
              </w:rPr>
              <w:t>mg/L</w:t>
            </w:r>
          </w:p>
        </w:tc>
      </w:tr>
      <w:tr w:rsidR="009F26AC" w:rsidRPr="00447599" w14:paraId="33C7683D" w14:textId="77777777" w:rsidTr="00324D2C">
        <w:trPr>
          <w:trHeight w:val="320"/>
          <w:jc w:val="center"/>
        </w:trPr>
        <w:tc>
          <w:tcPr>
            <w:tcW w:w="1580" w:type="dxa"/>
            <w:noWrap/>
            <w:vAlign w:val="bottom"/>
            <w:hideMark/>
          </w:tcPr>
          <w:p w14:paraId="42707AB1"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Naphthalene</w:t>
            </w:r>
          </w:p>
        </w:tc>
        <w:tc>
          <w:tcPr>
            <w:tcW w:w="1300" w:type="dxa"/>
            <w:noWrap/>
            <w:vAlign w:val="bottom"/>
            <w:hideMark/>
          </w:tcPr>
          <w:p w14:paraId="701FB7D5"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3.37</w:t>
            </w:r>
          </w:p>
        </w:tc>
        <w:tc>
          <w:tcPr>
            <w:tcW w:w="2760" w:type="dxa"/>
            <w:noWrap/>
            <w:vAlign w:val="bottom"/>
            <w:hideMark/>
          </w:tcPr>
          <w:p w14:paraId="0BDC56ED"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20.52</w:t>
            </w:r>
          </w:p>
        </w:tc>
        <w:tc>
          <w:tcPr>
            <w:tcW w:w="1940" w:type="dxa"/>
            <w:noWrap/>
            <w:vAlign w:val="bottom"/>
            <w:hideMark/>
          </w:tcPr>
          <w:p w14:paraId="1EFF6EFB"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97.8</w:t>
            </w:r>
          </w:p>
        </w:tc>
        <w:tc>
          <w:tcPr>
            <w:tcW w:w="2000" w:type="dxa"/>
            <w:noWrap/>
            <w:vAlign w:val="bottom"/>
            <w:hideMark/>
          </w:tcPr>
          <w:p w14:paraId="48516574"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18.31</w:t>
            </w:r>
          </w:p>
        </w:tc>
        <w:tc>
          <w:tcPr>
            <w:tcW w:w="1560" w:type="dxa"/>
            <w:noWrap/>
            <w:vAlign w:val="bottom"/>
            <w:hideMark/>
          </w:tcPr>
          <w:p w14:paraId="75ADFDE9"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17.73</w:t>
            </w:r>
          </w:p>
        </w:tc>
        <w:tc>
          <w:tcPr>
            <w:tcW w:w="2240" w:type="dxa"/>
            <w:noWrap/>
            <w:vAlign w:val="bottom"/>
            <w:hideMark/>
          </w:tcPr>
          <w:p w14:paraId="2EF2CDA1"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1402</w:t>
            </w:r>
            <m:oMath>
              <m:r>
                <w:rPr>
                  <w:rFonts w:ascii="Cambria Math" w:hAnsi="Cambria Math" w:cs="Calibri"/>
                  <w:color w:val="000000"/>
                  <w:sz w:val="22"/>
                  <w:szCs w:val="22"/>
                </w:rPr>
                <m:t>±</m:t>
              </m:r>
            </m:oMath>
            <w:r w:rsidRPr="00447599">
              <w:rPr>
                <w:rFonts w:ascii="Times Roman" w:hAnsi="Times Roman" w:cs="Calibri"/>
                <w:color w:val="000000"/>
                <w:sz w:val="22"/>
                <w:szCs w:val="22"/>
              </w:rPr>
              <w:t>91</w:t>
            </w:r>
          </w:p>
        </w:tc>
      </w:tr>
      <w:tr w:rsidR="009F26AC" w:rsidRPr="00447599" w14:paraId="7648522C" w14:textId="77777777" w:rsidTr="00324D2C">
        <w:trPr>
          <w:trHeight w:val="320"/>
          <w:jc w:val="center"/>
        </w:trPr>
        <w:tc>
          <w:tcPr>
            <w:tcW w:w="1580" w:type="dxa"/>
            <w:noWrap/>
            <w:vAlign w:val="bottom"/>
            <w:hideMark/>
          </w:tcPr>
          <w:p w14:paraId="03F6C255"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Anthracene</w:t>
            </w:r>
          </w:p>
        </w:tc>
        <w:tc>
          <w:tcPr>
            <w:tcW w:w="1300" w:type="dxa"/>
            <w:noWrap/>
            <w:vAlign w:val="bottom"/>
            <w:hideMark/>
          </w:tcPr>
          <w:p w14:paraId="2C89E603"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3.92</w:t>
            </w:r>
          </w:p>
        </w:tc>
        <w:tc>
          <w:tcPr>
            <w:tcW w:w="2760" w:type="dxa"/>
            <w:noWrap/>
            <w:vAlign w:val="bottom"/>
            <w:hideMark/>
          </w:tcPr>
          <w:p w14:paraId="4149BE3B"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3.11</w:t>
            </w:r>
          </w:p>
        </w:tc>
        <w:tc>
          <w:tcPr>
            <w:tcW w:w="1940" w:type="dxa"/>
            <w:noWrap/>
            <w:vAlign w:val="bottom"/>
            <w:hideMark/>
          </w:tcPr>
          <w:p w14:paraId="4513BFAA"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94.1</w:t>
            </w:r>
          </w:p>
        </w:tc>
        <w:tc>
          <w:tcPr>
            <w:tcW w:w="2000" w:type="dxa"/>
            <w:noWrap/>
            <w:vAlign w:val="bottom"/>
            <w:hideMark/>
          </w:tcPr>
          <w:p w14:paraId="21ACBB9F"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2.98</w:t>
            </w:r>
          </w:p>
        </w:tc>
        <w:tc>
          <w:tcPr>
            <w:tcW w:w="1560" w:type="dxa"/>
            <w:noWrap/>
            <w:vAlign w:val="bottom"/>
            <w:hideMark/>
          </w:tcPr>
          <w:p w14:paraId="7AA67496"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2.66</w:t>
            </w:r>
          </w:p>
        </w:tc>
        <w:tc>
          <w:tcPr>
            <w:tcW w:w="2240" w:type="dxa"/>
            <w:noWrap/>
            <w:vAlign w:val="bottom"/>
            <w:hideMark/>
          </w:tcPr>
          <w:p w14:paraId="5ED396AD"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2559</w:t>
            </w:r>
            <m:oMath>
              <m:r>
                <w:rPr>
                  <w:rFonts w:ascii="Cambria Math" w:hAnsi="Cambria Math" w:cs="Calibri"/>
                  <w:color w:val="000000"/>
                  <w:sz w:val="22"/>
                  <w:szCs w:val="22"/>
                </w:rPr>
                <m:t>±442</m:t>
              </m:r>
            </m:oMath>
          </w:p>
        </w:tc>
      </w:tr>
      <w:tr w:rsidR="009F26AC" w:rsidRPr="00447599" w14:paraId="141D8B2F" w14:textId="77777777" w:rsidTr="00324D2C">
        <w:trPr>
          <w:trHeight w:val="320"/>
          <w:jc w:val="center"/>
        </w:trPr>
        <w:tc>
          <w:tcPr>
            <w:tcW w:w="1580" w:type="dxa"/>
            <w:noWrap/>
            <w:vAlign w:val="bottom"/>
            <w:hideMark/>
          </w:tcPr>
          <w:p w14:paraId="4F854E54"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Phenanthrene</w:t>
            </w:r>
          </w:p>
        </w:tc>
        <w:tc>
          <w:tcPr>
            <w:tcW w:w="1300" w:type="dxa"/>
            <w:noWrap/>
            <w:vAlign w:val="bottom"/>
            <w:hideMark/>
          </w:tcPr>
          <w:p w14:paraId="481ADF88"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4.57</w:t>
            </w:r>
          </w:p>
        </w:tc>
        <w:tc>
          <w:tcPr>
            <w:tcW w:w="2760" w:type="dxa"/>
            <w:noWrap/>
            <w:vAlign w:val="bottom"/>
            <w:hideMark/>
          </w:tcPr>
          <w:p w14:paraId="49FE3747"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1.04</w:t>
            </w:r>
          </w:p>
        </w:tc>
        <w:tc>
          <w:tcPr>
            <w:tcW w:w="1940" w:type="dxa"/>
            <w:noWrap/>
            <w:vAlign w:val="bottom"/>
            <w:hideMark/>
          </w:tcPr>
          <w:p w14:paraId="389B7496"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48.6</w:t>
            </w:r>
          </w:p>
        </w:tc>
        <w:tc>
          <w:tcPr>
            <w:tcW w:w="2000" w:type="dxa"/>
            <w:noWrap/>
            <w:vAlign w:val="bottom"/>
            <w:hideMark/>
          </w:tcPr>
          <w:p w14:paraId="3ED47782"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1.01</w:t>
            </w:r>
          </w:p>
        </w:tc>
        <w:tc>
          <w:tcPr>
            <w:tcW w:w="1560" w:type="dxa"/>
            <w:noWrap/>
            <w:vAlign w:val="bottom"/>
            <w:hideMark/>
          </w:tcPr>
          <w:p w14:paraId="77F987F8"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0.91</w:t>
            </w:r>
          </w:p>
        </w:tc>
        <w:tc>
          <w:tcPr>
            <w:tcW w:w="2240" w:type="dxa"/>
            <w:noWrap/>
            <w:vAlign w:val="bottom"/>
            <w:hideMark/>
          </w:tcPr>
          <w:p w14:paraId="3AE23BD1"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7420</w:t>
            </w:r>
            <m:oMath>
              <m:r>
                <w:rPr>
                  <w:rFonts w:ascii="Cambria Math" w:hAnsi="Cambria Math" w:cs="Calibri"/>
                  <w:color w:val="000000"/>
                  <w:sz w:val="22"/>
                  <w:szCs w:val="22"/>
                </w:rPr>
                <m:t>±</m:t>
              </m:r>
            </m:oMath>
            <w:r w:rsidRPr="00447599">
              <w:rPr>
                <w:rFonts w:ascii="Times Roman" w:hAnsi="Times Roman" w:cs="Calibri"/>
                <w:color w:val="000000"/>
                <w:sz w:val="22"/>
                <w:szCs w:val="22"/>
              </w:rPr>
              <w:t>110</w:t>
            </w:r>
          </w:p>
        </w:tc>
      </w:tr>
      <w:tr w:rsidR="009F26AC" w:rsidRPr="00447599" w14:paraId="513413F2" w14:textId="77777777" w:rsidTr="00324D2C">
        <w:trPr>
          <w:trHeight w:val="320"/>
          <w:jc w:val="center"/>
        </w:trPr>
        <w:tc>
          <w:tcPr>
            <w:tcW w:w="1580" w:type="dxa"/>
            <w:tcBorders>
              <w:top w:val="nil"/>
              <w:left w:val="nil"/>
              <w:bottom w:val="single" w:sz="4" w:space="0" w:color="auto"/>
              <w:right w:val="nil"/>
            </w:tcBorders>
            <w:noWrap/>
            <w:vAlign w:val="bottom"/>
            <w:hideMark/>
          </w:tcPr>
          <w:p w14:paraId="4C713DC6"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Pyrene</w:t>
            </w:r>
          </w:p>
        </w:tc>
        <w:tc>
          <w:tcPr>
            <w:tcW w:w="1300" w:type="dxa"/>
            <w:tcBorders>
              <w:top w:val="nil"/>
              <w:left w:val="nil"/>
              <w:bottom w:val="single" w:sz="4" w:space="0" w:color="auto"/>
              <w:right w:val="nil"/>
            </w:tcBorders>
            <w:noWrap/>
            <w:vAlign w:val="bottom"/>
            <w:hideMark/>
          </w:tcPr>
          <w:p w14:paraId="2F5BBB82"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4.88</w:t>
            </w:r>
          </w:p>
        </w:tc>
        <w:tc>
          <w:tcPr>
            <w:tcW w:w="2760" w:type="dxa"/>
            <w:tcBorders>
              <w:top w:val="nil"/>
              <w:left w:val="nil"/>
              <w:bottom w:val="single" w:sz="4" w:space="0" w:color="auto"/>
              <w:right w:val="nil"/>
            </w:tcBorders>
            <w:noWrap/>
            <w:vAlign w:val="bottom"/>
            <w:hideMark/>
          </w:tcPr>
          <w:p w14:paraId="6D353740"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0.08</w:t>
            </w:r>
          </w:p>
        </w:tc>
        <w:tc>
          <w:tcPr>
            <w:tcW w:w="1940" w:type="dxa"/>
            <w:tcBorders>
              <w:top w:val="nil"/>
              <w:left w:val="nil"/>
              <w:bottom w:val="single" w:sz="4" w:space="0" w:color="auto"/>
              <w:right w:val="nil"/>
            </w:tcBorders>
            <w:noWrap/>
            <w:vAlign w:val="bottom"/>
            <w:hideMark/>
          </w:tcPr>
          <w:p w14:paraId="2D9587F7"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21.3</w:t>
            </w:r>
          </w:p>
        </w:tc>
        <w:tc>
          <w:tcPr>
            <w:tcW w:w="2000" w:type="dxa"/>
            <w:tcBorders>
              <w:top w:val="nil"/>
              <w:left w:val="nil"/>
              <w:bottom w:val="single" w:sz="4" w:space="0" w:color="auto"/>
              <w:right w:val="nil"/>
            </w:tcBorders>
            <w:noWrap/>
            <w:vAlign w:val="bottom"/>
            <w:hideMark/>
          </w:tcPr>
          <w:p w14:paraId="5C8DCFFE"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0.08</w:t>
            </w:r>
          </w:p>
        </w:tc>
        <w:tc>
          <w:tcPr>
            <w:tcW w:w="1560" w:type="dxa"/>
            <w:tcBorders>
              <w:top w:val="nil"/>
              <w:left w:val="nil"/>
              <w:bottom w:val="single" w:sz="4" w:space="0" w:color="auto"/>
              <w:right w:val="nil"/>
            </w:tcBorders>
            <w:noWrap/>
            <w:vAlign w:val="bottom"/>
            <w:hideMark/>
          </w:tcPr>
          <w:p w14:paraId="47712521"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0.08</w:t>
            </w:r>
          </w:p>
        </w:tc>
        <w:tc>
          <w:tcPr>
            <w:tcW w:w="2240" w:type="dxa"/>
            <w:tcBorders>
              <w:top w:val="nil"/>
              <w:left w:val="nil"/>
              <w:bottom w:val="single" w:sz="4" w:space="0" w:color="auto"/>
              <w:right w:val="nil"/>
            </w:tcBorders>
            <w:noWrap/>
            <w:vAlign w:val="bottom"/>
            <w:hideMark/>
          </w:tcPr>
          <w:p w14:paraId="5AAA455E" w14:textId="77777777" w:rsidR="009F26AC" w:rsidRPr="00447599" w:rsidRDefault="009F26AC" w:rsidP="003340EF">
            <w:pPr>
              <w:spacing w:line="276" w:lineRule="auto"/>
              <w:jc w:val="center"/>
              <w:rPr>
                <w:rFonts w:ascii="Times Roman" w:hAnsi="Times Roman" w:cs="Calibri"/>
                <w:color w:val="000000"/>
                <w:sz w:val="22"/>
                <w:szCs w:val="22"/>
              </w:rPr>
            </w:pPr>
            <w:r w:rsidRPr="00447599">
              <w:rPr>
                <w:rFonts w:ascii="Times Roman" w:hAnsi="Times Roman" w:cs="Calibri"/>
                <w:color w:val="000000"/>
                <w:sz w:val="22"/>
                <w:szCs w:val="22"/>
              </w:rPr>
              <w:t>6502</w:t>
            </w:r>
            <m:oMath>
              <m:r>
                <w:rPr>
                  <w:rFonts w:ascii="Cambria Math" w:hAnsi="Cambria Math" w:cs="Calibri"/>
                  <w:color w:val="000000"/>
                  <w:sz w:val="22"/>
                  <w:szCs w:val="22"/>
                </w:rPr>
                <m:t>±7</m:t>
              </m:r>
            </m:oMath>
            <w:r w:rsidRPr="00447599">
              <w:rPr>
                <w:rFonts w:ascii="Times Roman" w:hAnsi="Times Roman" w:cs="Calibri"/>
                <w:color w:val="000000"/>
                <w:sz w:val="22"/>
                <w:szCs w:val="22"/>
              </w:rPr>
              <w:t>40</w:t>
            </w:r>
          </w:p>
        </w:tc>
      </w:tr>
    </w:tbl>
    <w:p w14:paraId="55EDFADD" w14:textId="77777777" w:rsidR="009F26AC" w:rsidRPr="00447599" w:rsidRDefault="009F26AC" w:rsidP="003340EF">
      <w:pPr>
        <w:spacing w:line="276" w:lineRule="auto"/>
        <w:jc w:val="both"/>
        <w:rPr>
          <w:rFonts w:asciiTheme="majorBidi" w:hAnsiTheme="majorBidi" w:cstheme="majorBidi"/>
          <w:lang w:bidi="fa-IR"/>
        </w:rPr>
      </w:pPr>
    </w:p>
    <w:p w14:paraId="2BC8722C" w14:textId="77777777" w:rsidR="00324D2C" w:rsidRPr="00447599" w:rsidRDefault="00324D2C" w:rsidP="003340EF">
      <w:pPr>
        <w:spacing w:line="276" w:lineRule="auto"/>
        <w:jc w:val="both"/>
        <w:rPr>
          <w:rFonts w:ascii="Times" w:hAnsi="Times" w:cstheme="majorBidi"/>
        </w:rPr>
        <w:sectPr w:rsidR="00324D2C" w:rsidRPr="00447599" w:rsidSect="00324D2C">
          <w:pgSz w:w="15840" w:h="12240" w:orient="landscape"/>
          <w:pgMar w:top="1440" w:right="1440" w:bottom="1440" w:left="1440" w:header="720" w:footer="720" w:gutter="0"/>
          <w:cols w:space="720"/>
          <w:docGrid w:linePitch="360"/>
        </w:sectPr>
      </w:pPr>
    </w:p>
    <w:p w14:paraId="25BDC2DC" w14:textId="191A94BA" w:rsidR="009F26AC" w:rsidRPr="00447599" w:rsidRDefault="009F26AC" w:rsidP="003340EF">
      <w:pPr>
        <w:spacing w:line="276" w:lineRule="auto"/>
        <w:jc w:val="both"/>
        <w:rPr>
          <w:rFonts w:ascii="Times" w:hAnsi="Times" w:cstheme="majorBidi"/>
        </w:rPr>
      </w:pPr>
    </w:p>
    <w:p w14:paraId="7BE92BD7" w14:textId="77777777" w:rsidR="009F26AC" w:rsidRPr="00447599" w:rsidRDefault="009F26AC" w:rsidP="003340EF">
      <w:pPr>
        <w:spacing w:line="276" w:lineRule="auto"/>
        <w:jc w:val="both"/>
        <w:rPr>
          <w:rFonts w:ascii="Times" w:hAnsi="Times" w:cstheme="majorBidi"/>
          <w:color w:val="000000" w:themeColor="text1"/>
          <w:lang w:val="en-CA"/>
        </w:rPr>
      </w:pPr>
      <w:r w:rsidRPr="00447599">
        <w:rPr>
          <w:rFonts w:ascii="Times" w:hAnsi="Times" w:cstheme="majorBidi"/>
          <w:color w:val="000000" w:themeColor="text1"/>
          <w:lang w:val="en-CA"/>
        </w:rPr>
        <w:t xml:space="preserve">Figure S1 shows the release of anthracene, </w:t>
      </w:r>
      <w:r w:rsidRPr="00447599">
        <w:rPr>
          <w:rFonts w:ascii="Times" w:hAnsi="Times" w:cstheme="majorBidi"/>
          <w:color w:val="000000" w:themeColor="text1"/>
        </w:rPr>
        <w:t>phenanthrene, pyrene</w:t>
      </w:r>
      <w:r w:rsidRPr="00447599">
        <w:rPr>
          <w:rFonts w:ascii="Times" w:hAnsi="Times" w:cstheme="majorBidi"/>
          <w:color w:val="000000" w:themeColor="text1"/>
          <w:lang w:val="en-CA"/>
        </w:rPr>
        <w:t xml:space="preserve"> from the silicone O-rings into the medium. These results were representative of the PAHs behaviour, with the release being sufficiently rapid so that maximum concentrations were reached less than 45 minutes for all components.  For naphthalene, after about 4h, the naphthalene concentration decreased due to the volatility of this compound at </w:t>
      </w:r>
      <w:r w:rsidRPr="00447599">
        <w:rPr>
          <w:rFonts w:asciiTheme="majorBidi" w:hAnsiTheme="majorBidi" w:cstheme="majorBidi"/>
        </w:rPr>
        <w:t>15</w:t>
      </w:r>
      <w:r w:rsidRPr="00447599">
        <w:rPr>
          <w:sz w:val="23"/>
          <w:szCs w:val="23"/>
        </w:rPr>
        <w:t xml:space="preserve"> ± 1 °C (not shown here); thus, </w:t>
      </w:r>
      <w:r w:rsidRPr="00447599">
        <w:rPr>
          <w:rFonts w:ascii="Times" w:hAnsi="Times" w:cstheme="majorBidi"/>
        </w:rPr>
        <w:t>the volume of the applied o-ring was 5 times higher compared to the needed volume for naphthalene to buffer the losses.</w:t>
      </w:r>
    </w:p>
    <w:p w14:paraId="3B43C09B" w14:textId="77777777" w:rsidR="009F26AC" w:rsidRPr="00447599" w:rsidRDefault="009F26AC" w:rsidP="003340EF">
      <w:pPr>
        <w:spacing w:line="276" w:lineRule="auto"/>
        <w:rPr>
          <w:rFonts w:asciiTheme="majorBidi" w:hAnsiTheme="majorBidi" w:cstheme="majorBidi"/>
          <w:lang w:bidi="fa-IR"/>
        </w:rPr>
      </w:pPr>
    </w:p>
    <w:p w14:paraId="3140CA8F" w14:textId="77777777" w:rsidR="009F26AC" w:rsidRPr="00447599" w:rsidRDefault="009F26AC" w:rsidP="003340EF">
      <w:pPr>
        <w:spacing w:line="276" w:lineRule="auto"/>
        <w:jc w:val="center"/>
        <w:rPr>
          <w:rFonts w:ascii="Times" w:hAnsi="Times" w:cstheme="majorBidi"/>
          <w:color w:val="000000" w:themeColor="text1"/>
          <w:lang w:val="en-CA"/>
        </w:rPr>
      </w:pPr>
      <w:r w:rsidRPr="00447599">
        <w:rPr>
          <w:noProof/>
        </w:rPr>
        <w:drawing>
          <wp:inline distT="0" distB="0" distL="0" distR="0" wp14:anchorId="6F58F663" wp14:editId="42F11C7D">
            <wp:extent cx="6079490" cy="3400023"/>
            <wp:effectExtent l="0" t="0" r="3810" b="3810"/>
            <wp:docPr id="3" name="Chart 3">
              <a:extLst xmlns:a="http://schemas.openxmlformats.org/drawingml/2006/main">
                <a:ext uri="{FF2B5EF4-FFF2-40B4-BE49-F238E27FC236}">
                  <a16:creationId xmlns:a16="http://schemas.microsoft.com/office/drawing/2014/main" id="{A18DE4B4-27C0-7943-9263-B9C331D69E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DA79808" w14:textId="73ABB741" w:rsidR="009F26AC" w:rsidRPr="00447599" w:rsidRDefault="009F26AC" w:rsidP="003340EF">
      <w:pPr>
        <w:spacing w:line="276" w:lineRule="auto"/>
        <w:jc w:val="center"/>
        <w:rPr>
          <w:rFonts w:ascii="Times" w:hAnsi="Times" w:cstheme="majorBidi"/>
          <w:color w:val="000000" w:themeColor="text1"/>
          <w:sz w:val="22"/>
          <w:szCs w:val="22"/>
          <w:lang w:val="en-CA"/>
        </w:rPr>
      </w:pPr>
      <w:r w:rsidRPr="00447599">
        <w:rPr>
          <w:rFonts w:ascii="Times" w:hAnsi="Times" w:cstheme="majorBidi"/>
          <w:color w:val="000000" w:themeColor="text1"/>
          <w:sz w:val="22"/>
          <w:szCs w:val="22"/>
          <w:lang w:val="en-CA"/>
        </w:rPr>
        <w:t xml:space="preserve">Fig.S1. Release of PAHs from silicone O-ring into 1 ml MiliQ water when shaking at 300 rpm. The data were normalized to the final saturation concentrations. </w:t>
      </w:r>
    </w:p>
    <w:p w14:paraId="723CA953" w14:textId="552F1BD6" w:rsidR="0086398C" w:rsidRPr="00447599" w:rsidRDefault="0086398C" w:rsidP="003340EF">
      <w:pPr>
        <w:spacing w:line="276" w:lineRule="auto"/>
        <w:rPr>
          <w:rFonts w:asciiTheme="majorBidi" w:hAnsiTheme="majorBidi" w:cstheme="majorBidi"/>
          <w:b/>
          <w:bCs/>
        </w:rPr>
      </w:pPr>
      <w:r w:rsidRPr="00447599">
        <w:rPr>
          <w:rFonts w:asciiTheme="majorBidi" w:hAnsiTheme="majorBidi" w:cstheme="majorBidi"/>
          <w:b/>
          <w:bCs/>
        </w:rPr>
        <w:t>S3 Proteomics sample preparation</w:t>
      </w:r>
    </w:p>
    <w:p w14:paraId="1C38C732" w14:textId="77777777" w:rsidR="0086398C" w:rsidRPr="00447599" w:rsidRDefault="0086398C" w:rsidP="003340EF">
      <w:pPr>
        <w:spacing w:line="276" w:lineRule="auto"/>
        <w:ind w:firstLine="720"/>
        <w:rPr>
          <w:rFonts w:asciiTheme="majorBidi" w:hAnsiTheme="majorBidi" w:cstheme="majorBidi"/>
          <w:b/>
          <w:bCs/>
        </w:rPr>
      </w:pPr>
    </w:p>
    <w:p w14:paraId="1DA230F3" w14:textId="0B4BBABC" w:rsidR="0086398C" w:rsidRPr="00447599" w:rsidRDefault="0086398C" w:rsidP="003340EF">
      <w:pPr>
        <w:spacing w:line="276" w:lineRule="auto"/>
        <w:jc w:val="both"/>
        <w:rPr>
          <w:rFonts w:asciiTheme="majorBidi" w:hAnsiTheme="majorBidi" w:cstheme="majorBidi"/>
        </w:rPr>
      </w:pPr>
      <w:r w:rsidRPr="00447599">
        <w:rPr>
          <w:rFonts w:asciiTheme="majorBidi" w:hAnsiTheme="majorBidi" w:cstheme="majorBidi"/>
        </w:rPr>
        <w:t xml:space="preserve">In this study, 100-300µg of mini-S-Trap kit was used according to the manufacturer’s instructions. Briefly, protein (250 µg) was reduced using TCEP with a final concentration of 30 mM at 60±1˚C for 15 min and alkylated with 1M IAA at room temperature for 1 h in a dark environment. Then, phosphoric acid (12.5%) was added to the samples and mixed with S-trap binding buffer (100 mM TEAB in 90% methanol, pH 7.1). The sample mixture was transferred into S-Trap microcolumns and centrifuged at 4000 </w:t>
      </w:r>
      <w:r w:rsidRPr="00447599">
        <w:rPr>
          <w:rFonts w:asciiTheme="majorBidi" w:hAnsiTheme="majorBidi" w:cstheme="majorBidi"/>
          <w:i/>
          <w:iCs/>
        </w:rPr>
        <w:t xml:space="preserve">x </w:t>
      </w:r>
      <w:r w:rsidRPr="00447599">
        <w:rPr>
          <w:rFonts w:asciiTheme="majorBidi" w:hAnsiTheme="majorBidi" w:cstheme="majorBidi"/>
        </w:rPr>
        <w:t>g until all solution was passed through. The columns were washed with S-trap binding buffer three times and 25 µL of Trypsin/Lys-C buffer with 50 mM TEAB and trypsin (1:25:1 trypsin: protein) was added to the columns and incubated at 47˚C, 1h. The resulting peptides were eluted by elution basic buffer (50 mM TEAB), acidic buffer (0.1% formic acid in water) and organic buffer (0.1% formic acid in 80% of acetonitrile). The resulting peptides were dried at 45±1˚C and resuspended in 0.2% formic acid in water</w:t>
      </w:r>
    </w:p>
    <w:p w14:paraId="7347778A" w14:textId="77777777" w:rsidR="0086398C" w:rsidRPr="00447599" w:rsidRDefault="0086398C" w:rsidP="003340EF">
      <w:pPr>
        <w:spacing w:line="276" w:lineRule="auto"/>
        <w:jc w:val="both"/>
        <w:rPr>
          <w:rFonts w:ascii="Times" w:hAnsi="Times" w:cstheme="majorBidi"/>
          <w:color w:val="000000" w:themeColor="text1"/>
          <w:sz w:val="22"/>
          <w:szCs w:val="22"/>
          <w:lang w:val="en-CA"/>
        </w:rPr>
      </w:pPr>
    </w:p>
    <w:p w14:paraId="632F3693" w14:textId="03D3E8FF" w:rsidR="00070AE2" w:rsidRPr="00447599" w:rsidRDefault="00070AE2" w:rsidP="003340EF">
      <w:pPr>
        <w:spacing w:line="276" w:lineRule="auto"/>
        <w:jc w:val="both"/>
        <w:rPr>
          <w:rFonts w:asciiTheme="majorBidi" w:hAnsiTheme="majorBidi" w:cstheme="majorBidi"/>
          <w:b/>
          <w:bCs/>
        </w:rPr>
      </w:pPr>
      <w:r w:rsidRPr="00447599">
        <w:rPr>
          <w:rFonts w:asciiTheme="majorBidi" w:hAnsiTheme="majorBidi" w:cstheme="majorBidi"/>
          <w:b/>
          <w:bCs/>
        </w:rPr>
        <w:lastRenderedPageBreak/>
        <w:t>S</w:t>
      </w:r>
      <w:r w:rsidR="0086398C" w:rsidRPr="00447599">
        <w:rPr>
          <w:rFonts w:asciiTheme="majorBidi" w:hAnsiTheme="majorBidi" w:cstheme="majorBidi"/>
          <w:b/>
          <w:bCs/>
        </w:rPr>
        <w:t>4</w:t>
      </w:r>
      <w:r w:rsidRPr="00447599">
        <w:rPr>
          <w:rFonts w:asciiTheme="majorBidi" w:hAnsiTheme="majorBidi" w:cstheme="majorBidi"/>
          <w:b/>
          <w:bCs/>
        </w:rPr>
        <w:t xml:space="preserve"> Drop collapse assay and surface tension measurment</w:t>
      </w:r>
    </w:p>
    <w:p w14:paraId="254D93C6" w14:textId="77777777" w:rsidR="00070AE2" w:rsidRPr="00447599" w:rsidRDefault="00070AE2" w:rsidP="003340EF">
      <w:pPr>
        <w:spacing w:line="276" w:lineRule="auto"/>
        <w:jc w:val="both"/>
        <w:rPr>
          <w:rFonts w:ascii="Times" w:hAnsi="Times" w:cs="Arial"/>
          <w:color w:val="000000" w:themeColor="text1"/>
        </w:rPr>
      </w:pPr>
    </w:p>
    <w:p w14:paraId="0723FCC6" w14:textId="0EE9709B" w:rsidR="00070AE2" w:rsidRPr="00447599" w:rsidRDefault="00070AE2" w:rsidP="00F8603F">
      <w:pPr>
        <w:spacing w:line="276" w:lineRule="auto"/>
        <w:jc w:val="both"/>
        <w:rPr>
          <w:rFonts w:asciiTheme="majorBidi" w:hAnsiTheme="majorBidi" w:cstheme="majorBidi"/>
          <w:color w:val="000000"/>
          <w:shd w:val="clear" w:color="auto" w:fill="FFFFFF"/>
        </w:rPr>
      </w:pPr>
      <w:r w:rsidRPr="00447599">
        <w:rPr>
          <w:rFonts w:asciiTheme="majorBidi" w:hAnsiTheme="majorBidi" w:cstheme="majorBidi"/>
          <w:color w:val="000000"/>
          <w:shd w:val="clear" w:color="auto" w:fill="FFFFFF"/>
        </w:rPr>
        <w:t>Using crude oil as the hydrocarbon substrate, a drop collapse assay was performed according to the method described by Bodour and Miller-Maier with slight modifications. In order to achieve the main objective of this study, crude oil was used as the substrate for this assay. One drop of 48-hour-grown culture broth was dropped onto a drop of crude oil on a glass slide. There was evidence of drop collapse. A tensiometer (K11, Kruss, Germany) was used to measure ST reduction every 24 hours up to the fifth day of culture. We screened isolates that were capable of reducing the ST of the culture medium below 35 mN m*1 as efficient biosurfactants.</w:t>
      </w:r>
    </w:p>
    <w:p w14:paraId="0970179F" w14:textId="4A121D42" w:rsidR="00AB0486" w:rsidRPr="00447599" w:rsidRDefault="0073079A" w:rsidP="000A681F">
      <w:pPr>
        <w:spacing w:line="276" w:lineRule="auto"/>
        <w:rPr>
          <w:rFonts w:asciiTheme="majorBidi" w:hAnsiTheme="majorBidi" w:cstheme="majorBidi"/>
          <w:b/>
          <w:bCs/>
        </w:rPr>
      </w:pPr>
      <w:r w:rsidRPr="00447599">
        <w:rPr>
          <w:rFonts w:asciiTheme="majorBidi" w:hAnsiTheme="majorBidi" w:cstheme="majorBidi"/>
          <w:b/>
          <w:bCs/>
        </w:rPr>
        <w:t>S</w:t>
      </w:r>
      <w:r w:rsidR="0086398C" w:rsidRPr="00447599">
        <w:rPr>
          <w:rFonts w:asciiTheme="majorBidi" w:hAnsiTheme="majorBidi" w:cstheme="majorBidi"/>
          <w:b/>
          <w:bCs/>
        </w:rPr>
        <w:t>5</w:t>
      </w:r>
      <w:r w:rsidRPr="00447599">
        <w:rPr>
          <w:rFonts w:asciiTheme="majorBidi" w:hAnsiTheme="majorBidi" w:cstheme="majorBidi"/>
          <w:b/>
          <w:bCs/>
        </w:rPr>
        <w:t xml:space="preserve"> Enzyme production</w:t>
      </w:r>
    </w:p>
    <w:p w14:paraId="07C4B8C9" w14:textId="149AE0DE" w:rsidR="002F277F" w:rsidRPr="00447599" w:rsidRDefault="0073079A" w:rsidP="003340EF">
      <w:pPr>
        <w:spacing w:line="276" w:lineRule="auto"/>
        <w:jc w:val="both"/>
        <w:rPr>
          <w:rFonts w:asciiTheme="majorBidi" w:eastAsia="Arial" w:hAnsiTheme="majorBidi" w:cstheme="majorBidi"/>
          <w:lang w:bidi="fa-IR"/>
        </w:rPr>
      </w:pPr>
      <w:r w:rsidRPr="00447599">
        <w:rPr>
          <w:rFonts w:asciiTheme="majorBidi" w:hAnsiTheme="majorBidi" w:cstheme="majorBidi"/>
          <w:color w:val="000000" w:themeColor="text1"/>
        </w:rPr>
        <w:t xml:space="preserve">Before inoculation for enzyme production, each bacterium was cultured in nutrition broth (NB) amended with NaCl (10%) </w:t>
      </w:r>
      <w:r w:rsidRPr="00447599">
        <w:rPr>
          <w:rStyle w:val="apple-converted-space"/>
          <w:rFonts w:asciiTheme="majorBidi" w:hAnsiTheme="majorBidi" w:cstheme="majorBidi"/>
          <w:color w:val="000000" w:themeColor="text1"/>
          <w:shd w:val="clear" w:color="auto" w:fill="FFFFFF"/>
        </w:rPr>
        <w:t>at</w:t>
      </w:r>
      <w:r w:rsidRPr="00447599">
        <w:rPr>
          <w:rFonts w:asciiTheme="majorBidi" w:hAnsiTheme="majorBidi" w:cstheme="majorBidi"/>
          <w:color w:val="000000" w:themeColor="text1"/>
        </w:rPr>
        <w:t xml:space="preserve"> 15±1</w:t>
      </w:r>
      <w:r w:rsidRPr="00447599">
        <w:rPr>
          <w:rFonts w:ascii="Cambria Math" w:hAnsi="Cambria Math" w:cs="Cambria Math"/>
          <w:color w:val="000000" w:themeColor="text1"/>
          <w:vertAlign w:val="superscript"/>
        </w:rPr>
        <w:t>∘</w:t>
      </w:r>
      <w:r w:rsidRPr="00447599">
        <w:rPr>
          <w:rFonts w:asciiTheme="majorBidi" w:hAnsiTheme="majorBidi" w:cstheme="majorBidi"/>
          <w:color w:val="000000" w:themeColor="text1"/>
        </w:rPr>
        <w:t>C and 150 rpm.</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&lt;EndNote&gt;&lt;Cite&gt;&lt;Author&gt;Singh&lt;/Author&gt;&lt;Year&gt;2016&lt;/Year&gt;&lt;RecNum&gt;125&lt;/RecNum&gt;&lt;DisplayText&gt;&lt;style face="superscript"&gt;18&lt;/style&gt;&lt;/DisplayText&gt;&lt;record&gt;&lt;rec-number&gt;125&lt;/rec-number&gt;&lt;foreign-keys&gt;&lt;key app="EN" db-id="fw0pwwe0dwvwvmedstoxs906drsw2awepzsx" timestamp="1636528643"&gt;125&lt;/key&gt;&lt;/foreign-keys&gt;&lt;ref-type name="Journal Article"&gt;17&lt;/ref-type&gt;&lt;contributors&gt;&lt;authors&gt;&lt;author&gt;Singh, Rajnish P&lt;/author&gt;&lt;author&gt;Jha, Prabhat N&lt;/author&gt;&lt;/authors&gt;&lt;/contributors&gt;&lt;titles&gt;&lt;title&gt;A halotolerant bacterium Bacillus licheniformis HSW-16 augments induced systemic tolerance to salt stress in wheat plant (Triticum aestivum)&lt;/title&gt;&lt;secondary-title&gt;Frontiers in plant science&lt;/secondary-title&gt;&lt;/titles&gt;&lt;periodical&gt;&lt;full-title&gt;Frontiers in plant science&lt;/full-title&gt;&lt;/periodical&gt;&lt;pages&gt;1890&lt;/pages&gt;&lt;volume&gt;7&lt;/volume&gt;&lt;dates&gt;&lt;year&gt;2016&lt;/year&gt;&lt;/dates&gt;&lt;isbn&gt;1664-462X&lt;/isbn&gt;&lt;urls&gt;&lt;/urls&gt;&lt;/record&gt;&lt;/Cite&gt;&lt;/EndNote&gt;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18</w:t>
      </w:r>
      <w:r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t xml:space="preserve"> The enzyme production based on monoculture of newly isolated was carried out in </w:t>
      </w:r>
      <w:r w:rsidRPr="00447599">
        <w:rPr>
          <w:rFonts w:asciiTheme="majorBidi" w:hAnsiTheme="majorBidi" w:cstheme="majorBidi"/>
          <w:color w:val="000000" w:themeColor="text1"/>
          <w:shd w:val="clear" w:color="auto" w:fill="FFFFFF"/>
        </w:rPr>
        <w:t xml:space="preserve">serum bottles (250 mL) containing </w:t>
      </w:r>
      <w:r w:rsidRPr="00447599">
        <w:rPr>
          <w:rFonts w:asciiTheme="majorBidi" w:hAnsiTheme="majorBidi" w:cstheme="majorBidi"/>
          <w:color w:val="000000" w:themeColor="text1"/>
        </w:rPr>
        <w:t xml:space="preserve">50 mL of MSM and NB supplemented with  dilbit (500, 250 and 100 </w:t>
      </w:r>
      <w:r w:rsidR="00502234" w:rsidRPr="00447599">
        <w:rPr>
          <w:rFonts w:asciiTheme="majorBidi" w:hAnsiTheme="majorBidi" w:cstheme="majorBidi"/>
          <w:color w:val="000000" w:themeColor="text1"/>
        </w:rPr>
        <w:t>mg/L</w:t>
      </w:r>
      <w:r w:rsidRPr="00447599">
        <w:rPr>
          <w:rFonts w:asciiTheme="majorBidi" w:hAnsiTheme="majorBidi" w:cstheme="majorBidi"/>
          <w:color w:val="000000" w:themeColor="text1"/>
        </w:rPr>
        <w:t xml:space="preserve"> </w:t>
      </w:r>
      <w:r w:rsidRPr="00447599">
        <w:rPr>
          <w:color w:val="000000"/>
          <w:shd w:val="clear" w:color="auto" w:fill="FFFFFF"/>
        </w:rPr>
        <w:t>containing 7, 15, and 20 parts per million of pyrene</w:t>
      </w:r>
      <w:r w:rsidRPr="00447599">
        <w:rPr>
          <w:rFonts w:asciiTheme="majorBidi" w:hAnsiTheme="majorBidi" w:cstheme="majorBidi"/>
          <w:color w:val="000000" w:themeColor="text1"/>
        </w:rPr>
        <w:t xml:space="preserve">) or mixture of 3 PAHs  with  </w:t>
      </w:r>
      <m:oMath>
        <m:nary>
          <m:naryPr>
            <m:chr m:val="∑"/>
            <m:limLoc m:val="undOvr"/>
            <m:subHide m:val="1"/>
            <m:supHide m:val="1"/>
            <m:ctrlPr>
              <w:rPr>
                <w:rFonts w:ascii="Cambria Math" w:hAnsi="Cambria Math" w:cstheme="majorBidi"/>
                <w:i/>
                <w:color w:val="000000" w:themeColor="text1"/>
              </w:rPr>
            </m:ctrlPr>
          </m:naryPr>
          <m:sub/>
          <m:sup/>
          <m:e>
            <m:r>
              <w:rPr>
                <w:rFonts w:ascii="Cambria Math" w:hAnsi="Cambria Math" w:cstheme="majorBidi"/>
                <w:color w:val="000000" w:themeColor="text1"/>
              </w:rPr>
              <m:t xml:space="preserve">3 PAHs= </m:t>
            </m:r>
          </m:e>
        </m:nary>
      </m:oMath>
      <w:r w:rsidRPr="00447599">
        <w:rPr>
          <w:rFonts w:asciiTheme="majorBidi" w:hAnsiTheme="majorBidi" w:cstheme="majorBidi"/>
          <w:color w:val="000000" w:themeColor="text1"/>
        </w:rPr>
        <w:t xml:space="preserve">25, 50 and 75 </w:t>
      </w:r>
      <w:r w:rsidR="00502234" w:rsidRPr="00447599">
        <w:rPr>
          <w:rFonts w:asciiTheme="majorBidi" w:hAnsiTheme="majorBidi" w:cstheme="majorBidi"/>
          <w:color w:val="000000" w:themeColor="text1"/>
        </w:rPr>
        <w:t>mg/L</w:t>
      </w:r>
      <w:r w:rsidRPr="00447599">
        <w:rPr>
          <w:rFonts w:asciiTheme="majorBidi" w:hAnsiTheme="majorBidi" w:cstheme="majorBidi"/>
          <w:color w:val="000000" w:themeColor="text1"/>
        </w:rPr>
        <w:t xml:space="preserve">. The target enzymes were also produced based on the multi-culture of newly isolated </w:t>
      </w:r>
      <w:r w:rsidRPr="00447599">
        <w:rPr>
          <w:rFonts w:asciiTheme="majorBidi" w:hAnsiTheme="majorBidi" w:cstheme="majorBidi"/>
          <w:i/>
          <w:iCs/>
          <w:color w:val="000000" w:themeColor="text1"/>
          <w:shd w:val="clear" w:color="auto" w:fill="FFFFFF"/>
        </w:rPr>
        <w:t xml:space="preserve">Pseudomonas </w:t>
      </w:r>
      <w:r w:rsidRPr="00447599">
        <w:rPr>
          <w:rFonts w:asciiTheme="majorBidi" w:hAnsiTheme="majorBidi" w:cstheme="majorBidi"/>
          <w:color w:val="000000" w:themeColor="text1"/>
        </w:rPr>
        <w:t xml:space="preserve">URS-5, URS-6, URS-8, and </w:t>
      </w:r>
      <w:r w:rsidRPr="00447599">
        <w:rPr>
          <w:rFonts w:asciiTheme="majorBidi" w:hAnsiTheme="majorBidi" w:cstheme="majorBidi"/>
          <w:i/>
          <w:iCs/>
          <w:color w:val="000000" w:themeColor="text1"/>
        </w:rPr>
        <w:t>Rhodocucu</w:t>
      </w:r>
      <w:r w:rsidRPr="00447599">
        <w:rPr>
          <w:rFonts w:asciiTheme="majorBidi" w:hAnsiTheme="majorBidi" w:cstheme="majorBidi"/>
          <w:color w:val="000000" w:themeColor="text1"/>
        </w:rPr>
        <w:t xml:space="preserve"> URS-10</w:t>
      </w:r>
      <w:r w:rsidR="007440DF" w:rsidRPr="00447599">
        <w:rPr>
          <w:rFonts w:asciiTheme="majorBidi" w:hAnsiTheme="majorBidi" w:cstheme="majorBidi"/>
          <w:color w:val="000000" w:themeColor="text1"/>
        </w:rPr>
        <w:t xml:space="preserve"> as well as </w:t>
      </w:r>
      <w:r w:rsidR="007440DF" w:rsidRPr="00447599">
        <w:rPr>
          <w:rFonts w:ascii="Times" w:hAnsi="Times"/>
          <w:i/>
          <w:iCs/>
        </w:rPr>
        <w:t>Alcanivorax</w:t>
      </w:r>
      <w:r w:rsidRPr="00447599">
        <w:rPr>
          <w:rFonts w:asciiTheme="majorBidi" w:hAnsiTheme="majorBidi" w:cstheme="majorBidi"/>
          <w:color w:val="000000" w:themeColor="text1"/>
        </w:rPr>
        <w:t xml:space="preserve">. </w:t>
      </w:r>
      <w:r w:rsidRPr="00447599">
        <w:rPr>
          <w:color w:val="000000"/>
          <w:shd w:val="clear" w:color="auto" w:fill="FFFFFF"/>
        </w:rPr>
        <w:t>Following a specific period of incubation</w:t>
      </w:r>
      <w:r w:rsidRPr="00447599">
        <w:rPr>
          <w:rFonts w:asciiTheme="majorBidi" w:hAnsiTheme="majorBidi" w:cstheme="majorBidi"/>
          <w:color w:val="000000" w:themeColor="text1"/>
        </w:rPr>
        <w:t xml:space="preserve">, the culture was centrifuged at 3810 </w:t>
      </w:r>
      <w:r w:rsidRPr="00447599">
        <w:rPr>
          <w:rFonts w:asciiTheme="majorBidi" w:hAnsiTheme="majorBidi" w:cstheme="majorBidi"/>
          <w:i/>
          <w:color w:val="000000" w:themeColor="text1"/>
        </w:rPr>
        <w:t>x</w:t>
      </w:r>
      <w:r w:rsidRPr="00447599">
        <w:rPr>
          <w:rFonts w:asciiTheme="majorBidi" w:hAnsiTheme="majorBidi" w:cstheme="majorBidi"/>
          <w:color w:val="000000" w:themeColor="text1"/>
        </w:rPr>
        <w:t xml:space="preserve"> g for 20 min. </w:t>
      </w:r>
      <w:r w:rsidR="00D11B71" w:rsidRPr="00447599">
        <w:rPr>
          <w:rFonts w:asciiTheme="majorBidi" w:hAnsiTheme="majorBidi" w:cstheme="majorBidi"/>
          <w:color w:val="000000" w:themeColor="text1"/>
        </w:rPr>
        <w:t xml:space="preserve"> </w:t>
      </w:r>
      <w:r w:rsidRPr="00447599">
        <w:t xml:space="preserve">The time-course experiments showed that depending on the type of enzymes and inducer, around 12 hours of incubation might be the best time when the production of enzymes is close to maximum. </w:t>
      </w:r>
      <w:r w:rsidRPr="00447599">
        <w:fldChar w:fldCharType="begin"/>
      </w:r>
      <w:r w:rsidR="00017A0C" w:rsidRPr="00447599">
        <w:instrText xml:space="preserve"> ADDIN EN.CITE &lt;EndNote&gt;&lt;Cite&gt;&lt;Author&gt;Miri&lt;/Author&gt;&lt;Year&gt;2022&lt;/Year&gt;&lt;RecNum&gt;90&lt;/RecNum&gt;&lt;DisplayText&gt;&lt;style face="superscript"&gt;19, 20&lt;/style&gt;&lt;/DisplayText&gt;&lt;record&gt;&lt;rec-number&gt;90&lt;/rec-number&gt;&lt;foreign-keys&gt;&lt;key app="EN" db-id="5t5vxvzturazf5e0v5rxetd1pap0t5xsdvet" timestamp="1650066257"&gt;90&lt;/key&gt;&lt;/foreign-keys&gt;&lt;ref-type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periodical&gt;&lt;pages&gt;127099&lt;/pages&gt;&lt;volume&gt;423&lt;/volume&gt;&lt;dates&gt;&lt;year&gt;2022&lt;/year&gt;&lt;/dates&gt;&lt;isbn&gt;0304-3894&lt;/isbn&gt;&lt;urls&gt;&lt;/urls&gt;&lt;/record&gt;&lt;/Cite&gt;&lt;Cite&gt;&lt;Author&gt;Nagy&lt;/Author&gt;&lt;Year&gt;2001&lt;/Year&gt;&lt;RecNum&gt;91&lt;/RecNum&gt;&lt;record&gt;&lt;rec-number&gt;91&lt;/rec-number&gt;&lt;foreign-keys&gt;&lt;key app="EN" db-id="5t5vxvzturazf5e0v5rxetd1pap0t5xsdvet" timestamp="1650066486"&gt;91&lt;/key&gt;&lt;/foreign-keys&gt;&lt;ref-type name="Journal Article"&gt;17&lt;/ref-type&gt;&lt;contributors&gt;&lt;authors&gt;&lt;author&gt;Nagy, Zoltán&lt;/author&gt;&lt;author&gt;Kiss, Tünde&lt;/author&gt;&lt;author&gt;Szentirmai, Attila&lt;/author&gt;&lt;author&gt;Biró, Sándor&lt;/author&gt;&lt;/authors&gt;&lt;/contributors&gt;&lt;titles&gt;&lt;title&gt;β-Galactosidase of Penicillium chrysogenum: production, purification, and characterization of the enzyme&lt;/title&gt;&lt;secondary-title&gt;Protein expression and purification&lt;/secondary-title&gt;&lt;/titles&gt;&lt;periodical&gt;&lt;full-title&gt;Protein expression and purification&lt;/full-title&gt;&lt;/periodical&gt;&lt;pages&gt;24-29&lt;/pages&gt;&lt;volume&gt;21&lt;/volume&gt;&lt;number&gt;1&lt;/number&gt;&lt;dates&gt;&lt;year&gt;2001&lt;/year&gt;&lt;/dates&gt;&lt;isbn&gt;1046-5928&lt;/isbn&gt;&lt;urls&gt;&lt;/urls&gt;&lt;/record&gt;&lt;/Cite&gt;&lt;/EndNote&gt;</w:instrText>
      </w:r>
      <w:r w:rsidRPr="00447599">
        <w:fldChar w:fldCharType="separate"/>
      </w:r>
      <w:r w:rsidR="00017A0C" w:rsidRPr="00447599">
        <w:rPr>
          <w:noProof/>
          <w:vertAlign w:val="superscript"/>
        </w:rPr>
        <w:t>19, 20</w:t>
      </w:r>
      <w:r w:rsidRPr="00447599">
        <w:fldChar w:fldCharType="end"/>
      </w:r>
      <w:r w:rsidRPr="00447599">
        <w:rPr>
          <w:lang w:bidi="fa-IR"/>
        </w:rPr>
        <w:t xml:space="preserve"> </w:t>
      </w:r>
      <w:r w:rsidRPr="00447599">
        <w:rPr>
          <w:rFonts w:asciiTheme="majorBidi" w:eastAsia="Arial" w:hAnsiTheme="majorBidi" w:cstheme="majorBidi"/>
          <w:color w:val="000000" w:themeColor="text1"/>
          <w:lang w:bidi="fa-IR"/>
        </w:rPr>
        <w:t>When growth reached the late exponential phase,</w:t>
      </w:r>
      <w:r w:rsidR="0063634F" w:rsidRPr="00447599">
        <w:rPr>
          <w:rFonts w:asciiTheme="majorBidi" w:eastAsia="Arial" w:hAnsiTheme="majorBidi" w:cstheme="majorBidi"/>
          <w:lang w:bidi="fa-IR"/>
        </w:rPr>
        <w:t xml:space="preserve"> extracellular enzymes were obtained from the supernatant extracted by centrifuging the culture washed with phosphate buffer (0.05 mM, pH 6.8) three times.</w:t>
      </w:r>
      <w:r w:rsidRPr="00447599">
        <w:rPr>
          <w:rFonts w:asciiTheme="majorBidi" w:eastAsia="Arial" w:hAnsiTheme="majorBidi" w:cstheme="majorBidi"/>
          <w:color w:val="000000" w:themeColor="text1"/>
          <w:lang w:bidi="fa-IR"/>
        </w:rPr>
        <w:t xml:space="preserve"> </w:t>
      </w:r>
      <w:r w:rsidR="0063634F" w:rsidRPr="00447599">
        <w:rPr>
          <w:rFonts w:asciiTheme="majorBidi" w:eastAsia="Arial" w:hAnsiTheme="majorBidi" w:cstheme="majorBidi"/>
          <w:color w:val="000000" w:themeColor="text1"/>
          <w:lang w:bidi="fa-IR"/>
        </w:rPr>
        <w:t>C</w:t>
      </w:r>
      <w:r w:rsidRPr="00447599">
        <w:rPr>
          <w:rFonts w:asciiTheme="majorBidi" w:eastAsia="Arial" w:hAnsiTheme="majorBidi" w:cstheme="majorBidi"/>
          <w:color w:val="000000" w:themeColor="text1"/>
          <w:lang w:bidi="fa-IR"/>
        </w:rPr>
        <w:t xml:space="preserve">ells were harvested from the media after culturing by centrifugation (16,000 rpm for 4 min at 4 </w:t>
      </w:r>
      <m:oMath>
        <m:r>
          <w:rPr>
            <w:rFonts w:ascii="Cambria Math" w:eastAsia="Arial" w:hAnsi="Cambria Math" w:cstheme="majorBidi"/>
            <w:color w:val="000000" w:themeColor="text1"/>
            <w:lang w:bidi="fa-IR"/>
          </w:rPr>
          <m:t>°</m:t>
        </m:r>
      </m:oMath>
      <w:r w:rsidRPr="00447599">
        <w:rPr>
          <w:rFonts w:asciiTheme="majorBidi" w:eastAsia="Arial" w:hAnsiTheme="majorBidi" w:cstheme="majorBidi"/>
          <w:color w:val="000000" w:themeColor="text1"/>
          <w:lang w:bidi="fa-IR"/>
        </w:rPr>
        <w:t>C).</w:t>
      </w:r>
      <w:r w:rsidR="005D3A71" w:rsidRPr="00447599">
        <w:rPr>
          <w:rFonts w:asciiTheme="majorBidi" w:eastAsia="Arial" w:hAnsiTheme="majorBidi" w:cstheme="majorBidi"/>
          <w:color w:val="000000" w:themeColor="text1"/>
          <w:lang w:bidi="fa-IR"/>
        </w:rPr>
        <w:t xml:space="preserve"> </w:t>
      </w:r>
      <w:r w:rsidR="005D3A71" w:rsidRPr="00447599">
        <w:t>The pellets with the biomass were resuspended in phosphate buffer, pH 8, and then sonicated on ice using an Ultrasonifier</w:t>
      </w:r>
      <w:r w:rsidR="005D3A71" w:rsidRPr="00447599">
        <w:rPr>
          <w:rFonts w:asciiTheme="majorBidi" w:eastAsia="Arial" w:hAnsiTheme="majorBidi" w:cstheme="majorBidi"/>
          <w:color w:val="000000" w:themeColor="text1"/>
          <w:lang w:bidi="fa-IR"/>
        </w:rPr>
        <w:t xml:space="preserve"> </w:t>
      </w:r>
      <w:r w:rsidR="005D3A71" w:rsidRPr="00447599">
        <w:t>(Branson Ultrasonics Corporation, Danbury, CT, USA) at 22 and 30 kHz frequencies of</w:t>
      </w:r>
      <w:r w:rsidR="005D3A71" w:rsidRPr="00447599">
        <w:rPr>
          <w:rFonts w:asciiTheme="majorBidi" w:eastAsia="Arial" w:hAnsiTheme="majorBidi" w:cstheme="majorBidi"/>
          <w:color w:val="000000" w:themeColor="text1"/>
          <w:lang w:bidi="fa-IR"/>
        </w:rPr>
        <w:t xml:space="preserve"> </w:t>
      </w:r>
      <w:r w:rsidR="005D3A71" w:rsidRPr="00447599">
        <w:t>ultrasounds for 10 min</w:t>
      </w:r>
      <w:r w:rsidR="0063634F" w:rsidRPr="00447599">
        <w:t xml:space="preserve"> to obtain intracellular enzymes</w:t>
      </w:r>
      <w:r w:rsidR="005D3A71" w:rsidRPr="00447599">
        <w:t>.</w:t>
      </w:r>
      <w:r w:rsidR="0063634F" w:rsidRPr="00447599">
        <w:rPr>
          <w:rFonts w:ascii="Calibri" w:eastAsia="Arial" w:hAnsi="Calibri" w:cs="Calibri"/>
          <w:lang w:bidi="fa-IR"/>
        </w:rPr>
        <w:t xml:space="preserve"> ﻿</w:t>
      </w:r>
    </w:p>
    <w:p w14:paraId="779DF279" w14:textId="479498A2" w:rsidR="00070AE2" w:rsidRPr="00447599" w:rsidRDefault="00070AE2" w:rsidP="003340EF">
      <w:pPr>
        <w:spacing w:line="276" w:lineRule="auto"/>
        <w:jc w:val="both"/>
        <w:rPr>
          <w:rFonts w:asciiTheme="majorBidi" w:hAnsiTheme="majorBidi" w:cstheme="majorBidi"/>
          <w:b/>
          <w:bCs/>
          <w:lang w:bidi="fa-IR"/>
        </w:rPr>
      </w:pPr>
      <w:r w:rsidRPr="00447599">
        <w:rPr>
          <w:rFonts w:asciiTheme="majorBidi" w:hAnsiTheme="majorBidi" w:cstheme="majorBidi"/>
          <w:b/>
          <w:bCs/>
        </w:rPr>
        <w:t>S</w:t>
      </w:r>
      <w:r w:rsidR="0086398C" w:rsidRPr="00447599">
        <w:rPr>
          <w:rFonts w:asciiTheme="majorBidi" w:hAnsiTheme="majorBidi" w:cstheme="majorBidi"/>
          <w:b/>
          <w:bCs/>
        </w:rPr>
        <w:t>6</w:t>
      </w:r>
      <w:r w:rsidRPr="00447599">
        <w:rPr>
          <w:rFonts w:asciiTheme="majorBidi" w:hAnsiTheme="majorBidi" w:cstheme="majorBidi"/>
          <w:b/>
          <w:bCs/>
        </w:rPr>
        <w:t xml:space="preserve"> Enzyme assay</w:t>
      </w:r>
    </w:p>
    <w:p w14:paraId="3BAF7FE8" w14:textId="65A2F8D7" w:rsidR="00DE4FCD" w:rsidRPr="00447599" w:rsidRDefault="00DE4FCD" w:rsidP="003340EF">
      <w:pPr>
        <w:spacing w:line="276" w:lineRule="auto"/>
        <w:jc w:val="both"/>
        <w:rPr>
          <w:rFonts w:asciiTheme="majorBidi" w:eastAsia="Arial" w:hAnsiTheme="majorBidi" w:cstheme="majorBidi"/>
          <w:color w:val="000000" w:themeColor="text1"/>
          <w:lang w:bidi="fa-IR"/>
        </w:rPr>
      </w:pPr>
      <w:r w:rsidRPr="00447599">
        <w:rPr>
          <w:rFonts w:asciiTheme="majorBidi" w:hAnsiTheme="majorBidi" w:cstheme="majorBidi"/>
          <w:color w:val="000000" w:themeColor="text1"/>
        </w:rPr>
        <w:t xml:space="preserve">Naphthalene dioxygenase (ND) activity was assayed base on the formation of indigo at 500 nm per time unit. An enzyme reaction was carried out using 5 </w:t>
      </w:r>
      <m:oMath>
        <m:r>
          <w:rPr>
            <w:rFonts w:ascii="Cambria Math" w:hAnsi="Cambria Math" w:cstheme="majorBidi"/>
            <w:color w:val="000000" w:themeColor="text1"/>
          </w:rPr>
          <m:t>μ</m:t>
        </m:r>
      </m:oMath>
      <w:r w:rsidRPr="00447599">
        <w:rPr>
          <w:rFonts w:asciiTheme="majorBidi" w:hAnsiTheme="majorBidi" w:cstheme="majorBidi"/>
          <w:color w:val="000000" w:themeColor="text1"/>
        </w:rPr>
        <w:t>l of indole 100 mM as a substrate in the presence of cellular lysates in DMF.</w:t>
      </w:r>
      <w:r w:rsidRPr="00447599">
        <w:rPr>
          <w:rFonts w:asciiTheme="majorBidi" w:eastAsia="Arial" w:hAnsiTheme="majorBidi" w:cstheme="majorBidi"/>
          <w:color w:val="000000" w:themeColor="text1"/>
          <w:lang w:bidi="fa-IR"/>
        </w:rPr>
        <w:t xml:space="preserve"> A blank containing all the ingredients except for the substrate was used as a standard for measuring the absorbance of the reaction mixture at 500 nm. The specific enzyme activity was defined as the initial rate of indigo formation by plotting the increase in absorbance at the first 2 h of reaction normalized to the protein content of the sample. An indication of indigo formation was the formation of a purple product. The maximal absorbance of indigo was determined by mass spectrum at different wavelengths using a standard indigo solution dissolved in DMF. </w:t>
      </w:r>
      <w:r w:rsidRPr="00447599">
        <w:rPr>
          <w:rFonts w:asciiTheme="majorBidi" w:eastAsia="Arial" w:hAnsiTheme="majorBidi" w:cstheme="majorBidi"/>
          <w:color w:val="000000" w:themeColor="text1"/>
          <w:lang w:bidi="fa-IR"/>
        </w:rPr>
        <w:fldChar w:fldCharType="begin"/>
      </w:r>
      <w:r w:rsidR="00017A0C" w:rsidRPr="00447599">
        <w:rPr>
          <w:rFonts w:asciiTheme="majorBidi" w:eastAsia="Arial" w:hAnsiTheme="majorBidi" w:cstheme="majorBidi"/>
          <w:color w:val="000000" w:themeColor="text1"/>
          <w:lang w:bidi="fa-IR"/>
        </w:rPr>
        <w:instrText xml:space="preserve"> ADDIN EN.CITE &lt;EndNote&gt;&lt;Cite&gt;&lt;Author&gt;da Silva&lt;/Author&gt;&lt;Year&gt;2010&lt;/Year&gt;&lt;RecNum&gt;212&lt;/RecNum&gt;&lt;DisplayText&gt;&lt;style face="superscript"&gt;21&lt;/style&gt;&lt;/DisplayText&gt;&lt;record&gt;&lt;rec-number&gt;212&lt;/rec-number&gt;&lt;foreign-keys&gt;&lt;key app="EN" db-id="e29dz2seoxz0a5es2wbveszlv0aaex2r2sra" timestamp="1659989091"&gt;212&lt;/key&gt;&lt;/foreign-keys&gt;&lt;ref-type name="Journal Article"&gt;17&lt;/ref-type&gt;&lt;contributors&gt;&lt;authors&gt;&lt;author&gt;da Silva, Márcio Luis Busi&lt;/author&gt;&lt;author&gt;Alvarez, Pedro JJ&lt;/author&gt;&lt;/authors&gt;&lt;/contributors&gt;&lt;titles&gt;&lt;title&gt;Indole-based assay to assess the effect of ethanol on Pseudomonas putida F1 dioxygenase activity&lt;/title&gt;&lt;secondary-title&gt;Biodegradation&lt;/secondary-title&gt;&lt;/titles&gt;&lt;periodical&gt;&lt;full-title&gt;Biodegradation&lt;/full-title&gt;&lt;/periodical&gt;&lt;pages&gt;425-430&lt;/pages&gt;&lt;volume&gt;21&lt;/volume&gt;&lt;number&gt;3&lt;/number&gt;&lt;dates&gt;&lt;year&gt;2010&lt;/year&gt;&lt;/dates&gt;&lt;isbn&gt;1572-9729&lt;/isbn&gt;&lt;urls&gt;&lt;/urls&gt;&lt;/record&gt;&lt;/Cite&gt;&lt;/EndNote&gt;</w:instrText>
      </w:r>
      <w:r w:rsidRPr="00447599">
        <w:rPr>
          <w:rFonts w:asciiTheme="majorBidi" w:eastAsia="Arial" w:hAnsiTheme="majorBidi" w:cstheme="majorBidi"/>
          <w:color w:val="000000" w:themeColor="text1"/>
          <w:lang w:bidi="fa-IR"/>
        </w:rPr>
        <w:fldChar w:fldCharType="separate"/>
      </w:r>
      <w:r w:rsidR="00017A0C" w:rsidRPr="00447599">
        <w:rPr>
          <w:rFonts w:asciiTheme="majorBidi" w:eastAsia="Arial" w:hAnsiTheme="majorBidi" w:cstheme="majorBidi"/>
          <w:noProof/>
          <w:color w:val="000000" w:themeColor="text1"/>
          <w:vertAlign w:val="superscript"/>
          <w:lang w:bidi="fa-IR"/>
        </w:rPr>
        <w:t>21</w:t>
      </w:r>
      <w:r w:rsidRPr="00447599">
        <w:rPr>
          <w:rFonts w:asciiTheme="majorBidi" w:eastAsia="Arial" w:hAnsiTheme="majorBidi" w:cstheme="majorBidi"/>
          <w:color w:val="000000" w:themeColor="text1"/>
          <w:lang w:bidi="fa-IR"/>
        </w:rPr>
        <w:fldChar w:fldCharType="end"/>
      </w:r>
      <w:r w:rsidRPr="00447599">
        <w:rPr>
          <w:rFonts w:asciiTheme="majorBidi" w:eastAsia="Arial" w:hAnsiTheme="majorBidi" w:cstheme="majorBidi"/>
          <w:color w:val="000000" w:themeColor="text1"/>
          <w:lang w:bidi="fa-IR"/>
        </w:rPr>
        <w:t xml:space="preserve"> </w:t>
      </w:r>
    </w:p>
    <w:p w14:paraId="56CAC9A9" w14:textId="77777777" w:rsidR="00DE4FCD" w:rsidRPr="00447599" w:rsidRDefault="00DE4FCD" w:rsidP="003340EF">
      <w:pPr>
        <w:spacing w:line="276" w:lineRule="auto"/>
        <w:jc w:val="both"/>
        <w:rPr>
          <w:rFonts w:asciiTheme="majorBidi" w:eastAsia="Arial" w:hAnsiTheme="majorBidi" w:cstheme="majorBidi"/>
          <w:color w:val="000000" w:themeColor="text1"/>
          <w:lang w:bidi="fa-IR"/>
        </w:rPr>
      </w:pPr>
    </w:p>
    <w:p w14:paraId="3CA74531" w14:textId="6305A57E" w:rsidR="00DE4FCD" w:rsidRPr="00447599" w:rsidRDefault="00DE4FCD" w:rsidP="003340EF">
      <w:pPr>
        <w:spacing w:line="276" w:lineRule="auto"/>
        <w:jc w:val="both"/>
        <w:rPr>
          <w:rFonts w:asciiTheme="majorBidi" w:eastAsia="Arial" w:hAnsiTheme="majorBidi" w:cstheme="majorBidi"/>
          <w:color w:val="000000" w:themeColor="text1"/>
          <w:lang w:val="en-CA" w:bidi="fa-IR"/>
        </w:rPr>
      </w:pPr>
      <w:r w:rsidRPr="00447599">
        <w:rPr>
          <w:rFonts w:asciiTheme="majorBidi" w:eastAsia="Arial" w:hAnsiTheme="majorBidi" w:cstheme="majorBidi"/>
          <w:color w:val="000000" w:themeColor="text1"/>
          <w:lang w:bidi="fa-IR"/>
        </w:rPr>
        <w:t>Catechol 2,3- dioxygenase (</w:t>
      </w:r>
      <w:r w:rsidRPr="00447599">
        <w:rPr>
          <w:rFonts w:asciiTheme="majorBidi" w:eastAsia="Arial" w:hAnsiTheme="majorBidi" w:cstheme="majorBidi"/>
          <w:color w:val="000000" w:themeColor="text1"/>
          <w:lang w:val="en-CA" w:bidi="fa-IR"/>
        </w:rPr>
        <w:t>C2,3D)</w:t>
      </w:r>
      <w:r w:rsidRPr="00447599">
        <w:rPr>
          <w:rFonts w:asciiTheme="majorBidi" w:eastAsia="Arial" w:hAnsiTheme="majorBidi" w:cstheme="majorBidi"/>
          <w:color w:val="000000" w:themeColor="text1"/>
          <w:lang w:bidi="fa-IR"/>
        </w:rPr>
        <w:t xml:space="preserve"> and Catechol 1,2- dioxygenase (</w:t>
      </w:r>
      <w:r w:rsidRPr="00447599">
        <w:rPr>
          <w:rFonts w:asciiTheme="majorBidi" w:eastAsia="Arial" w:hAnsiTheme="majorBidi" w:cstheme="majorBidi"/>
          <w:color w:val="000000" w:themeColor="text1"/>
          <w:lang w:val="en-CA" w:bidi="fa-IR"/>
        </w:rPr>
        <w:t>C1,2D)</w:t>
      </w:r>
      <w:r w:rsidRPr="00447599">
        <w:rPr>
          <w:rFonts w:asciiTheme="majorBidi" w:eastAsia="Arial" w:hAnsiTheme="majorBidi" w:cstheme="majorBidi"/>
          <w:color w:val="000000" w:themeColor="text1"/>
          <w:lang w:bidi="fa-IR"/>
        </w:rPr>
        <w:t xml:space="preserve"> (not NADH requirement) activities were assayed by monitoring the production of muconic acid and 2-hydroxymuconic semialdehyde at 260 and 370 nm, respectively. Activity assays were performed </w:t>
      </w:r>
      <w:r w:rsidRPr="00447599">
        <w:rPr>
          <w:rFonts w:asciiTheme="majorBidi" w:eastAsia="Arial" w:hAnsiTheme="majorBidi" w:cstheme="majorBidi"/>
          <w:color w:val="000000" w:themeColor="text1"/>
          <w:lang w:bidi="fa-IR"/>
        </w:rPr>
        <w:lastRenderedPageBreak/>
        <w:t xml:space="preserve">in 3 mL of 50 mM sodium phosphate buffer (pH=7.0) containing 0.6 mL catechol (1 mM), 0.2 mL cellular lysates and 0.2 mL deionized water. After allowing the mixture to proceed at 15 </w:t>
      </w:r>
      <m:oMath>
        <m:r>
          <w:rPr>
            <w:rFonts w:ascii="Cambria Math" w:eastAsia="Arial" w:hAnsi="Cambria Math" w:cstheme="majorBidi"/>
            <w:color w:val="000000" w:themeColor="text1"/>
            <w:lang w:bidi="fa-IR"/>
          </w:rPr>
          <m:t>℃</m:t>
        </m:r>
      </m:oMath>
      <w:r w:rsidRPr="00447599">
        <w:rPr>
          <w:rFonts w:asciiTheme="majorBidi" w:eastAsia="Arial" w:hAnsiTheme="majorBidi" w:cstheme="majorBidi"/>
          <w:color w:val="000000" w:themeColor="text1"/>
          <w:lang w:bidi="fa-IR"/>
        </w:rPr>
        <w:t xml:space="preserve">, a sub-sample was collected every 2 minutes and the results were analyzed. Enzyme activity is the amount of enzyme necessary to convert 1 mol of the substrate to muconic acid and 2-hydroxymuconic semialdehyde per unit of time. </w:t>
      </w:r>
      <w:r w:rsidRPr="00447599">
        <w:rPr>
          <w:rFonts w:asciiTheme="majorBidi" w:eastAsia="Arial" w:hAnsiTheme="majorBidi" w:cstheme="majorBidi"/>
          <w:color w:val="000000" w:themeColor="text1"/>
          <w:lang w:bidi="fa-IR"/>
        </w:rPr>
        <w:fldChar w:fldCharType="begin"/>
      </w:r>
      <w:r w:rsidR="00017A0C" w:rsidRPr="00447599">
        <w:rPr>
          <w:rFonts w:asciiTheme="majorBidi" w:eastAsia="Arial" w:hAnsiTheme="majorBidi" w:cstheme="majorBidi"/>
          <w:color w:val="000000" w:themeColor="text1"/>
          <w:lang w:bidi="fa-IR"/>
        </w:rPr>
        <w:instrText xml:space="preserve"> ADDIN EN.CITE &lt;EndNote&gt;&lt;Cite&gt;&lt;Author&gt;Li&lt;/Author&gt;&lt;Year&gt;2014&lt;/Year&gt;&lt;RecNum&gt;213&lt;/RecNum&gt;&lt;DisplayText&gt;&lt;style face="superscript"&gt;22, 23&lt;/style&gt;&lt;/DisplayText&gt;&lt;record&gt;&lt;rec-number&gt;213&lt;/rec-number&gt;&lt;foreign-keys&gt;&lt;key app="EN" db-id="e29dz2seoxz0a5es2wbveszlv0aaex2r2sra" timestamp="1659989091"&gt;213&lt;/key&gt;&lt;/foreign-keys&gt;&lt;ref-type name="Journal Article"&gt;17&lt;/ref-type&gt;&lt;contributors&gt;&lt;authors&gt;&lt;author&gt;Li, Yan&lt;/author&gt;&lt;author&gt;Li, Bing&lt;/author&gt;&lt;author&gt;Wang, Cui-Ping&lt;/author&gt;&lt;author&gt;Fan, Jun-Zhao&lt;/author&gt;&lt;author&gt;Sun, Hong-Wen&lt;/author&gt;&lt;/authors&gt;&lt;/contributors&gt;&lt;titles&gt;&lt;title&gt;Aerobic degradation of trichloroethylene by co-metabolism using phenol and gasoline as growth substrates&lt;/title&gt;&lt;secondary-title&gt;International journal of molecular sciences&lt;/secondary-title&gt;&lt;/titles&gt;&lt;periodical&gt;&lt;full-title&gt;International journal of molecular sciences&lt;/full-title&gt;&lt;/periodical&gt;&lt;pages&gt;9134-9148&lt;/pages&gt;&lt;volume&gt;15&lt;/volume&gt;&lt;number&gt;5&lt;/number&gt;&lt;dates&gt;&lt;year&gt;2014&lt;/year&gt;&lt;/dates&gt;&lt;urls&gt;&lt;/urls&gt;&lt;/record&gt;&lt;/Cite&gt;&lt;Cite&gt;&lt;Author&gt;Liu&lt;/Author&gt;&lt;Year&gt;2021&lt;/Year&gt;&lt;RecNum&gt;214&lt;/RecNum&gt;&lt;record&gt;&lt;rec-number&gt;214&lt;/rec-number&gt;&lt;foreign-keys&gt;&lt;key app="EN" db-id="e29dz2seoxz0a5es2wbveszlv0aaex2r2sra" timestamp="1659989091"&gt;214&lt;/key&gt;&lt;/foreign-keys&gt;&lt;ref-type name="Journal Article"&gt;17&lt;/ref-type&gt;&lt;contributors&gt;&lt;authors&gt;&lt;author&gt;Liu, Jing&lt;/author&gt;&lt;author&gt;Zhang, Ai-Ning&lt;/author&gt;&lt;author&gt;Liu, Yong-Jun&lt;/author&gt;&lt;author&gt;Liu, Zhe&lt;/author&gt;&lt;author&gt;Liu, Yu&lt;/author&gt;&lt;author&gt;Wu, Xi-Jun&lt;/author&gt;&lt;/authors&gt;&lt;/contributors&gt;&lt;titles&gt;&lt;title&gt;Analysis of the mechanism for enhanced pyrene biodegradation based on the interactions between iron-ions and Rhodococcus ruber strain L9&lt;/title&gt;&lt;secondary-title&gt;Ecotoxicology and Environmental Safety&lt;/secondary-title&gt;&lt;/titles&gt;&lt;periodical&gt;&lt;full-title&gt;Ecotoxicology and environmental safety&lt;/full-title&gt;&lt;/periodical&gt;&lt;pages&gt;112789&lt;/pages&gt;&lt;volume&gt;225&lt;/volume&gt;&lt;dates&gt;&lt;year&gt;2021&lt;/year&gt;&lt;/dates&gt;&lt;isbn&gt;0147-6513&lt;/isbn&gt;&lt;urls&gt;&lt;/urls&gt;&lt;/record&gt;&lt;/Cite&gt;&lt;/EndNote&gt;</w:instrText>
      </w:r>
      <w:r w:rsidRPr="00447599">
        <w:rPr>
          <w:rFonts w:asciiTheme="majorBidi" w:eastAsia="Arial" w:hAnsiTheme="majorBidi" w:cstheme="majorBidi"/>
          <w:color w:val="000000" w:themeColor="text1"/>
          <w:lang w:bidi="fa-IR"/>
        </w:rPr>
        <w:fldChar w:fldCharType="separate"/>
      </w:r>
      <w:r w:rsidR="00017A0C" w:rsidRPr="00447599">
        <w:rPr>
          <w:rFonts w:asciiTheme="majorBidi" w:eastAsia="Arial" w:hAnsiTheme="majorBidi" w:cstheme="majorBidi"/>
          <w:noProof/>
          <w:color w:val="000000" w:themeColor="text1"/>
          <w:vertAlign w:val="superscript"/>
          <w:lang w:bidi="fa-IR"/>
        </w:rPr>
        <w:t>22, 23</w:t>
      </w:r>
      <w:r w:rsidRPr="00447599">
        <w:rPr>
          <w:rFonts w:asciiTheme="majorBidi" w:eastAsia="Arial" w:hAnsiTheme="majorBidi" w:cstheme="majorBidi"/>
          <w:color w:val="000000" w:themeColor="text1"/>
          <w:lang w:bidi="fa-IR"/>
        </w:rPr>
        <w:fldChar w:fldCharType="end"/>
      </w:r>
      <w:r w:rsidRPr="00447599">
        <w:rPr>
          <w:rFonts w:asciiTheme="majorBidi" w:eastAsia="Arial" w:hAnsiTheme="majorBidi" w:cstheme="majorBidi"/>
          <w:color w:val="000000" w:themeColor="text1"/>
          <w:lang w:bidi="fa-IR"/>
        </w:rPr>
        <w:t xml:space="preserve">  </w:t>
      </w:r>
      <w:r w:rsidRPr="00447599">
        <w:rPr>
          <w:rFonts w:asciiTheme="majorBidi" w:eastAsia="Arial" w:hAnsiTheme="majorBidi" w:cstheme="majorBidi"/>
          <w:color w:val="000000" w:themeColor="text1"/>
          <w:lang w:val="en-CA" w:bidi="fa-IR"/>
        </w:rPr>
        <w:t>Salicylaldehyde dehydrogenase was followed by the decrease in salicylaldehyde at 255 nm (ε = 9.74 mM</w:t>
      </w:r>
      <w:r w:rsidRPr="00447599">
        <w:rPr>
          <w:rFonts w:asciiTheme="majorBidi" w:eastAsia="Arial" w:hAnsiTheme="majorBidi" w:cstheme="majorBidi"/>
          <w:color w:val="000000" w:themeColor="text1"/>
          <w:vertAlign w:val="superscript"/>
          <w:lang w:val="en-CA" w:bidi="fa-IR"/>
        </w:rPr>
        <w:t>−1</w:t>
      </w:r>
      <w:r w:rsidRPr="00447599">
        <w:rPr>
          <w:rFonts w:asciiTheme="majorBidi" w:eastAsia="Arial" w:hAnsiTheme="majorBidi" w:cstheme="majorBidi"/>
          <w:color w:val="000000" w:themeColor="text1"/>
          <w:lang w:val="en-CA" w:bidi="fa-IR"/>
        </w:rPr>
        <w:t xml:space="preserve"> cm</w:t>
      </w:r>
      <w:r w:rsidRPr="00447599">
        <w:rPr>
          <w:rFonts w:asciiTheme="majorBidi" w:eastAsia="Arial" w:hAnsiTheme="majorBidi" w:cstheme="majorBidi"/>
          <w:color w:val="000000" w:themeColor="text1"/>
          <w:vertAlign w:val="superscript"/>
          <w:lang w:val="en-CA" w:bidi="fa-IR"/>
        </w:rPr>
        <w:t>−1</w:t>
      </w:r>
      <w:r w:rsidRPr="00447599">
        <w:rPr>
          <w:rFonts w:asciiTheme="majorBidi" w:eastAsia="Arial" w:hAnsiTheme="majorBidi" w:cstheme="majorBidi"/>
          <w:color w:val="000000" w:themeColor="text1"/>
          <w:lang w:val="en-CA" w:bidi="fa-IR"/>
        </w:rPr>
        <w:t>) in the presence of NAD</w:t>
      </w:r>
      <w:r w:rsidRPr="00447599">
        <w:rPr>
          <w:rFonts w:asciiTheme="majorBidi" w:eastAsia="Arial" w:hAnsiTheme="majorBidi" w:cstheme="majorBidi"/>
          <w:color w:val="000000" w:themeColor="text1"/>
          <w:vertAlign w:val="superscript"/>
          <w:lang w:val="en-CA" w:bidi="fa-IR"/>
        </w:rPr>
        <w:t>+1</w:t>
      </w:r>
      <w:r w:rsidRPr="00447599">
        <w:rPr>
          <w:rFonts w:asciiTheme="majorBidi" w:eastAsia="Arial" w:hAnsiTheme="majorBidi" w:cstheme="majorBidi"/>
          <w:color w:val="000000" w:themeColor="text1"/>
          <w:lang w:val="en-CA" w:bidi="fa-IR"/>
        </w:rPr>
        <w:t xml:space="preserve"> mM, salicylaldehyde 1 mM, phosphate buffer (pH 7.4) 10 mM and the crude extract. </w:t>
      </w:r>
      <w:r w:rsidRPr="00447599">
        <w:rPr>
          <w:rFonts w:asciiTheme="majorBidi" w:eastAsia="Arial" w:hAnsiTheme="majorBidi" w:cstheme="majorBidi"/>
          <w:color w:val="000000" w:themeColor="text1"/>
          <w:lang w:val="en-CA" w:bidi="fa-IR"/>
        </w:rPr>
        <w:fldChar w:fldCharType="begin"/>
      </w:r>
      <w:r w:rsidR="00070AE2" w:rsidRPr="00447599">
        <w:rPr>
          <w:rFonts w:asciiTheme="majorBidi" w:eastAsia="Arial" w:hAnsiTheme="majorBidi" w:cstheme="majorBidi"/>
          <w:color w:val="000000" w:themeColor="text1"/>
          <w:lang w:val="en-CA" w:bidi="fa-IR"/>
        </w:rPr>
        <w:instrText xml:space="preserve"> ADDIN EN.CITE &lt;EndNote&gt;&lt;Cite&gt;&lt;Author&gt;Miri&lt;/Author&gt;&lt;Year&gt;2021&lt;/Year&gt;&lt;RecNum&gt;215&lt;/RecNum&gt;&lt;DisplayText&gt;&lt;style face="superscript"&gt;1&lt;/style&gt;&lt;/DisplayText&gt;&lt;record&gt;&lt;rec-number&gt;215&lt;/rec-number&gt;&lt;foreign-keys&gt;&lt;key app="EN" db-id="e29dz2seoxz0a5es2wbveszlv0aaex2r2sra" timestamp="1659989091"&gt;215&lt;/key&gt;&lt;/foreign-keys&gt;&lt;ref-type name="Journal Article"&gt;17&lt;/ref-type&gt;&lt;contributors&gt;&lt;authors&gt;&lt;author&gt;Miri, Saba&lt;/author&gt;&lt;author&gt;Davoodi, Seyyed Mohammadreza&lt;/author&gt;&lt;author&gt;Brar, Satinder Kaur&lt;/author&gt;&lt;author&gt;Rouissi, Tarek&lt;/author&gt;&lt;author&gt;Sheng, Yi&lt;/author&gt;&lt;author&gt;Martel, Richard&lt;/author&gt;&lt;/authors&gt;&lt;/contributors&gt;&lt;titles&gt;&lt;title&gt;Psychrozymes as novel tools to biodegrade p-xylene and potential use for contaminated groundwater in the cold climate&lt;/title&gt;&lt;secondary-title&gt;Bioresource Technology&lt;/secondary-title&gt;&lt;/titles&gt;&lt;periodical&gt;&lt;full-title&gt;Bioresource Technology&lt;/full-title&gt;&lt;/periodical&gt;&lt;pages&gt;124464&lt;/pages&gt;&lt;volume&gt;321&lt;/volume&gt;&lt;dates&gt;&lt;year&gt;2021&lt;/year&gt;&lt;/dates&gt;&lt;isbn&gt;0960-8524&lt;/isbn&gt;&lt;urls&gt;&lt;/urls&gt;&lt;/record&gt;&lt;/Cite&gt;&lt;/EndNote&gt;</w:instrText>
      </w:r>
      <w:r w:rsidRPr="00447599">
        <w:rPr>
          <w:rFonts w:asciiTheme="majorBidi" w:eastAsia="Arial" w:hAnsiTheme="majorBidi" w:cstheme="majorBidi"/>
          <w:color w:val="000000" w:themeColor="text1"/>
          <w:lang w:val="en-CA" w:bidi="fa-IR"/>
        </w:rPr>
        <w:fldChar w:fldCharType="separate"/>
      </w:r>
      <w:r w:rsidR="00070AE2" w:rsidRPr="00447599">
        <w:rPr>
          <w:rFonts w:asciiTheme="majorBidi" w:eastAsia="Arial" w:hAnsiTheme="majorBidi" w:cstheme="majorBidi"/>
          <w:noProof/>
          <w:color w:val="000000" w:themeColor="text1"/>
          <w:vertAlign w:val="superscript"/>
          <w:lang w:val="en-CA" w:bidi="fa-IR"/>
        </w:rPr>
        <w:t>1</w:t>
      </w:r>
      <w:r w:rsidRPr="00447599">
        <w:rPr>
          <w:rFonts w:asciiTheme="majorBidi" w:eastAsia="Arial" w:hAnsiTheme="majorBidi" w:cstheme="majorBidi"/>
          <w:color w:val="000000" w:themeColor="text1"/>
          <w:lang w:val="en-CA" w:bidi="fa-IR"/>
        </w:rPr>
        <w:fldChar w:fldCharType="end"/>
      </w:r>
    </w:p>
    <w:p w14:paraId="781638BF" w14:textId="77777777" w:rsidR="00DE4FCD" w:rsidRPr="00447599" w:rsidRDefault="00DE4FCD" w:rsidP="003340EF">
      <w:pPr>
        <w:spacing w:line="276" w:lineRule="auto"/>
        <w:jc w:val="both"/>
        <w:rPr>
          <w:rFonts w:asciiTheme="majorBidi" w:eastAsia="Arial" w:hAnsiTheme="majorBidi" w:cstheme="majorBidi"/>
          <w:color w:val="000000" w:themeColor="text1"/>
          <w:lang w:bidi="fa-IR"/>
        </w:rPr>
      </w:pPr>
    </w:p>
    <w:p w14:paraId="1E8F5A39" w14:textId="35FE6702" w:rsidR="00DE4FCD" w:rsidRPr="00447599" w:rsidRDefault="00DE4FCD" w:rsidP="003340EF">
      <w:pPr>
        <w:spacing w:line="276" w:lineRule="auto"/>
        <w:jc w:val="both"/>
        <w:rPr>
          <w:rFonts w:asciiTheme="majorBidi" w:eastAsia="Arial" w:hAnsiTheme="majorBidi" w:cstheme="majorBidi"/>
          <w:color w:val="000000" w:themeColor="text1"/>
          <w:lang w:val="en-CA" w:bidi="fa-IR"/>
        </w:rPr>
      </w:pPr>
      <w:r w:rsidRPr="00447599">
        <w:rPr>
          <w:rFonts w:asciiTheme="majorBidi" w:eastAsia="Arial" w:hAnsiTheme="majorBidi" w:cstheme="majorBidi"/>
          <w:color w:val="000000" w:themeColor="text1"/>
          <w:lang w:bidi="fa-IR"/>
        </w:rPr>
        <w:t xml:space="preserve">1-hydroxy-2-naphthoate (HNH) and salicylate </w:t>
      </w:r>
      <w:r w:rsidRPr="00447599">
        <w:rPr>
          <w:rFonts w:ascii="Calibri" w:eastAsia="Arial" w:hAnsi="Calibri" w:cs="Calibri"/>
          <w:color w:val="000000" w:themeColor="text1"/>
          <w:lang w:bidi="fa-IR"/>
        </w:rPr>
        <w:t>﻿</w:t>
      </w:r>
      <w:r w:rsidRPr="00447599">
        <w:rPr>
          <w:rFonts w:asciiTheme="majorBidi" w:eastAsia="Arial" w:hAnsiTheme="majorBidi" w:cstheme="majorBidi"/>
          <w:color w:val="000000" w:themeColor="text1"/>
          <w:lang w:bidi="fa-IR"/>
        </w:rPr>
        <w:t xml:space="preserve"> hydroxylase activities were measured at 340 nm by an assay described by Balashova et al. </w:t>
      </w:r>
      <w:r w:rsidRPr="00447599">
        <w:rPr>
          <w:rFonts w:asciiTheme="majorBidi" w:eastAsia="Arial" w:hAnsiTheme="majorBidi" w:cstheme="majorBidi"/>
          <w:color w:val="000000" w:themeColor="text1"/>
          <w:lang w:bidi="fa-IR"/>
        </w:rPr>
        <w:fldChar w:fldCharType="begin"/>
      </w:r>
      <w:r w:rsidR="00017A0C" w:rsidRPr="00447599">
        <w:rPr>
          <w:rFonts w:asciiTheme="majorBidi" w:eastAsia="Arial" w:hAnsiTheme="majorBidi" w:cstheme="majorBidi"/>
          <w:color w:val="000000" w:themeColor="text1"/>
          <w:lang w:bidi="fa-IR"/>
        </w:rPr>
        <w:instrText xml:space="preserve"> ADDIN EN.CITE &lt;EndNote&gt;&lt;Cite&gt;&lt;Author&gt;Balashova&lt;/Author&gt;&lt;Year&gt;2001&lt;/Year&gt;&lt;RecNum&gt;216&lt;/RecNum&gt;&lt;DisplayText&gt;&lt;style face="superscript"&gt;24&lt;/style&gt;&lt;/DisplayText&gt;&lt;record&gt;&lt;rec-number&gt;216&lt;/rec-number&gt;&lt;foreign-keys&gt;&lt;key app="EN" db-id="e29dz2seoxz0a5es2wbveszlv0aaex2r2sra" timestamp="1659989091"&gt;216&lt;/key&gt;&lt;/foreign-keys&gt;&lt;ref-type name="Journal Article"&gt;17&lt;/ref-type&gt;&lt;contributors&gt;&lt;authors&gt;&lt;author&gt;Balashova, NV&lt;/author&gt;&lt;author&gt;Stolz, A&lt;/author&gt;&lt;author&gt;Knackmuss, HJ&lt;/author&gt;&lt;author&gt;Kosheleva, IA&lt;/author&gt;&lt;author&gt;Naumov, AV&lt;/author&gt;&lt;author&gt;Boronin, AM&lt;/author&gt;&lt;/authors&gt;&lt;/contributors&gt;&lt;titles&gt;&lt;title&gt;Purification and characterization of a salicylate hydroxylase involved in 1-hydroxy-2-naphthoic acid hydroxylation from the naphthalene and phenanthrene-degrading bacterial strain Pseudomonas putida BS202-P1&lt;/title&gt;&lt;secondary-title&gt;Biodegradation&lt;/secondary-title&gt;&lt;/titles&gt;&lt;periodical&gt;&lt;full-title&gt;Biodegradation&lt;/full-title&gt;&lt;/periodical&gt;&lt;pages&gt;179-188&lt;/pages&gt;&lt;volume&gt;12&lt;/volume&gt;&lt;number&gt;3&lt;/number&gt;&lt;dates&gt;&lt;year&gt;2001&lt;/year&gt;&lt;/dates&gt;&lt;isbn&gt;1572-9729&lt;/isbn&gt;&lt;urls&gt;&lt;/urls&gt;&lt;/record&gt;&lt;/Cite&gt;&lt;/EndNote&gt;</w:instrText>
      </w:r>
      <w:r w:rsidRPr="00447599">
        <w:rPr>
          <w:rFonts w:asciiTheme="majorBidi" w:eastAsia="Arial" w:hAnsiTheme="majorBidi" w:cstheme="majorBidi"/>
          <w:color w:val="000000" w:themeColor="text1"/>
          <w:lang w:bidi="fa-IR"/>
        </w:rPr>
        <w:fldChar w:fldCharType="separate"/>
      </w:r>
      <w:r w:rsidR="00017A0C" w:rsidRPr="00447599">
        <w:rPr>
          <w:rFonts w:asciiTheme="majorBidi" w:eastAsia="Arial" w:hAnsiTheme="majorBidi" w:cstheme="majorBidi"/>
          <w:noProof/>
          <w:color w:val="000000" w:themeColor="text1"/>
          <w:vertAlign w:val="superscript"/>
          <w:lang w:bidi="fa-IR"/>
        </w:rPr>
        <w:t>24</w:t>
      </w:r>
      <w:r w:rsidRPr="00447599">
        <w:rPr>
          <w:rFonts w:asciiTheme="majorBidi" w:eastAsia="Arial" w:hAnsiTheme="majorBidi" w:cstheme="majorBidi"/>
          <w:color w:val="000000" w:themeColor="text1"/>
          <w:lang w:bidi="fa-IR"/>
        </w:rPr>
        <w:fldChar w:fldCharType="end"/>
      </w:r>
      <w:r w:rsidRPr="00447599">
        <w:rPr>
          <w:rFonts w:asciiTheme="majorBidi" w:eastAsia="Arial" w:hAnsiTheme="majorBidi" w:cstheme="majorBidi"/>
          <w:color w:val="000000" w:themeColor="text1"/>
          <w:lang w:bidi="fa-IR"/>
        </w:rPr>
        <w:t xml:space="preserve"> </w:t>
      </w:r>
      <w:r w:rsidRPr="00447599">
        <w:rPr>
          <w:rFonts w:ascii="Calibri" w:eastAsia="Arial" w:hAnsi="Calibri" w:cs="Calibri"/>
          <w:color w:val="000000" w:themeColor="text1"/>
          <w:lang w:bidi="fa-IR"/>
        </w:rPr>
        <w:t>﻿</w:t>
      </w:r>
      <w:r w:rsidRPr="00447599">
        <w:rPr>
          <w:rFonts w:asciiTheme="majorBidi" w:eastAsia="Arial" w:hAnsiTheme="majorBidi" w:cstheme="majorBidi"/>
          <w:color w:val="000000" w:themeColor="text1"/>
          <w:lang w:bidi="fa-IR"/>
        </w:rPr>
        <w:t>The reaction mixture (1 ml) contained  20 mM KH</w:t>
      </w:r>
      <w:r w:rsidRPr="00447599">
        <w:rPr>
          <w:rFonts w:asciiTheme="majorBidi" w:eastAsia="Arial" w:hAnsiTheme="majorBidi" w:cstheme="majorBidi"/>
          <w:color w:val="000000" w:themeColor="text1"/>
          <w:vertAlign w:val="subscript"/>
          <w:lang w:bidi="fa-IR"/>
        </w:rPr>
        <w:t>2</w:t>
      </w:r>
      <w:r w:rsidRPr="00447599">
        <w:rPr>
          <w:rFonts w:asciiTheme="majorBidi" w:eastAsia="Arial" w:hAnsiTheme="majorBidi" w:cstheme="majorBidi"/>
          <w:color w:val="000000" w:themeColor="text1"/>
          <w:lang w:bidi="fa-IR"/>
        </w:rPr>
        <w:t>PO</w:t>
      </w:r>
      <w:r w:rsidRPr="00447599">
        <w:rPr>
          <w:rFonts w:asciiTheme="majorBidi" w:eastAsia="Arial" w:hAnsiTheme="majorBidi" w:cstheme="majorBidi"/>
          <w:color w:val="000000" w:themeColor="text1"/>
          <w:vertAlign w:val="subscript"/>
          <w:lang w:bidi="fa-IR"/>
        </w:rPr>
        <w:t>4</w:t>
      </w:r>
      <w:r w:rsidRPr="00447599">
        <w:rPr>
          <w:rFonts w:asciiTheme="majorBidi" w:eastAsia="Arial" w:hAnsiTheme="majorBidi" w:cstheme="majorBidi"/>
          <w:color w:val="000000" w:themeColor="text1"/>
          <w:lang w:bidi="fa-IR"/>
        </w:rPr>
        <w:t xml:space="preserve"> (pH 7.5), 100 µl cell extract, 100 µM NADH, and 50 µM 1-hydroxy-2-naphthoate or salicylate, respectively. Molar reaction coefficient at 340 nm of 5.08 and 6.22 mM</w:t>
      </w:r>
      <w:r w:rsidRPr="00447599">
        <w:rPr>
          <w:rFonts w:asciiTheme="majorBidi" w:eastAsia="Arial" w:hAnsiTheme="majorBidi" w:cstheme="majorBidi"/>
          <w:color w:val="000000" w:themeColor="text1"/>
          <w:vertAlign w:val="superscript"/>
          <w:lang w:bidi="fa-IR"/>
        </w:rPr>
        <w:t>−1</w:t>
      </w:r>
      <w:r w:rsidRPr="00447599">
        <w:rPr>
          <w:rFonts w:asciiTheme="majorBidi" w:eastAsia="Arial" w:hAnsiTheme="majorBidi" w:cstheme="majorBidi"/>
          <w:color w:val="000000" w:themeColor="text1"/>
          <w:lang w:bidi="fa-IR"/>
        </w:rPr>
        <w:t>cm</w:t>
      </w:r>
      <w:r w:rsidRPr="00447599">
        <w:rPr>
          <w:rFonts w:asciiTheme="majorBidi" w:eastAsia="Arial" w:hAnsiTheme="majorBidi" w:cstheme="majorBidi"/>
          <w:color w:val="000000" w:themeColor="text1"/>
          <w:vertAlign w:val="superscript"/>
          <w:lang w:bidi="fa-IR"/>
        </w:rPr>
        <w:t xml:space="preserve">−1 </w:t>
      </w:r>
      <w:r w:rsidRPr="00447599">
        <w:rPr>
          <w:rFonts w:asciiTheme="majorBidi" w:eastAsia="Arial" w:hAnsiTheme="majorBidi" w:cstheme="majorBidi"/>
          <w:color w:val="000000" w:themeColor="text1"/>
          <w:lang w:bidi="fa-IR"/>
        </w:rPr>
        <w:t>were used to</w:t>
      </w:r>
      <w:r w:rsidRPr="00447599">
        <w:rPr>
          <w:rFonts w:asciiTheme="majorBidi" w:eastAsia="Arial" w:hAnsiTheme="majorBidi" w:cstheme="majorBidi"/>
          <w:color w:val="000000" w:themeColor="text1"/>
          <w:vertAlign w:val="superscript"/>
          <w:lang w:bidi="fa-IR"/>
        </w:rPr>
        <w:t xml:space="preserve"> </w:t>
      </w:r>
      <w:r w:rsidRPr="00447599">
        <w:rPr>
          <w:rFonts w:asciiTheme="majorBidi" w:eastAsia="Arial" w:hAnsiTheme="majorBidi" w:cstheme="majorBidi"/>
          <w:color w:val="000000" w:themeColor="text1"/>
          <w:lang w:bidi="fa-IR"/>
        </w:rPr>
        <w:t xml:space="preserve">determine the reaction of </w:t>
      </w:r>
      <w:r w:rsidRPr="00447599">
        <w:rPr>
          <w:rFonts w:ascii="Calibri" w:eastAsia="Arial" w:hAnsi="Calibri" w:cs="Calibri"/>
          <w:color w:val="000000" w:themeColor="text1"/>
          <w:lang w:bidi="fa-IR"/>
        </w:rPr>
        <w:t>﻿</w:t>
      </w:r>
      <w:r w:rsidRPr="00447599">
        <w:rPr>
          <w:rFonts w:asciiTheme="majorBidi" w:eastAsia="Arial" w:hAnsiTheme="majorBidi" w:cstheme="majorBidi"/>
          <w:color w:val="000000" w:themeColor="text1"/>
          <w:lang w:bidi="fa-IR"/>
        </w:rPr>
        <w:t>1-hydroxy-2 naphthoate and salicylate. The rate of change in light absorption was measured at 340 nm. One unit of activity is the amount of enzyme that is needed to catalyze the conversion of one mol of NADH per minute into oxygen.</w:t>
      </w:r>
      <w:r w:rsidRPr="00447599">
        <w:rPr>
          <w:rFonts w:asciiTheme="majorBidi" w:eastAsia="Arial" w:hAnsiTheme="majorBidi" w:cstheme="majorBidi"/>
          <w:color w:val="000000" w:themeColor="text1"/>
          <w:lang w:val="en-CA" w:bidi="fa-IR"/>
        </w:rPr>
        <w:fldChar w:fldCharType="begin"/>
      </w:r>
      <w:r w:rsidR="00017A0C" w:rsidRPr="00447599">
        <w:rPr>
          <w:rFonts w:asciiTheme="majorBidi" w:eastAsia="Arial" w:hAnsiTheme="majorBidi" w:cstheme="majorBidi"/>
          <w:color w:val="000000" w:themeColor="text1"/>
          <w:lang w:val="en-CA" w:bidi="fa-IR"/>
        </w:rPr>
        <w:instrText xml:space="preserve"> ADDIN EN.CITE &lt;EndNote&gt;&lt;Cite&gt;&lt;Author&gt;Sze&lt;/Author&gt;&lt;Year&gt;1984&lt;/Year&gt;&lt;RecNum&gt;217&lt;/RecNum&gt;&lt;DisplayText&gt;&lt;style face="superscript"&gt;25&lt;/style&gt;&lt;/DisplayText&gt;&lt;record&gt;&lt;rec-number&gt;217&lt;/rec-number&gt;&lt;foreign-keys&gt;&lt;key app="EN" db-id="e29dz2seoxz0a5es2wbveszlv0aaex2r2sra" timestamp="1659989091"&gt;217&lt;/key&gt;&lt;/foreign-keys&gt;&lt;ref-type name="Journal Article"&gt;17&lt;/ref-type&gt;&lt;contributors&gt;&lt;authors&gt;&lt;author&gt;Sze, IS&lt;/author&gt;&lt;author&gt;Dagley, STANLEY&lt;/author&gt;&lt;/authors&gt;&lt;/contributors&gt;&lt;titles&gt;&lt;title&gt;Properties of salicylate hydroxylase and hydroxyquinol 1, 2-dioxygenase purified from Trichosporon cutaneum&lt;/title&gt;&lt;secondary-title&gt;Journal of bacteriology&lt;/secondary-title&gt;&lt;/titles&gt;&lt;periodical&gt;&lt;full-title&gt;Journal of bacteriology&lt;/full-title&gt;&lt;/periodical&gt;&lt;pages&gt;353-359&lt;/pages&gt;&lt;volume&gt;159&lt;/volume&gt;&lt;number&gt;1&lt;/number&gt;&lt;dates&gt;&lt;year&gt;1984&lt;/year&gt;&lt;/dates&gt;&lt;isbn&gt;0021-9193&lt;/isbn&gt;&lt;urls&gt;&lt;/urls&gt;&lt;/record&gt;&lt;/Cite&gt;&lt;/EndNote&gt;</w:instrText>
      </w:r>
      <w:r w:rsidRPr="00447599">
        <w:rPr>
          <w:rFonts w:asciiTheme="majorBidi" w:eastAsia="Arial" w:hAnsiTheme="majorBidi" w:cstheme="majorBidi"/>
          <w:color w:val="000000" w:themeColor="text1"/>
          <w:lang w:val="en-CA" w:bidi="fa-IR"/>
        </w:rPr>
        <w:fldChar w:fldCharType="separate"/>
      </w:r>
      <w:r w:rsidR="00017A0C" w:rsidRPr="00447599">
        <w:rPr>
          <w:rFonts w:asciiTheme="majorBidi" w:eastAsia="Arial" w:hAnsiTheme="majorBidi" w:cstheme="majorBidi"/>
          <w:noProof/>
          <w:color w:val="000000" w:themeColor="text1"/>
          <w:vertAlign w:val="superscript"/>
          <w:lang w:val="en-CA" w:bidi="fa-IR"/>
        </w:rPr>
        <w:t>25</w:t>
      </w:r>
      <w:r w:rsidRPr="00447599">
        <w:rPr>
          <w:rFonts w:asciiTheme="majorBidi" w:eastAsia="Arial" w:hAnsiTheme="majorBidi" w:cstheme="majorBidi"/>
          <w:color w:val="000000" w:themeColor="text1"/>
          <w:lang w:val="en-CA" w:bidi="fa-IR"/>
        </w:rPr>
        <w:fldChar w:fldCharType="end"/>
      </w:r>
    </w:p>
    <w:p w14:paraId="7C850DC7" w14:textId="77777777" w:rsidR="00DE4FCD" w:rsidRPr="00447599" w:rsidRDefault="00DE4FCD" w:rsidP="003340EF">
      <w:pPr>
        <w:spacing w:line="276" w:lineRule="auto"/>
        <w:jc w:val="both"/>
        <w:rPr>
          <w:rFonts w:asciiTheme="majorBidi" w:eastAsia="Arial" w:hAnsiTheme="majorBidi" w:cstheme="majorBidi"/>
          <w:color w:val="000000" w:themeColor="text1"/>
          <w:lang w:val="en-CA" w:bidi="fa-IR"/>
        </w:rPr>
      </w:pPr>
    </w:p>
    <w:p w14:paraId="6216D311" w14:textId="223F1D3F" w:rsidR="00C458F8" w:rsidRPr="00447599" w:rsidRDefault="00DE4FCD" w:rsidP="003340EF">
      <w:pPr>
        <w:spacing w:line="276" w:lineRule="auto"/>
        <w:jc w:val="both"/>
        <w:rPr>
          <w:rFonts w:asciiTheme="majorBidi" w:eastAsia="Arial" w:hAnsiTheme="majorBidi" w:cstheme="majorBidi"/>
          <w:color w:val="000000" w:themeColor="text1"/>
          <w:lang w:val="en-CA" w:bidi="fa-IR"/>
        </w:rPr>
      </w:pPr>
      <w:r w:rsidRPr="00447599">
        <w:rPr>
          <w:rFonts w:asciiTheme="majorBidi" w:eastAsia="Arial" w:hAnsiTheme="majorBidi" w:cstheme="majorBidi"/>
          <w:color w:val="000000" w:themeColor="text1"/>
          <w:lang w:val="en-CA" w:bidi="fa-IR"/>
        </w:rPr>
        <w:t>Protocatechuic acid (PCA) 3,4-dioxygenase enzyme assays were performed using quartz cuvettes with a 10-mm light path and UV-VIS spectrophotometer.</w:t>
      </w:r>
      <w:r w:rsidRPr="00447599">
        <w:rPr>
          <w:rFonts w:asciiTheme="majorBidi" w:eastAsia="Arial" w:hAnsiTheme="majorBidi" w:cstheme="majorBidi"/>
          <w:color w:val="000000" w:themeColor="text1"/>
          <w:lang w:val="en-CA" w:bidi="fa-IR"/>
        </w:rPr>
        <w:fldChar w:fldCharType="begin"/>
      </w:r>
      <w:r w:rsidR="00017A0C" w:rsidRPr="00447599">
        <w:rPr>
          <w:rFonts w:asciiTheme="majorBidi" w:eastAsia="Arial" w:hAnsiTheme="majorBidi" w:cstheme="majorBidi"/>
          <w:color w:val="000000" w:themeColor="text1"/>
          <w:lang w:val="en-CA" w:bidi="fa-IR"/>
        </w:rPr>
        <w:instrText xml:space="preserve"> ADDIN EN.CITE &lt;EndNote&gt;&lt;Cite&gt;&lt;Author&gt;Tomás‐Gallardo&lt;/Author&gt;&lt;Year&gt;2006&lt;/Year&gt;&lt;RecNum&gt;218&lt;/RecNum&gt;&lt;DisplayText&gt;&lt;style face="superscript"&gt;26&lt;/style&gt;&lt;/DisplayText&gt;&lt;record&gt;&lt;rec-number&gt;218&lt;/rec-number&gt;&lt;foreign-keys&gt;&lt;key app="EN" db-id="e29dz2seoxz0a5es2wbveszlv0aaex2r2sra" timestamp="1659989091"&gt;218&lt;/key&gt;&lt;/foreign-keys&gt;&lt;ref-type name="Journal Article"&gt;17&lt;/ref-type&gt;&lt;contributors&gt;&lt;authors&gt;&lt;author&gt;Tomás‐Gallardo, Laura&lt;/author&gt;&lt;author&gt;Canosa, Inés&lt;/author&gt;&lt;author&gt;Santero, Eduardo&lt;/author&gt;&lt;author&gt;Camafeita, Emilio&lt;/author&gt;&lt;author&gt;Calvo, Enrique&lt;/author&gt;&lt;author&gt;López, Juan A&lt;/author&gt;&lt;author&gt;Floriano, Belén&lt;/author&gt;&lt;/authors&gt;&lt;/contributors&gt;&lt;titles&gt;&lt;title&gt;Proteomic and transcriptional characterization of aromatic degradation pathways in Rhodoccocus sp. strain TFB&lt;/title&gt;&lt;secondary-title&gt;Proteomics&lt;/secondary-title&gt;&lt;/titles&gt;&lt;periodical&gt;&lt;full-title&gt;Proteomics&lt;/full-title&gt;&lt;/periodical&gt;&lt;pages&gt;S119-S132&lt;/pages&gt;&lt;volume&gt;6&lt;/volume&gt;&lt;number&gt;S1&lt;/number&gt;&lt;dates&gt;&lt;year&gt;2006&lt;/year&gt;&lt;/dates&gt;&lt;isbn&gt;1615-9853&lt;/isbn&gt;&lt;urls&gt;&lt;/urls&gt;&lt;/record&gt;&lt;/Cite&gt;&lt;/EndNote&gt;</w:instrText>
      </w:r>
      <w:r w:rsidRPr="00447599">
        <w:rPr>
          <w:rFonts w:asciiTheme="majorBidi" w:eastAsia="Arial" w:hAnsiTheme="majorBidi" w:cstheme="majorBidi"/>
          <w:color w:val="000000" w:themeColor="text1"/>
          <w:lang w:val="en-CA" w:bidi="fa-IR"/>
        </w:rPr>
        <w:fldChar w:fldCharType="separate"/>
      </w:r>
      <w:r w:rsidR="00017A0C" w:rsidRPr="00447599">
        <w:rPr>
          <w:rFonts w:asciiTheme="majorBidi" w:eastAsia="Arial" w:hAnsiTheme="majorBidi" w:cstheme="majorBidi"/>
          <w:noProof/>
          <w:color w:val="000000" w:themeColor="text1"/>
          <w:vertAlign w:val="superscript"/>
          <w:lang w:val="en-CA" w:bidi="fa-IR"/>
        </w:rPr>
        <w:t>26</w:t>
      </w:r>
      <w:r w:rsidRPr="00447599">
        <w:rPr>
          <w:rFonts w:asciiTheme="majorBidi" w:eastAsia="Arial" w:hAnsiTheme="majorBidi" w:cstheme="majorBidi"/>
          <w:color w:val="000000" w:themeColor="text1"/>
          <w:lang w:val="en-CA" w:bidi="fa-IR"/>
        </w:rPr>
        <w:fldChar w:fldCharType="end"/>
      </w:r>
      <w:r w:rsidRPr="00447599">
        <w:rPr>
          <w:rFonts w:asciiTheme="majorBidi" w:eastAsia="Arial" w:hAnsiTheme="majorBidi" w:cstheme="majorBidi"/>
          <w:color w:val="000000" w:themeColor="text1"/>
          <w:lang w:val="en-CA" w:bidi="fa-IR"/>
        </w:rPr>
        <w:t xml:space="preserve"> Approximately 100 to 150 mg of crude extract was added to a reaction mixture containing 50 mM Tris-HCl, pH 8.8 and 160 mM PCA. PCA 3,4-dioxygenase was followed by the decrease in PCA at 290 nm (ε = 5.11 mM</w:t>
      </w:r>
      <w:r w:rsidRPr="00447599">
        <w:rPr>
          <w:rFonts w:asciiTheme="majorBidi" w:eastAsia="Arial" w:hAnsiTheme="majorBidi" w:cstheme="majorBidi"/>
          <w:color w:val="000000" w:themeColor="text1"/>
          <w:vertAlign w:val="superscript"/>
          <w:lang w:val="en-CA" w:bidi="fa-IR"/>
        </w:rPr>
        <w:t>−1</w:t>
      </w:r>
      <w:r w:rsidRPr="00447599">
        <w:rPr>
          <w:rFonts w:asciiTheme="majorBidi" w:eastAsia="Arial" w:hAnsiTheme="majorBidi" w:cstheme="majorBidi"/>
          <w:color w:val="000000" w:themeColor="text1"/>
          <w:lang w:val="en-CA" w:bidi="fa-IR"/>
        </w:rPr>
        <w:t xml:space="preserve"> cm</w:t>
      </w:r>
      <w:r w:rsidRPr="00447599">
        <w:rPr>
          <w:rFonts w:asciiTheme="majorBidi" w:eastAsia="Arial" w:hAnsiTheme="majorBidi" w:cstheme="majorBidi"/>
          <w:color w:val="000000" w:themeColor="text1"/>
          <w:vertAlign w:val="superscript"/>
          <w:lang w:val="en-CA" w:bidi="fa-IR"/>
        </w:rPr>
        <w:t>−1</w:t>
      </w:r>
      <w:r w:rsidRPr="00447599">
        <w:rPr>
          <w:rFonts w:asciiTheme="majorBidi" w:eastAsia="Arial" w:hAnsiTheme="majorBidi" w:cstheme="majorBidi"/>
          <w:color w:val="000000" w:themeColor="text1"/>
          <w:lang w:val="en-CA" w:bidi="fa-IR"/>
        </w:rPr>
        <w:t>). An enzyme activity unit (U) is defined as mmols of PCA transformed per minute. Using the Bradford assay kit as mentioned previously</w:t>
      </w:r>
      <w:r w:rsidRPr="00447599">
        <w:rPr>
          <w:rFonts w:asciiTheme="majorBidi" w:eastAsia="Arial" w:hAnsiTheme="majorBidi" w:cstheme="majorBidi"/>
          <w:color w:val="000000" w:themeColor="text1"/>
          <w:lang w:val="en-CA" w:bidi="fa-IR"/>
        </w:rPr>
        <w:fldChar w:fldCharType="begin"/>
      </w:r>
      <w:r w:rsidR="00017A0C" w:rsidRPr="00447599">
        <w:rPr>
          <w:rFonts w:asciiTheme="majorBidi" w:eastAsia="Arial" w:hAnsiTheme="majorBidi" w:cstheme="majorBidi"/>
          <w:color w:val="000000" w:themeColor="text1"/>
          <w:lang w:val="en-CA" w:bidi="fa-IR"/>
        </w:rPr>
        <w:instrText xml:space="preserve"> ADDIN EN.CITE &lt;EndNote&gt;&lt;Cite&gt;&lt;Author&gt;Bradford&lt;/Author&gt;&lt;Year&gt;1976&lt;/Year&gt;&lt;RecNum&gt;219&lt;/RecNum&gt;&lt;DisplayText&gt;&lt;style face="superscript"&gt;27&lt;/style&gt;&lt;/DisplayText&gt;&lt;record&gt;&lt;rec-number&gt;219&lt;/rec-number&gt;&lt;foreign-keys&gt;&lt;key app="EN" db-id="e29dz2seoxz0a5es2wbveszlv0aaex2r2sra" timestamp="1659989091"&gt;219&lt;/key&gt;&lt;/foreign-keys&gt;&lt;ref-type name="Journal Article"&gt;17&lt;/ref-type&gt;&lt;contributors&gt;&lt;authors&gt;&lt;author&gt;Bradford, Marion M&lt;/author&gt;&lt;/authors&gt;&lt;/contributors&gt;&lt;titles&gt;&lt;title&gt;A rapid and sensitive method for the quantitation of microgram quantities of protein utilizing the principle of protein-dye binding&lt;/title&gt;&lt;secondary-title&gt;Analytical biochemistry&lt;/secondary-title&gt;&lt;/titles&gt;&lt;periodical&gt;&lt;full-title&gt;Analytical biochemistry&lt;/full-title&gt;&lt;/periodical&gt;&lt;pages&gt;248-254&lt;/pages&gt;&lt;volume&gt;72&lt;/volume&gt;&lt;number&gt;1-2&lt;/number&gt;&lt;dates&gt;&lt;year&gt;1976&lt;/year&gt;&lt;/dates&gt;&lt;isbn&gt;0003-2697&lt;/isbn&gt;&lt;urls&gt;&lt;/urls&gt;&lt;/record&gt;&lt;/Cite&gt;&lt;/EndNote&gt;</w:instrText>
      </w:r>
      <w:r w:rsidRPr="00447599">
        <w:rPr>
          <w:rFonts w:asciiTheme="majorBidi" w:eastAsia="Arial" w:hAnsiTheme="majorBidi" w:cstheme="majorBidi"/>
          <w:color w:val="000000" w:themeColor="text1"/>
          <w:lang w:val="en-CA" w:bidi="fa-IR"/>
        </w:rPr>
        <w:fldChar w:fldCharType="separate"/>
      </w:r>
      <w:r w:rsidR="00017A0C" w:rsidRPr="00447599">
        <w:rPr>
          <w:rFonts w:asciiTheme="majorBidi" w:eastAsia="Arial" w:hAnsiTheme="majorBidi" w:cstheme="majorBidi"/>
          <w:noProof/>
          <w:color w:val="000000" w:themeColor="text1"/>
          <w:vertAlign w:val="superscript"/>
          <w:lang w:val="en-CA" w:bidi="fa-IR"/>
        </w:rPr>
        <w:t>27</w:t>
      </w:r>
      <w:r w:rsidRPr="00447599">
        <w:rPr>
          <w:rFonts w:asciiTheme="majorBidi" w:eastAsia="Arial" w:hAnsiTheme="majorBidi" w:cstheme="majorBidi"/>
          <w:color w:val="000000" w:themeColor="text1"/>
          <w:lang w:val="en-CA" w:bidi="fa-IR"/>
        </w:rPr>
        <w:fldChar w:fldCharType="end"/>
      </w:r>
      <w:r w:rsidRPr="00447599">
        <w:rPr>
          <w:rFonts w:asciiTheme="majorBidi" w:eastAsia="Arial" w:hAnsiTheme="majorBidi" w:cstheme="majorBidi"/>
          <w:color w:val="000000" w:themeColor="text1"/>
          <w:lang w:val="en-CA" w:bidi="fa-IR"/>
        </w:rPr>
        <w:t>, we were able to determine the total protein content of the cell.</w:t>
      </w:r>
    </w:p>
    <w:p w14:paraId="72855AD3" w14:textId="77777777" w:rsidR="00D13504" w:rsidRPr="00447599" w:rsidRDefault="00375FF1" w:rsidP="003340EF">
      <w:pPr>
        <w:spacing w:line="276" w:lineRule="auto"/>
        <w:jc w:val="both"/>
        <w:rPr>
          <w:rFonts w:ascii="Times" w:hAnsi="Times" w:cs="Arial"/>
          <w:color w:val="000000" w:themeColor="text1"/>
        </w:rPr>
      </w:pPr>
      <w:r w:rsidRPr="00447599">
        <w:rPr>
          <w:rFonts w:ascii="Times" w:hAnsi="Times" w:cs="Arial"/>
          <w:color w:val="000000" w:themeColor="text1"/>
        </w:rPr>
        <w:t xml:space="preserve">PD and ND were precipitated at 40-50 and 20-30 % cut of ammonium sulphase for cell extract obtained from URS-10 and 6.  </w:t>
      </w:r>
    </w:p>
    <w:p w14:paraId="691B126C" w14:textId="77777777" w:rsidR="00D13504" w:rsidRPr="00447599" w:rsidRDefault="00D13504" w:rsidP="00D13504">
      <w:pPr>
        <w:spacing w:line="276" w:lineRule="auto"/>
        <w:jc w:val="both"/>
        <w:rPr>
          <w:color w:val="000000"/>
          <w:shd w:val="clear" w:color="auto" w:fill="FFFFFF"/>
        </w:rPr>
      </w:pPr>
    </w:p>
    <w:p w14:paraId="68A23851" w14:textId="77777777" w:rsidR="00447599" w:rsidRDefault="00D13504" w:rsidP="00D13504">
      <w:pPr>
        <w:spacing w:line="276" w:lineRule="auto"/>
        <w:jc w:val="both"/>
        <w:rPr>
          <w:rFonts w:ascii="Calibri" w:hAnsi="Calibri" w:cs="Calibri"/>
          <w:color w:val="000000"/>
          <w:shd w:val="clear" w:color="auto" w:fill="FFFFFF"/>
        </w:rPr>
        <w:sectPr w:rsidR="00447599" w:rsidSect="00B83ED6">
          <w:pgSz w:w="12240" w:h="15840"/>
          <w:pgMar w:top="1440" w:right="1440" w:bottom="1440" w:left="1440" w:header="708" w:footer="708" w:gutter="0"/>
          <w:cols w:space="708"/>
          <w:docGrid w:linePitch="360"/>
        </w:sectPr>
      </w:pPr>
      <w:r w:rsidRPr="00447599">
        <w:rPr>
          <w:color w:val="000000"/>
          <w:shd w:val="clear" w:color="auto" w:fill="FFFFFF"/>
        </w:rPr>
        <w:t>Initially, pyrene is oxidized to the central intermediates, including</w:t>
      </w:r>
      <w:r w:rsidRPr="00447599">
        <w:t xml:space="preserve"> </w:t>
      </w:r>
      <w:r w:rsidRPr="00447599">
        <w:rPr>
          <w:rFonts w:asciiTheme="majorBidi" w:hAnsiTheme="majorBidi" w:cstheme="majorBidi"/>
          <w:color w:val="000000" w:themeColor="text1"/>
        </w:rPr>
        <w:t>phthalic acid, by dioxygenase or monooxygenase, and then in the second step of biodegradation, phthalic acid is decomposed into inert intermediate by the ring-fission enzyme.  The catalytic efficiency (K</w:t>
      </w:r>
      <w:r w:rsidRPr="00447599">
        <w:rPr>
          <w:rFonts w:asciiTheme="majorBidi" w:hAnsiTheme="majorBidi" w:cstheme="majorBidi"/>
          <w:color w:val="000000" w:themeColor="text1"/>
          <w:vertAlign w:val="subscript"/>
        </w:rPr>
        <w:t>cat</w:t>
      </w:r>
      <w:r w:rsidRPr="00447599">
        <w:rPr>
          <w:rFonts w:asciiTheme="majorBidi" w:hAnsiTheme="majorBidi" w:cstheme="majorBidi"/>
          <w:color w:val="000000" w:themeColor="text1"/>
        </w:rPr>
        <w:t>/K</w:t>
      </w:r>
      <w:r w:rsidRPr="00447599">
        <w:rPr>
          <w:rFonts w:asciiTheme="majorBidi" w:hAnsiTheme="majorBidi" w:cstheme="majorBidi"/>
          <w:color w:val="000000" w:themeColor="text1"/>
          <w:vertAlign w:val="subscript"/>
        </w:rPr>
        <w:t>m</w:t>
      </w:r>
      <w:r w:rsidRPr="00447599">
        <w:rPr>
          <w:rFonts w:asciiTheme="majorBidi" w:hAnsiTheme="majorBidi" w:cstheme="majorBidi"/>
          <w:color w:val="000000" w:themeColor="text1"/>
        </w:rPr>
        <w:t>) for naphthalene dioxygenase (ND), pyrene dioxygenase (PD) was determined to confirm the difference initial bacteria attack on pyrene after incubation of different isolates. In this regard, ND and PD were partially purified by ammonium sulfate as described in our previous work (Section S10).</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&lt;EndNote&gt;&lt;Cite&gt;&lt;Author&gt;Miri&lt;/Author&gt;&lt;Year&gt;2022&lt;/Year&gt;&lt;RecNum&gt;201&lt;/RecNum&gt;&lt;DisplayText&gt;&lt;style face="superscript"&gt;19&lt;/style&gt;&lt;/DisplayText&gt;&lt;record&gt;&lt;rec-number&gt;201&lt;/rec-number&gt;&lt;foreign-keys&gt;&lt;key app="EN" db-id="e29dz2seoxz0a5es2wbveszlv0aaex2r2sra" timestamp="1659989090"&gt;201&lt;/key&gt;&lt;/foreign-keys&gt;&lt;ref-type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Materials&lt;/full-title&gt;&lt;/periodical&gt;&lt;pages&gt;127099&lt;/pages&gt;&lt;volume&gt;423&lt;/volume&gt;&lt;dates&gt;&lt;year&gt;2022&lt;/year&gt;&lt;/dates&gt;&lt;isbn&gt;0304-3894&lt;/isbn&gt;&lt;urls&gt;&lt;/urls&gt;&lt;/record&gt;&lt;/Cite&gt;&lt;/EndNote&gt;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19</w:t>
      </w:r>
      <w:r w:rsidRPr="00447599">
        <w:rPr>
          <w:rFonts w:asciiTheme="majorBidi" w:hAnsiTheme="majorBidi" w:cstheme="majorBidi"/>
          <w:color w:val="000000" w:themeColor="text1"/>
        </w:rPr>
        <w:fldChar w:fldCharType="end"/>
      </w:r>
      <w:r w:rsidRPr="00447599">
        <w:rPr>
          <w:rFonts w:ascii="Times" w:hAnsi="Times"/>
          <w:color w:val="000000"/>
          <w:shd w:val="clear" w:color="auto" w:fill="FFFFFF"/>
        </w:rPr>
        <w:t> </w:t>
      </w:r>
      <w:r w:rsidRPr="00447599">
        <w:rPr>
          <w:rFonts w:ascii="Calibri" w:hAnsi="Calibri" w:cs="Calibri"/>
          <w:color w:val="000000"/>
          <w:shd w:val="clear" w:color="auto" w:fill="FFFFFF"/>
        </w:rPr>
        <w:t>﻿</w:t>
      </w:r>
    </w:p>
    <w:p w14:paraId="13EFC408" w14:textId="167A3078" w:rsidR="00D13504" w:rsidRPr="00447599" w:rsidRDefault="00D13504" w:rsidP="00D13504">
      <w:pPr>
        <w:spacing w:line="276" w:lineRule="auto"/>
        <w:jc w:val="both"/>
        <w:rPr>
          <w:rFonts w:ascii="Calibri" w:hAnsi="Calibri" w:cs="Calibri"/>
          <w:color w:val="000000"/>
          <w:shd w:val="clear" w:color="auto" w:fill="FFFFFF"/>
        </w:rPr>
      </w:pPr>
    </w:p>
    <w:p w14:paraId="1B0015B5" w14:textId="77777777" w:rsidR="00D13504" w:rsidRPr="00447599" w:rsidRDefault="00D13504" w:rsidP="003340EF">
      <w:pPr>
        <w:spacing w:line="276" w:lineRule="auto"/>
        <w:jc w:val="both"/>
        <w:rPr>
          <w:rFonts w:ascii="Times" w:hAnsi="Times" w:cs="Arial"/>
          <w:color w:val="000000" w:themeColor="text1"/>
        </w:rPr>
      </w:pPr>
    </w:p>
    <w:p w14:paraId="76C50026" w14:textId="4E210A98" w:rsidR="00375FF1" w:rsidRPr="00447599" w:rsidRDefault="00375FF1" w:rsidP="003340EF">
      <w:pPr>
        <w:spacing w:line="276" w:lineRule="auto"/>
        <w:jc w:val="both"/>
        <w:rPr>
          <w:rFonts w:ascii="Times" w:hAnsi="Times" w:cstheme="majorBidi"/>
          <w:color w:val="000000" w:themeColor="text1"/>
          <w:lang w:bidi="fa-IR"/>
        </w:rPr>
      </w:pPr>
      <w:r w:rsidRPr="00447599">
        <w:rPr>
          <w:rFonts w:ascii="Times" w:hAnsi="Times"/>
          <w:color w:val="000000"/>
          <w:shd w:val="clear" w:color="auto" w:fill="FFFFFF"/>
        </w:rPr>
        <w:t>PD and ND catalytic parameters on pyrene and naphthalene were determined at 15</w:t>
      </w:r>
      <w:r w:rsidRPr="00447599">
        <w:rPr>
          <w:color w:val="000000"/>
          <w:shd w:val="clear" w:color="auto" w:fill="FFFFFF"/>
        </w:rPr>
        <w:t>◦</w:t>
      </w:r>
      <w:r w:rsidRPr="00447599">
        <w:rPr>
          <w:rFonts w:ascii="Times" w:hAnsi="Times"/>
          <w:color w:val="000000"/>
          <w:shd w:val="clear" w:color="auto" w:fill="FFFFFF"/>
        </w:rPr>
        <w:t xml:space="preserve">C </w:t>
      </w:r>
      <w:r w:rsidRPr="00447599">
        <w:rPr>
          <w:rFonts w:ascii="Times" w:hAnsi="Times" w:cs="Arial"/>
          <w:color w:val="000000" w:themeColor="text1"/>
        </w:rPr>
        <w:t xml:space="preserve">for the partially purified dioxygenase enzymes. Regarding the dioxygenase obtained from URS-6, a  substrate-dependent oxidation of NADH was observed with two PAHs, but pyrene was the only PAHs, which was converted by the dioxygenase obtained from URS-10. </w:t>
      </w:r>
      <w:r w:rsidRPr="00447599">
        <w:rPr>
          <w:rFonts w:asciiTheme="majorBidi" w:eastAsia="Arial" w:hAnsiTheme="majorBidi" w:cstheme="majorBidi"/>
          <w:color w:val="000000" w:themeColor="text1"/>
          <w:lang w:bidi="fa-IR"/>
        </w:rPr>
        <w:t xml:space="preserve">To determine the substrate specificity of dioxygenase, the enzyme activity was determined in a reaction mixture (1mL) containing 50 </w:t>
      </w:r>
      <m:oMath>
        <m:r>
          <w:rPr>
            <w:rFonts w:ascii="Cambria Math" w:eastAsia="Arial" w:hAnsi="Cambria Math" w:cstheme="majorBidi"/>
            <w:color w:val="000000" w:themeColor="text1"/>
            <w:lang w:bidi="fa-IR"/>
          </w:rPr>
          <m:t>μ</m:t>
        </m:r>
      </m:oMath>
      <w:r w:rsidRPr="00447599">
        <w:rPr>
          <w:rFonts w:asciiTheme="majorBidi" w:eastAsia="Arial" w:hAnsiTheme="majorBidi" w:cstheme="majorBidi"/>
          <w:color w:val="000000" w:themeColor="text1"/>
          <w:lang w:bidi="fa-IR"/>
        </w:rPr>
        <w:t xml:space="preserve">M of respective PAH in acetonitrile, 20 </w:t>
      </w:r>
      <m:oMath>
        <m:r>
          <w:rPr>
            <w:rFonts w:ascii="Cambria Math" w:eastAsia="Arial" w:hAnsi="Cambria Math" w:cstheme="majorBidi"/>
            <w:color w:val="000000" w:themeColor="text1"/>
            <w:lang w:bidi="fa-IR"/>
          </w:rPr>
          <m:t>μ</m:t>
        </m:r>
      </m:oMath>
      <w:r w:rsidRPr="00447599">
        <w:rPr>
          <w:rFonts w:asciiTheme="majorBidi" w:eastAsia="Arial" w:hAnsiTheme="majorBidi" w:cstheme="majorBidi"/>
          <w:color w:val="000000" w:themeColor="text1"/>
          <w:lang w:bidi="fa-IR"/>
        </w:rPr>
        <w:t xml:space="preserve">L of partially purified enzyme, and </w:t>
      </w:r>
      <w:r w:rsidRPr="00447599">
        <w:rPr>
          <w:rFonts w:ascii="Times" w:hAnsi="Times" w:cstheme="majorBidi"/>
          <w:color w:val="000000" w:themeColor="text1"/>
          <w:lang w:bidi="fa-IR"/>
        </w:rPr>
        <w:t>0.5 mM NADH in 50 mM potassium phosphate buffer</w:t>
      </w:r>
      <w:r w:rsidRPr="00447599">
        <w:rPr>
          <w:rFonts w:asciiTheme="majorBidi" w:eastAsia="Arial" w:hAnsiTheme="majorBidi" w:cstheme="majorBidi"/>
          <w:color w:val="000000" w:themeColor="text1"/>
          <w:lang w:bidi="fa-IR"/>
        </w:rPr>
        <w:t xml:space="preserve"> </w:t>
      </w:r>
      <w:r w:rsidRPr="00447599">
        <w:rPr>
          <w:rFonts w:ascii="Times" w:hAnsi="Times" w:cstheme="majorBidi"/>
          <w:color w:val="000000" w:themeColor="text1"/>
          <w:lang w:bidi="fa-IR"/>
        </w:rPr>
        <w:t>pH 7.0. The oxidation of NADH was determined at 340 nm. Reactions were carried out at 15 °C in quartz cuvettes, and the adsorption at 340 nm was recorded at 0.1 s intervals over 1 min with a HP8452 spectrophotometer (Agilent Technologies, Les Ulis, France). A NADH absorption coefficient of 6,220 M</w:t>
      </w:r>
      <w:r w:rsidRPr="00447599">
        <w:rPr>
          <w:rFonts w:ascii="Times" w:hAnsi="Times" w:cstheme="majorBidi"/>
          <w:color w:val="000000" w:themeColor="text1"/>
          <w:vertAlign w:val="superscript"/>
          <w:lang w:bidi="fa-IR"/>
        </w:rPr>
        <w:t>-1</w:t>
      </w:r>
      <w:r w:rsidRPr="00447599">
        <w:rPr>
          <w:rFonts w:ascii="Times" w:hAnsi="Times" w:cstheme="majorBidi"/>
          <w:color w:val="000000" w:themeColor="text1"/>
          <w:lang w:bidi="fa-IR"/>
        </w:rPr>
        <w:t>.cm</w:t>
      </w:r>
      <w:r w:rsidRPr="00447599">
        <w:rPr>
          <w:rFonts w:ascii="Times" w:hAnsi="Times" w:cstheme="majorBidi"/>
          <w:color w:val="000000" w:themeColor="text1"/>
          <w:vertAlign w:val="superscript"/>
          <w:lang w:bidi="fa-IR"/>
        </w:rPr>
        <w:t xml:space="preserve">-1 </w:t>
      </w:r>
      <w:r w:rsidRPr="00447599">
        <w:rPr>
          <w:rFonts w:ascii="Times" w:hAnsi="Times" w:cstheme="majorBidi"/>
          <w:color w:val="000000" w:themeColor="text1"/>
          <w:lang w:bidi="fa-IR"/>
        </w:rPr>
        <w:t xml:space="preserve">was used to calculate enzymatic activity from the initial linear portion of the time course. </w:t>
      </w:r>
      <w:r w:rsidRPr="00447599">
        <w:rPr>
          <w:rFonts w:ascii="Times" w:hAnsi="Times" w:cstheme="majorBidi"/>
          <w:color w:val="000000" w:themeColor="text1"/>
          <w:lang w:bidi="fa-IR"/>
        </w:rPr>
        <w:fldChar w:fldCharType="begin"/>
      </w:r>
      <w:r w:rsidR="00017A0C" w:rsidRPr="00447599">
        <w:rPr>
          <w:rFonts w:ascii="Times" w:hAnsi="Times" w:cstheme="majorBidi"/>
          <w:color w:val="000000" w:themeColor="text1"/>
          <w:lang w:bidi="fa-IR"/>
        </w:rPr>
        <w:instrText xml:space="preserve"> ADDIN EN.CITE &lt;EndNote&gt;&lt;Cite&gt;&lt;Author&gt;Jouanneau&lt;/Author&gt;&lt;Year&gt;2006&lt;/Year&gt;&lt;RecNum&gt;81&lt;/RecNum&gt;&lt;DisplayText&gt;&lt;style face="superscript"&gt;28&lt;/style&gt;&lt;/DisplayText&gt;&lt;record&gt;&lt;rec-number&gt;81&lt;/rec-number&gt;&lt;foreign-keys&gt;&lt;key app="EN" db-id="5t5vxvzturazf5e0v5rxetd1pap0t5xsdvet" timestamp="1649642206"&gt;81&lt;/key&gt;&lt;/foreign-keys&gt;&lt;ref-type name="Journal Article"&gt;17&lt;/ref-type&gt;&lt;contributors&gt;&lt;authors&gt;&lt;author&gt;Jouanneau, Yves&lt;/author&gt;&lt;author&gt;Meyer, Christine&lt;/author&gt;&lt;/authors&gt;&lt;/contributors&gt;&lt;titles&gt;&lt;title&gt;Purification and characterization of an arene cis-dihydrodiol dehydrogenase endowed with broad substrate specificity toward polycyclic aromatic hydrocarbon dihydrodiols&lt;/title&gt;&lt;secondary-title&gt;Applied and environmental microbiology&lt;/secondary-title&gt;&lt;/titles&gt;&lt;periodical&gt;&lt;full-title&gt;Applied and environmental microbiology&lt;/full-title&gt;&lt;/periodical&gt;&lt;pages&gt;4726-4734&lt;/pages&gt;&lt;volume&gt;72&lt;/volume&gt;&lt;number&gt;7&lt;/number&gt;&lt;dates&gt;&lt;year&gt;2006&lt;/year&gt;&lt;/dates&gt;&lt;isbn&gt;0099-2240&lt;/isbn&gt;&lt;urls&gt;&lt;/urls&gt;&lt;/record&gt;&lt;/Cite&gt;&lt;/EndNote&gt;</w:instrText>
      </w:r>
      <w:r w:rsidRPr="00447599">
        <w:rPr>
          <w:rFonts w:ascii="Times" w:hAnsi="Times" w:cstheme="majorBidi"/>
          <w:color w:val="000000" w:themeColor="text1"/>
          <w:lang w:bidi="fa-IR"/>
        </w:rPr>
        <w:fldChar w:fldCharType="separate"/>
      </w:r>
      <w:r w:rsidR="00017A0C" w:rsidRPr="00447599">
        <w:rPr>
          <w:rFonts w:ascii="Times" w:hAnsi="Times" w:cstheme="majorBidi"/>
          <w:noProof/>
          <w:color w:val="000000" w:themeColor="text1"/>
          <w:vertAlign w:val="superscript"/>
          <w:lang w:bidi="fa-IR"/>
        </w:rPr>
        <w:t>28</w:t>
      </w:r>
      <w:r w:rsidRPr="00447599">
        <w:rPr>
          <w:rFonts w:ascii="Times" w:hAnsi="Times" w:cstheme="majorBidi"/>
          <w:color w:val="000000" w:themeColor="text1"/>
          <w:lang w:bidi="fa-IR"/>
        </w:rPr>
        <w:fldChar w:fldCharType="end"/>
      </w:r>
      <w:r w:rsidRPr="00447599">
        <w:rPr>
          <w:rFonts w:ascii="Times" w:hAnsi="Times" w:cstheme="majorBidi"/>
          <w:color w:val="000000" w:themeColor="text1"/>
          <w:lang w:bidi="fa-IR"/>
        </w:rPr>
        <w:t xml:space="preserve">The enzyme activity with naphthalene or pyrene ( U/mg) was taken as 100 for URS-6 and 10, respectively. </w:t>
      </w:r>
    </w:p>
    <w:p w14:paraId="110BF210" w14:textId="77777777" w:rsidR="00D13504" w:rsidRPr="00447599" w:rsidRDefault="00D13504" w:rsidP="003340EF">
      <w:pPr>
        <w:spacing w:line="276" w:lineRule="auto"/>
        <w:jc w:val="both"/>
        <w:rPr>
          <w:rFonts w:ascii="Times" w:hAnsi="Times" w:cs="Arial"/>
          <w:color w:val="000000" w:themeColor="text1"/>
        </w:rPr>
      </w:pPr>
    </w:p>
    <w:p w14:paraId="7EA3A63D" w14:textId="52FDD30A" w:rsidR="00375FF1" w:rsidRPr="00447599" w:rsidRDefault="00375FF1" w:rsidP="003340EF">
      <w:pPr>
        <w:spacing w:line="276" w:lineRule="auto"/>
        <w:jc w:val="both"/>
        <w:rPr>
          <w:rFonts w:ascii="Times" w:hAnsi="Times" w:cs="Arial"/>
          <w:color w:val="000000" w:themeColor="text1"/>
        </w:rPr>
      </w:pPr>
      <w:r w:rsidRPr="00447599">
        <w:rPr>
          <w:rFonts w:ascii="Calibri" w:hAnsi="Calibri" w:cs="Calibri"/>
          <w:color w:val="000000" w:themeColor="text1"/>
        </w:rPr>
        <w:t>﻿</w:t>
      </w:r>
      <w:r w:rsidRPr="00447599">
        <w:rPr>
          <w:rFonts w:ascii="Times" w:hAnsi="Times" w:cs="Arial"/>
          <w:color w:val="000000" w:themeColor="text1"/>
        </w:rPr>
        <w:t>Table S</w:t>
      </w:r>
      <w:r w:rsidR="00106EC7" w:rsidRPr="00447599">
        <w:rPr>
          <w:rFonts w:ascii="Times" w:hAnsi="Times" w:cs="Arial"/>
          <w:color w:val="000000" w:themeColor="text1"/>
        </w:rPr>
        <w:t>3</w:t>
      </w:r>
      <w:r w:rsidRPr="00447599">
        <w:rPr>
          <w:rFonts w:ascii="Times" w:hAnsi="Times" w:cs="Arial"/>
          <w:color w:val="000000" w:themeColor="text1"/>
        </w:rPr>
        <w:t>. Kinetic parameters and substrate specificity of the purified PD and ND</w:t>
      </w:r>
    </w:p>
    <w:tbl>
      <w:tblPr>
        <w:tblW w:w="13940" w:type="dxa"/>
        <w:jc w:val="center"/>
        <w:tblLook w:val="04A0" w:firstRow="1" w:lastRow="0" w:firstColumn="1" w:lastColumn="0" w:noHBand="0" w:noVBand="1"/>
      </w:tblPr>
      <w:tblGrid>
        <w:gridCol w:w="3820"/>
        <w:gridCol w:w="1840"/>
        <w:gridCol w:w="480"/>
        <w:gridCol w:w="2600"/>
        <w:gridCol w:w="2600"/>
        <w:gridCol w:w="1300"/>
        <w:gridCol w:w="1300"/>
      </w:tblGrid>
      <w:tr w:rsidR="00375FF1" w:rsidRPr="00447599" w14:paraId="721F734B" w14:textId="77777777" w:rsidTr="00C01B03">
        <w:trPr>
          <w:trHeight w:val="320"/>
          <w:jc w:val="center"/>
        </w:trPr>
        <w:tc>
          <w:tcPr>
            <w:tcW w:w="3820" w:type="dxa"/>
            <w:tcBorders>
              <w:top w:val="nil"/>
              <w:left w:val="nil"/>
              <w:bottom w:val="nil"/>
              <w:right w:val="nil"/>
            </w:tcBorders>
          </w:tcPr>
          <w:p w14:paraId="672D7CDA" w14:textId="77777777" w:rsidR="00375FF1" w:rsidRPr="00447599" w:rsidRDefault="00375FF1" w:rsidP="003340EF">
            <w:pPr>
              <w:spacing w:line="276" w:lineRule="auto"/>
              <w:rPr>
                <w:rFonts w:ascii="Times" w:hAnsi="Times" w:cs="Arial"/>
                <w:color w:val="000000" w:themeColor="text1"/>
              </w:rPr>
            </w:pPr>
          </w:p>
        </w:tc>
        <w:tc>
          <w:tcPr>
            <w:tcW w:w="1840" w:type="dxa"/>
            <w:tcBorders>
              <w:top w:val="nil"/>
              <w:left w:val="nil"/>
              <w:bottom w:val="nil"/>
              <w:right w:val="nil"/>
            </w:tcBorders>
            <w:shd w:val="clear" w:color="auto" w:fill="auto"/>
            <w:noWrap/>
            <w:vAlign w:val="bottom"/>
            <w:hideMark/>
          </w:tcPr>
          <w:p w14:paraId="571B996D" w14:textId="77777777" w:rsidR="00375FF1" w:rsidRPr="00447599" w:rsidRDefault="00375FF1" w:rsidP="003340EF">
            <w:pPr>
              <w:spacing w:line="276" w:lineRule="auto"/>
              <w:rPr>
                <w:rFonts w:ascii="Times" w:hAnsi="Times" w:cs="Arial"/>
                <w:color w:val="000000" w:themeColor="text1"/>
              </w:rPr>
            </w:pPr>
          </w:p>
        </w:tc>
        <w:tc>
          <w:tcPr>
            <w:tcW w:w="480" w:type="dxa"/>
            <w:tcBorders>
              <w:top w:val="nil"/>
              <w:left w:val="nil"/>
              <w:bottom w:val="nil"/>
              <w:right w:val="nil"/>
            </w:tcBorders>
            <w:shd w:val="clear" w:color="auto" w:fill="auto"/>
            <w:noWrap/>
            <w:vAlign w:val="bottom"/>
            <w:hideMark/>
          </w:tcPr>
          <w:p w14:paraId="58D9C975" w14:textId="77777777" w:rsidR="00375FF1" w:rsidRPr="00447599" w:rsidRDefault="00375FF1" w:rsidP="003340EF">
            <w:pPr>
              <w:spacing w:line="276" w:lineRule="auto"/>
              <w:jc w:val="center"/>
              <w:rPr>
                <w:rFonts w:ascii="Times" w:hAnsi="Times" w:cs="Arial"/>
                <w:color w:val="000000" w:themeColor="text1"/>
              </w:rPr>
            </w:pPr>
          </w:p>
        </w:tc>
        <w:tc>
          <w:tcPr>
            <w:tcW w:w="2600" w:type="dxa"/>
            <w:tcBorders>
              <w:top w:val="nil"/>
              <w:left w:val="nil"/>
              <w:bottom w:val="nil"/>
              <w:right w:val="nil"/>
            </w:tcBorders>
          </w:tcPr>
          <w:p w14:paraId="361265B2" w14:textId="77777777" w:rsidR="00375FF1" w:rsidRPr="00447599" w:rsidRDefault="00375FF1" w:rsidP="003340EF">
            <w:pPr>
              <w:spacing w:line="276" w:lineRule="auto"/>
              <w:jc w:val="center"/>
              <w:rPr>
                <w:rFonts w:ascii="Times" w:hAnsi="Times" w:cs="Arial"/>
                <w:color w:val="000000" w:themeColor="text1"/>
              </w:rPr>
            </w:pPr>
          </w:p>
        </w:tc>
        <w:tc>
          <w:tcPr>
            <w:tcW w:w="2600" w:type="dxa"/>
            <w:tcBorders>
              <w:top w:val="nil"/>
              <w:left w:val="nil"/>
              <w:bottom w:val="nil"/>
              <w:right w:val="nil"/>
            </w:tcBorders>
          </w:tcPr>
          <w:p w14:paraId="7AD42F7C" w14:textId="77777777" w:rsidR="00375FF1" w:rsidRPr="00447599" w:rsidRDefault="00375FF1" w:rsidP="003340EF">
            <w:pPr>
              <w:spacing w:line="276" w:lineRule="auto"/>
              <w:jc w:val="center"/>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392E8F60" w14:textId="77777777" w:rsidR="00375FF1" w:rsidRPr="00447599" w:rsidRDefault="00375FF1" w:rsidP="003340EF">
            <w:pPr>
              <w:spacing w:line="276" w:lineRule="auto"/>
              <w:jc w:val="center"/>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4A3F1BEF" w14:textId="77777777" w:rsidR="00375FF1" w:rsidRPr="00447599" w:rsidRDefault="00375FF1" w:rsidP="003340EF">
            <w:pPr>
              <w:spacing w:line="276" w:lineRule="auto"/>
              <w:jc w:val="center"/>
              <w:rPr>
                <w:rFonts w:ascii="Times" w:hAnsi="Times" w:cs="Arial"/>
                <w:color w:val="000000" w:themeColor="text1"/>
              </w:rPr>
            </w:pPr>
          </w:p>
        </w:tc>
      </w:tr>
      <w:tr w:rsidR="00375FF1" w:rsidRPr="00447599" w14:paraId="0593CACD" w14:textId="77777777" w:rsidTr="00C01B03">
        <w:trPr>
          <w:trHeight w:val="320"/>
          <w:jc w:val="center"/>
        </w:trPr>
        <w:tc>
          <w:tcPr>
            <w:tcW w:w="3820" w:type="dxa"/>
            <w:vMerge w:val="restart"/>
            <w:tcBorders>
              <w:top w:val="single" w:sz="4" w:space="0" w:color="auto"/>
              <w:left w:val="nil"/>
              <w:right w:val="nil"/>
            </w:tcBorders>
            <w:vAlign w:val="center"/>
          </w:tcPr>
          <w:p w14:paraId="3B96EB6C"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Enzyme</w:t>
            </w:r>
          </w:p>
        </w:tc>
        <w:tc>
          <w:tcPr>
            <w:tcW w:w="1840" w:type="dxa"/>
            <w:vMerge w:val="restart"/>
            <w:tcBorders>
              <w:top w:val="single" w:sz="4" w:space="0" w:color="auto"/>
              <w:left w:val="nil"/>
              <w:right w:val="nil"/>
            </w:tcBorders>
            <w:shd w:val="clear" w:color="auto" w:fill="auto"/>
            <w:noWrap/>
            <w:vAlign w:val="center"/>
            <w:hideMark/>
          </w:tcPr>
          <w:p w14:paraId="27D26CB9" w14:textId="77777777" w:rsidR="00375FF1" w:rsidRPr="00447599" w:rsidRDefault="00375FF1" w:rsidP="003340EF">
            <w:pPr>
              <w:spacing w:line="276" w:lineRule="auto"/>
              <w:jc w:val="center"/>
              <w:rPr>
                <w:rFonts w:ascii="Times" w:hAnsi="Times" w:cs="Arial"/>
                <w:color w:val="000000" w:themeColor="text1"/>
              </w:rPr>
            </w:pPr>
          </w:p>
          <w:p w14:paraId="4EA1AA8E"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Substrate</w:t>
            </w:r>
          </w:p>
          <w:p w14:paraId="2B18F004" w14:textId="77777777" w:rsidR="00375FF1" w:rsidRPr="00447599" w:rsidRDefault="00375FF1" w:rsidP="003340EF">
            <w:pPr>
              <w:spacing w:line="276" w:lineRule="auto"/>
              <w:jc w:val="center"/>
              <w:rPr>
                <w:rFonts w:ascii="Times" w:hAnsi="Times" w:cs="Arial"/>
                <w:color w:val="000000" w:themeColor="text1"/>
              </w:rPr>
            </w:pPr>
          </w:p>
        </w:tc>
        <w:tc>
          <w:tcPr>
            <w:tcW w:w="480" w:type="dxa"/>
            <w:tcBorders>
              <w:top w:val="single" w:sz="4" w:space="0" w:color="auto"/>
              <w:left w:val="nil"/>
              <w:bottom w:val="nil"/>
              <w:right w:val="nil"/>
            </w:tcBorders>
            <w:shd w:val="clear" w:color="auto" w:fill="auto"/>
            <w:noWrap/>
            <w:vAlign w:val="center"/>
            <w:hideMark/>
          </w:tcPr>
          <w:p w14:paraId="76BC888A" w14:textId="77777777" w:rsidR="00375FF1" w:rsidRPr="00447599" w:rsidRDefault="00375FF1" w:rsidP="003340EF">
            <w:pPr>
              <w:spacing w:line="276" w:lineRule="auto"/>
              <w:jc w:val="center"/>
              <w:rPr>
                <w:rFonts w:ascii="Times" w:hAnsi="Times" w:cs="Arial"/>
                <w:color w:val="000000" w:themeColor="text1"/>
              </w:rPr>
            </w:pPr>
          </w:p>
        </w:tc>
        <w:tc>
          <w:tcPr>
            <w:tcW w:w="2600" w:type="dxa"/>
            <w:vMerge w:val="restart"/>
            <w:tcBorders>
              <w:top w:val="single" w:sz="4" w:space="0" w:color="auto"/>
              <w:left w:val="nil"/>
              <w:right w:val="nil"/>
            </w:tcBorders>
            <w:vAlign w:val="center"/>
          </w:tcPr>
          <w:p w14:paraId="39CF1417"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Vmax (mM/min)</w:t>
            </w:r>
          </w:p>
        </w:tc>
        <w:tc>
          <w:tcPr>
            <w:tcW w:w="2600" w:type="dxa"/>
            <w:vMerge w:val="restart"/>
            <w:tcBorders>
              <w:top w:val="single" w:sz="4" w:space="0" w:color="auto"/>
              <w:left w:val="nil"/>
              <w:right w:val="nil"/>
            </w:tcBorders>
            <w:vAlign w:val="center"/>
          </w:tcPr>
          <w:p w14:paraId="584276DE"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Km (mM)</w:t>
            </w:r>
          </w:p>
        </w:tc>
        <w:tc>
          <w:tcPr>
            <w:tcW w:w="2600" w:type="dxa"/>
            <w:gridSpan w:val="2"/>
            <w:vMerge w:val="restart"/>
            <w:tcBorders>
              <w:top w:val="single" w:sz="4" w:space="0" w:color="auto"/>
              <w:left w:val="nil"/>
              <w:right w:val="nil"/>
            </w:tcBorders>
            <w:shd w:val="clear" w:color="auto" w:fill="auto"/>
            <w:noWrap/>
            <w:vAlign w:val="bottom"/>
            <w:hideMark/>
          </w:tcPr>
          <w:p w14:paraId="08D70B8D" w14:textId="77777777" w:rsidR="00375FF1" w:rsidRPr="00447599" w:rsidRDefault="00375FF1" w:rsidP="003340EF">
            <w:pPr>
              <w:spacing w:line="276" w:lineRule="auto"/>
              <w:jc w:val="center"/>
              <w:rPr>
                <w:rFonts w:ascii="Times" w:hAnsi="Times" w:cs="Arial"/>
                <w:color w:val="000000" w:themeColor="text1"/>
              </w:rPr>
            </w:pPr>
          </w:p>
          <w:p w14:paraId="3CE2DF17"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Relative activity(%)</w:t>
            </w:r>
          </w:p>
          <w:p w14:paraId="6695380A" w14:textId="77777777" w:rsidR="00375FF1" w:rsidRPr="00447599" w:rsidRDefault="00375FF1" w:rsidP="003340EF">
            <w:pPr>
              <w:spacing w:line="276" w:lineRule="auto"/>
              <w:jc w:val="center"/>
              <w:rPr>
                <w:rFonts w:ascii="Times" w:hAnsi="Times" w:cs="Arial"/>
                <w:color w:val="000000" w:themeColor="text1"/>
              </w:rPr>
            </w:pPr>
          </w:p>
        </w:tc>
      </w:tr>
      <w:tr w:rsidR="00375FF1" w:rsidRPr="00447599" w14:paraId="1B04636B" w14:textId="77777777" w:rsidTr="00C01B03">
        <w:trPr>
          <w:trHeight w:val="340"/>
          <w:jc w:val="center"/>
        </w:trPr>
        <w:tc>
          <w:tcPr>
            <w:tcW w:w="3820" w:type="dxa"/>
            <w:vMerge/>
            <w:tcBorders>
              <w:left w:val="nil"/>
              <w:bottom w:val="single" w:sz="8" w:space="0" w:color="auto"/>
              <w:right w:val="nil"/>
            </w:tcBorders>
          </w:tcPr>
          <w:p w14:paraId="11D7D4EB" w14:textId="77777777" w:rsidR="00375FF1" w:rsidRPr="00447599" w:rsidRDefault="00375FF1" w:rsidP="003340EF">
            <w:pPr>
              <w:spacing w:line="276" w:lineRule="auto"/>
              <w:rPr>
                <w:rFonts w:ascii="Times" w:hAnsi="Times" w:cs="Arial"/>
                <w:color w:val="000000" w:themeColor="text1"/>
              </w:rPr>
            </w:pPr>
          </w:p>
        </w:tc>
        <w:tc>
          <w:tcPr>
            <w:tcW w:w="1840" w:type="dxa"/>
            <w:vMerge/>
            <w:tcBorders>
              <w:left w:val="nil"/>
              <w:bottom w:val="single" w:sz="8" w:space="0" w:color="auto"/>
              <w:right w:val="nil"/>
            </w:tcBorders>
            <w:shd w:val="clear" w:color="auto" w:fill="auto"/>
            <w:noWrap/>
            <w:vAlign w:val="bottom"/>
            <w:hideMark/>
          </w:tcPr>
          <w:p w14:paraId="201008ED" w14:textId="77777777" w:rsidR="00375FF1" w:rsidRPr="00447599" w:rsidRDefault="00375FF1" w:rsidP="003340EF">
            <w:pPr>
              <w:spacing w:line="276" w:lineRule="auto"/>
              <w:rPr>
                <w:rFonts w:ascii="Times" w:hAnsi="Times" w:cs="Arial"/>
                <w:color w:val="000000" w:themeColor="text1"/>
              </w:rPr>
            </w:pPr>
          </w:p>
        </w:tc>
        <w:tc>
          <w:tcPr>
            <w:tcW w:w="480" w:type="dxa"/>
            <w:tcBorders>
              <w:top w:val="nil"/>
              <w:left w:val="nil"/>
              <w:bottom w:val="single" w:sz="8" w:space="0" w:color="auto"/>
              <w:right w:val="nil"/>
            </w:tcBorders>
            <w:shd w:val="clear" w:color="auto" w:fill="auto"/>
            <w:noWrap/>
            <w:vAlign w:val="bottom"/>
            <w:hideMark/>
          </w:tcPr>
          <w:p w14:paraId="22331F80" w14:textId="77777777" w:rsidR="00375FF1" w:rsidRPr="00447599" w:rsidRDefault="00375FF1" w:rsidP="003340EF">
            <w:pPr>
              <w:spacing w:line="276" w:lineRule="auto"/>
              <w:rPr>
                <w:rFonts w:ascii="Times" w:hAnsi="Times" w:cs="Arial"/>
                <w:color w:val="000000" w:themeColor="text1"/>
              </w:rPr>
            </w:pPr>
            <w:r w:rsidRPr="00447599">
              <w:rPr>
                <w:rFonts w:ascii="Times" w:hAnsi="Times" w:cs="Arial"/>
                <w:color w:val="000000" w:themeColor="text1"/>
              </w:rPr>
              <w:t> </w:t>
            </w:r>
          </w:p>
        </w:tc>
        <w:tc>
          <w:tcPr>
            <w:tcW w:w="2600" w:type="dxa"/>
            <w:vMerge/>
            <w:tcBorders>
              <w:left w:val="nil"/>
              <w:bottom w:val="single" w:sz="8" w:space="0" w:color="auto"/>
              <w:right w:val="nil"/>
            </w:tcBorders>
          </w:tcPr>
          <w:p w14:paraId="1E4C3C35" w14:textId="77777777" w:rsidR="00375FF1" w:rsidRPr="00447599" w:rsidRDefault="00375FF1" w:rsidP="003340EF">
            <w:pPr>
              <w:spacing w:line="276" w:lineRule="auto"/>
              <w:rPr>
                <w:rFonts w:ascii="Times" w:hAnsi="Times" w:cs="Arial"/>
                <w:color w:val="000000" w:themeColor="text1"/>
              </w:rPr>
            </w:pPr>
          </w:p>
        </w:tc>
        <w:tc>
          <w:tcPr>
            <w:tcW w:w="2600" w:type="dxa"/>
            <w:vMerge/>
            <w:tcBorders>
              <w:left w:val="nil"/>
              <w:bottom w:val="single" w:sz="8" w:space="0" w:color="auto"/>
              <w:right w:val="nil"/>
            </w:tcBorders>
          </w:tcPr>
          <w:p w14:paraId="6DAE7466" w14:textId="77777777" w:rsidR="00375FF1" w:rsidRPr="00447599" w:rsidRDefault="00375FF1" w:rsidP="003340EF">
            <w:pPr>
              <w:spacing w:line="276" w:lineRule="auto"/>
              <w:rPr>
                <w:rFonts w:ascii="Times" w:hAnsi="Times" w:cs="Arial"/>
                <w:color w:val="000000" w:themeColor="text1"/>
              </w:rPr>
            </w:pPr>
          </w:p>
        </w:tc>
        <w:tc>
          <w:tcPr>
            <w:tcW w:w="2600" w:type="dxa"/>
            <w:gridSpan w:val="2"/>
            <w:vMerge/>
            <w:tcBorders>
              <w:left w:val="nil"/>
              <w:bottom w:val="single" w:sz="8" w:space="0" w:color="auto"/>
              <w:right w:val="nil"/>
            </w:tcBorders>
            <w:shd w:val="clear" w:color="auto" w:fill="auto"/>
            <w:noWrap/>
            <w:vAlign w:val="bottom"/>
            <w:hideMark/>
          </w:tcPr>
          <w:p w14:paraId="58B46144" w14:textId="77777777" w:rsidR="00375FF1" w:rsidRPr="00447599" w:rsidRDefault="00375FF1" w:rsidP="003340EF">
            <w:pPr>
              <w:spacing w:line="276" w:lineRule="auto"/>
              <w:rPr>
                <w:rFonts w:ascii="Times" w:hAnsi="Times" w:cs="Arial"/>
                <w:color w:val="000000" w:themeColor="text1"/>
              </w:rPr>
            </w:pPr>
          </w:p>
        </w:tc>
      </w:tr>
      <w:tr w:rsidR="00375FF1" w:rsidRPr="00447599" w14:paraId="39EEC3C5" w14:textId="77777777" w:rsidTr="00C01B03">
        <w:trPr>
          <w:trHeight w:val="592"/>
          <w:jc w:val="center"/>
        </w:trPr>
        <w:tc>
          <w:tcPr>
            <w:tcW w:w="3820" w:type="dxa"/>
            <w:vMerge w:val="restart"/>
            <w:tcBorders>
              <w:top w:val="nil"/>
              <w:left w:val="nil"/>
              <w:right w:val="nil"/>
            </w:tcBorders>
            <w:vAlign w:val="center"/>
          </w:tcPr>
          <w:p w14:paraId="1266C110"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Naphthalene Dioxygenase (URS-6)</w:t>
            </w:r>
          </w:p>
        </w:tc>
        <w:tc>
          <w:tcPr>
            <w:tcW w:w="1840" w:type="dxa"/>
            <w:tcBorders>
              <w:top w:val="nil"/>
              <w:left w:val="nil"/>
              <w:bottom w:val="nil"/>
              <w:right w:val="nil"/>
            </w:tcBorders>
            <w:shd w:val="clear" w:color="auto" w:fill="auto"/>
            <w:noWrap/>
            <w:vAlign w:val="bottom"/>
            <w:hideMark/>
          </w:tcPr>
          <w:p w14:paraId="0B093757"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Naphthalene</w:t>
            </w:r>
          </w:p>
        </w:tc>
        <w:tc>
          <w:tcPr>
            <w:tcW w:w="480" w:type="dxa"/>
            <w:tcBorders>
              <w:top w:val="nil"/>
              <w:left w:val="nil"/>
              <w:bottom w:val="nil"/>
              <w:right w:val="nil"/>
            </w:tcBorders>
            <w:shd w:val="clear" w:color="auto" w:fill="auto"/>
            <w:noWrap/>
            <w:vAlign w:val="bottom"/>
            <w:hideMark/>
          </w:tcPr>
          <w:p w14:paraId="7B9CC4BE"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48349972" w14:textId="77777777" w:rsidR="00375FF1" w:rsidRPr="00447599" w:rsidRDefault="00375FF1" w:rsidP="003340EF">
            <w:pPr>
              <w:spacing w:line="276" w:lineRule="auto"/>
              <w:jc w:val="center"/>
              <w:rPr>
                <w:rFonts w:ascii="Times" w:hAnsi="Times" w:cs="Arial"/>
                <w:color w:val="000000" w:themeColor="text1"/>
              </w:rPr>
            </w:pPr>
          </w:p>
          <w:p w14:paraId="24EF7DF6"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17.64</w:t>
            </w:r>
          </w:p>
        </w:tc>
        <w:tc>
          <w:tcPr>
            <w:tcW w:w="2600" w:type="dxa"/>
            <w:tcBorders>
              <w:top w:val="nil"/>
              <w:left w:val="nil"/>
              <w:bottom w:val="nil"/>
              <w:right w:val="nil"/>
            </w:tcBorders>
          </w:tcPr>
          <w:p w14:paraId="12C00E27" w14:textId="77777777" w:rsidR="00375FF1" w:rsidRPr="00447599" w:rsidRDefault="00375FF1" w:rsidP="003340EF">
            <w:pPr>
              <w:spacing w:line="276" w:lineRule="auto"/>
              <w:jc w:val="center"/>
              <w:rPr>
                <w:rFonts w:ascii="Times" w:hAnsi="Times" w:cs="Arial"/>
                <w:color w:val="000000" w:themeColor="text1"/>
              </w:rPr>
            </w:pPr>
          </w:p>
          <w:p w14:paraId="6CEBA217"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2.7</w:t>
            </w:r>
          </w:p>
        </w:tc>
        <w:tc>
          <w:tcPr>
            <w:tcW w:w="2600" w:type="dxa"/>
            <w:gridSpan w:val="2"/>
            <w:tcBorders>
              <w:top w:val="nil"/>
              <w:left w:val="nil"/>
              <w:bottom w:val="nil"/>
              <w:right w:val="nil"/>
            </w:tcBorders>
            <w:shd w:val="clear" w:color="auto" w:fill="auto"/>
            <w:noWrap/>
            <w:vAlign w:val="bottom"/>
            <w:hideMark/>
          </w:tcPr>
          <w:p w14:paraId="26B647D7"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100</w:t>
            </w:r>
          </w:p>
        </w:tc>
      </w:tr>
      <w:tr w:rsidR="00375FF1" w:rsidRPr="00447599" w14:paraId="01A1B59F" w14:textId="77777777" w:rsidTr="00C01B03">
        <w:trPr>
          <w:gridAfter w:val="6"/>
          <w:wAfter w:w="10120" w:type="dxa"/>
          <w:trHeight w:val="416"/>
          <w:jc w:val="center"/>
        </w:trPr>
        <w:tc>
          <w:tcPr>
            <w:tcW w:w="3820" w:type="dxa"/>
            <w:vMerge/>
            <w:tcBorders>
              <w:left w:val="nil"/>
              <w:right w:val="nil"/>
            </w:tcBorders>
          </w:tcPr>
          <w:p w14:paraId="17D92D0B" w14:textId="77777777" w:rsidR="00375FF1" w:rsidRPr="00447599" w:rsidRDefault="00375FF1" w:rsidP="003340EF">
            <w:pPr>
              <w:spacing w:line="276" w:lineRule="auto"/>
              <w:jc w:val="center"/>
              <w:rPr>
                <w:rFonts w:ascii="Times" w:hAnsi="Times" w:cs="Arial"/>
                <w:color w:val="000000" w:themeColor="text1"/>
              </w:rPr>
            </w:pPr>
          </w:p>
        </w:tc>
      </w:tr>
      <w:tr w:rsidR="00375FF1" w:rsidRPr="00447599" w14:paraId="4D417258" w14:textId="77777777" w:rsidTr="00C01B03">
        <w:trPr>
          <w:trHeight w:val="320"/>
          <w:jc w:val="center"/>
        </w:trPr>
        <w:tc>
          <w:tcPr>
            <w:tcW w:w="3820" w:type="dxa"/>
            <w:vMerge/>
            <w:tcBorders>
              <w:left w:val="nil"/>
              <w:bottom w:val="nil"/>
              <w:right w:val="nil"/>
            </w:tcBorders>
          </w:tcPr>
          <w:p w14:paraId="33C15833" w14:textId="77777777" w:rsidR="00375FF1" w:rsidRPr="00447599" w:rsidRDefault="00375FF1" w:rsidP="003340EF">
            <w:pPr>
              <w:spacing w:line="276" w:lineRule="auto"/>
              <w:jc w:val="center"/>
              <w:rPr>
                <w:rFonts w:ascii="Times" w:hAnsi="Times" w:cs="Arial"/>
                <w:color w:val="000000" w:themeColor="text1"/>
              </w:rPr>
            </w:pPr>
          </w:p>
        </w:tc>
        <w:tc>
          <w:tcPr>
            <w:tcW w:w="1840" w:type="dxa"/>
            <w:tcBorders>
              <w:top w:val="nil"/>
              <w:left w:val="nil"/>
              <w:bottom w:val="nil"/>
              <w:right w:val="nil"/>
            </w:tcBorders>
            <w:shd w:val="clear" w:color="auto" w:fill="auto"/>
            <w:noWrap/>
            <w:vAlign w:val="bottom"/>
            <w:hideMark/>
          </w:tcPr>
          <w:p w14:paraId="1B61624A"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Pyrene</w:t>
            </w:r>
          </w:p>
        </w:tc>
        <w:tc>
          <w:tcPr>
            <w:tcW w:w="480" w:type="dxa"/>
            <w:tcBorders>
              <w:top w:val="nil"/>
              <w:left w:val="nil"/>
              <w:bottom w:val="nil"/>
              <w:right w:val="nil"/>
            </w:tcBorders>
            <w:shd w:val="clear" w:color="auto" w:fill="auto"/>
            <w:noWrap/>
            <w:vAlign w:val="bottom"/>
            <w:hideMark/>
          </w:tcPr>
          <w:p w14:paraId="020473FC"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7FE24420"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6.41</w:t>
            </w:r>
          </w:p>
        </w:tc>
        <w:tc>
          <w:tcPr>
            <w:tcW w:w="2600" w:type="dxa"/>
            <w:tcBorders>
              <w:top w:val="nil"/>
              <w:left w:val="nil"/>
              <w:bottom w:val="nil"/>
              <w:right w:val="nil"/>
            </w:tcBorders>
          </w:tcPr>
          <w:p w14:paraId="265C8351"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7.9</w:t>
            </w:r>
          </w:p>
        </w:tc>
        <w:tc>
          <w:tcPr>
            <w:tcW w:w="2600" w:type="dxa"/>
            <w:gridSpan w:val="2"/>
            <w:tcBorders>
              <w:top w:val="nil"/>
              <w:left w:val="nil"/>
              <w:bottom w:val="nil"/>
              <w:right w:val="nil"/>
            </w:tcBorders>
            <w:shd w:val="clear" w:color="auto" w:fill="auto"/>
            <w:noWrap/>
            <w:vAlign w:val="bottom"/>
            <w:hideMark/>
          </w:tcPr>
          <w:p w14:paraId="46267ACA"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21</w:t>
            </w:r>
          </w:p>
        </w:tc>
      </w:tr>
      <w:tr w:rsidR="00375FF1" w:rsidRPr="00447599" w14:paraId="6CFD883D" w14:textId="77777777" w:rsidTr="00C01B03">
        <w:trPr>
          <w:trHeight w:val="320"/>
          <w:jc w:val="center"/>
        </w:trPr>
        <w:tc>
          <w:tcPr>
            <w:tcW w:w="3820" w:type="dxa"/>
            <w:tcBorders>
              <w:top w:val="nil"/>
              <w:left w:val="nil"/>
              <w:bottom w:val="nil"/>
              <w:right w:val="nil"/>
            </w:tcBorders>
          </w:tcPr>
          <w:p w14:paraId="62CC8770" w14:textId="77777777" w:rsidR="00375FF1" w:rsidRPr="00447599" w:rsidRDefault="00375FF1" w:rsidP="003340EF">
            <w:pPr>
              <w:spacing w:line="276" w:lineRule="auto"/>
              <w:jc w:val="center"/>
              <w:rPr>
                <w:rFonts w:ascii="Times" w:hAnsi="Times" w:cs="Arial"/>
                <w:color w:val="000000" w:themeColor="text1"/>
              </w:rPr>
            </w:pPr>
          </w:p>
        </w:tc>
        <w:tc>
          <w:tcPr>
            <w:tcW w:w="1840" w:type="dxa"/>
            <w:tcBorders>
              <w:top w:val="nil"/>
              <w:left w:val="nil"/>
              <w:bottom w:val="nil"/>
              <w:right w:val="nil"/>
            </w:tcBorders>
            <w:shd w:val="clear" w:color="auto" w:fill="auto"/>
            <w:noWrap/>
            <w:vAlign w:val="bottom"/>
            <w:hideMark/>
          </w:tcPr>
          <w:p w14:paraId="5B74BBFD" w14:textId="77777777" w:rsidR="00375FF1" w:rsidRPr="00447599" w:rsidRDefault="00375FF1" w:rsidP="003340EF">
            <w:pPr>
              <w:spacing w:line="276" w:lineRule="auto"/>
              <w:jc w:val="center"/>
              <w:rPr>
                <w:rFonts w:ascii="Times" w:hAnsi="Times" w:cs="Arial"/>
                <w:color w:val="000000" w:themeColor="text1"/>
              </w:rPr>
            </w:pPr>
          </w:p>
        </w:tc>
        <w:tc>
          <w:tcPr>
            <w:tcW w:w="480" w:type="dxa"/>
            <w:tcBorders>
              <w:top w:val="nil"/>
              <w:left w:val="nil"/>
              <w:bottom w:val="nil"/>
              <w:right w:val="nil"/>
            </w:tcBorders>
            <w:shd w:val="clear" w:color="auto" w:fill="auto"/>
            <w:noWrap/>
            <w:vAlign w:val="bottom"/>
            <w:hideMark/>
          </w:tcPr>
          <w:p w14:paraId="285CACC2"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065C4BC6"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1DD38E60" w14:textId="77777777" w:rsidR="00375FF1" w:rsidRPr="00447599" w:rsidRDefault="00375FF1" w:rsidP="003340EF">
            <w:pPr>
              <w:spacing w:line="276" w:lineRule="auto"/>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5809A921" w14:textId="77777777" w:rsidR="00375FF1" w:rsidRPr="00447599" w:rsidRDefault="00375FF1" w:rsidP="003340EF">
            <w:pPr>
              <w:spacing w:line="276" w:lineRule="auto"/>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05AA2FEF" w14:textId="77777777" w:rsidR="00375FF1" w:rsidRPr="00447599" w:rsidRDefault="00375FF1" w:rsidP="003340EF">
            <w:pPr>
              <w:spacing w:line="276" w:lineRule="auto"/>
              <w:rPr>
                <w:rFonts w:ascii="Times" w:hAnsi="Times" w:cs="Arial"/>
                <w:color w:val="000000" w:themeColor="text1"/>
              </w:rPr>
            </w:pPr>
          </w:p>
        </w:tc>
      </w:tr>
      <w:tr w:rsidR="00375FF1" w:rsidRPr="00447599" w14:paraId="381936A4" w14:textId="77777777" w:rsidTr="00C01B03">
        <w:trPr>
          <w:trHeight w:val="320"/>
          <w:jc w:val="center"/>
        </w:trPr>
        <w:tc>
          <w:tcPr>
            <w:tcW w:w="3820" w:type="dxa"/>
            <w:tcBorders>
              <w:top w:val="nil"/>
              <w:left w:val="nil"/>
              <w:bottom w:val="nil"/>
              <w:right w:val="nil"/>
            </w:tcBorders>
          </w:tcPr>
          <w:p w14:paraId="556070A3" w14:textId="77777777" w:rsidR="00375FF1" w:rsidRPr="00447599" w:rsidRDefault="00375FF1" w:rsidP="003340EF">
            <w:pPr>
              <w:spacing w:line="276" w:lineRule="auto"/>
              <w:jc w:val="center"/>
              <w:rPr>
                <w:rFonts w:ascii="Times" w:hAnsi="Times" w:cs="Arial"/>
                <w:color w:val="000000" w:themeColor="text1"/>
              </w:rPr>
            </w:pPr>
          </w:p>
        </w:tc>
        <w:tc>
          <w:tcPr>
            <w:tcW w:w="1840" w:type="dxa"/>
            <w:tcBorders>
              <w:top w:val="nil"/>
              <w:left w:val="nil"/>
              <w:bottom w:val="nil"/>
              <w:right w:val="nil"/>
            </w:tcBorders>
            <w:shd w:val="clear" w:color="auto" w:fill="auto"/>
            <w:noWrap/>
            <w:vAlign w:val="bottom"/>
            <w:hideMark/>
          </w:tcPr>
          <w:p w14:paraId="6FCE0D61" w14:textId="77777777" w:rsidR="00375FF1" w:rsidRPr="00447599" w:rsidRDefault="00375FF1" w:rsidP="003340EF">
            <w:pPr>
              <w:spacing w:line="276" w:lineRule="auto"/>
              <w:jc w:val="center"/>
              <w:rPr>
                <w:rFonts w:ascii="Times" w:hAnsi="Times" w:cs="Arial"/>
                <w:color w:val="000000" w:themeColor="text1"/>
              </w:rPr>
            </w:pPr>
          </w:p>
        </w:tc>
        <w:tc>
          <w:tcPr>
            <w:tcW w:w="480" w:type="dxa"/>
            <w:tcBorders>
              <w:top w:val="nil"/>
              <w:left w:val="nil"/>
              <w:bottom w:val="nil"/>
              <w:right w:val="nil"/>
            </w:tcBorders>
            <w:shd w:val="clear" w:color="auto" w:fill="auto"/>
            <w:noWrap/>
            <w:vAlign w:val="bottom"/>
            <w:hideMark/>
          </w:tcPr>
          <w:p w14:paraId="4EE43F38"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255A2049"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0D955B4D" w14:textId="77777777" w:rsidR="00375FF1" w:rsidRPr="00447599" w:rsidRDefault="00375FF1" w:rsidP="003340EF">
            <w:pPr>
              <w:spacing w:line="276" w:lineRule="auto"/>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35DC5717" w14:textId="77777777" w:rsidR="00375FF1" w:rsidRPr="00447599" w:rsidRDefault="00375FF1" w:rsidP="003340EF">
            <w:pPr>
              <w:spacing w:line="276" w:lineRule="auto"/>
              <w:rPr>
                <w:rFonts w:ascii="Times" w:hAnsi="Times" w:cs="Arial"/>
                <w:color w:val="000000" w:themeColor="text1"/>
              </w:rPr>
            </w:pPr>
          </w:p>
        </w:tc>
        <w:tc>
          <w:tcPr>
            <w:tcW w:w="1300" w:type="dxa"/>
            <w:tcBorders>
              <w:top w:val="nil"/>
              <w:left w:val="nil"/>
              <w:bottom w:val="nil"/>
              <w:right w:val="nil"/>
            </w:tcBorders>
            <w:shd w:val="clear" w:color="auto" w:fill="auto"/>
            <w:noWrap/>
            <w:vAlign w:val="bottom"/>
            <w:hideMark/>
          </w:tcPr>
          <w:p w14:paraId="6105D715" w14:textId="77777777" w:rsidR="00375FF1" w:rsidRPr="00447599" w:rsidRDefault="00375FF1" w:rsidP="003340EF">
            <w:pPr>
              <w:spacing w:line="276" w:lineRule="auto"/>
              <w:rPr>
                <w:rFonts w:ascii="Times" w:hAnsi="Times" w:cs="Arial"/>
                <w:color w:val="000000" w:themeColor="text1"/>
              </w:rPr>
            </w:pPr>
          </w:p>
        </w:tc>
      </w:tr>
      <w:tr w:rsidR="00375FF1" w:rsidRPr="00447599" w14:paraId="66305C56" w14:textId="77777777" w:rsidTr="00C01B03">
        <w:trPr>
          <w:trHeight w:val="320"/>
          <w:jc w:val="center"/>
        </w:trPr>
        <w:tc>
          <w:tcPr>
            <w:tcW w:w="3820" w:type="dxa"/>
            <w:vMerge w:val="restart"/>
            <w:tcBorders>
              <w:top w:val="nil"/>
              <w:left w:val="nil"/>
              <w:right w:val="nil"/>
            </w:tcBorders>
          </w:tcPr>
          <w:p w14:paraId="3A520EA4"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Pyrene dioxygenase (URS-10)</w:t>
            </w:r>
          </w:p>
        </w:tc>
        <w:tc>
          <w:tcPr>
            <w:tcW w:w="1840" w:type="dxa"/>
            <w:tcBorders>
              <w:top w:val="nil"/>
              <w:left w:val="nil"/>
              <w:bottom w:val="nil"/>
              <w:right w:val="nil"/>
            </w:tcBorders>
            <w:shd w:val="clear" w:color="auto" w:fill="auto"/>
            <w:noWrap/>
            <w:vAlign w:val="bottom"/>
            <w:hideMark/>
          </w:tcPr>
          <w:p w14:paraId="790873FB"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Naphthalene</w:t>
            </w:r>
          </w:p>
        </w:tc>
        <w:tc>
          <w:tcPr>
            <w:tcW w:w="480" w:type="dxa"/>
            <w:tcBorders>
              <w:top w:val="nil"/>
              <w:left w:val="nil"/>
              <w:bottom w:val="nil"/>
              <w:right w:val="nil"/>
            </w:tcBorders>
            <w:shd w:val="clear" w:color="auto" w:fill="auto"/>
            <w:noWrap/>
            <w:vAlign w:val="bottom"/>
            <w:hideMark/>
          </w:tcPr>
          <w:p w14:paraId="54564C2F" w14:textId="77777777" w:rsidR="00375FF1" w:rsidRPr="00447599" w:rsidRDefault="00375FF1" w:rsidP="003340EF">
            <w:pPr>
              <w:spacing w:line="276" w:lineRule="auto"/>
              <w:rPr>
                <w:rFonts w:ascii="Times" w:hAnsi="Times" w:cs="Arial"/>
                <w:color w:val="000000" w:themeColor="text1"/>
              </w:rPr>
            </w:pPr>
          </w:p>
        </w:tc>
        <w:tc>
          <w:tcPr>
            <w:tcW w:w="2600" w:type="dxa"/>
            <w:tcBorders>
              <w:top w:val="nil"/>
              <w:left w:val="nil"/>
              <w:bottom w:val="nil"/>
              <w:right w:val="nil"/>
            </w:tcBorders>
          </w:tcPr>
          <w:p w14:paraId="0DB5856A"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0.49</w:t>
            </w:r>
          </w:p>
        </w:tc>
        <w:tc>
          <w:tcPr>
            <w:tcW w:w="2600" w:type="dxa"/>
            <w:tcBorders>
              <w:top w:val="nil"/>
              <w:left w:val="nil"/>
              <w:bottom w:val="nil"/>
              <w:right w:val="nil"/>
            </w:tcBorders>
          </w:tcPr>
          <w:p w14:paraId="07CBDAED"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6.1</w:t>
            </w:r>
          </w:p>
        </w:tc>
        <w:tc>
          <w:tcPr>
            <w:tcW w:w="2600" w:type="dxa"/>
            <w:gridSpan w:val="2"/>
            <w:tcBorders>
              <w:top w:val="nil"/>
              <w:left w:val="nil"/>
              <w:bottom w:val="nil"/>
              <w:right w:val="nil"/>
            </w:tcBorders>
            <w:shd w:val="clear" w:color="auto" w:fill="auto"/>
            <w:noWrap/>
            <w:vAlign w:val="bottom"/>
            <w:hideMark/>
          </w:tcPr>
          <w:p w14:paraId="329A580B"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&lt; 5</w:t>
            </w:r>
          </w:p>
        </w:tc>
      </w:tr>
      <w:tr w:rsidR="00375FF1" w:rsidRPr="00447599" w14:paraId="5A13D406" w14:textId="77777777" w:rsidTr="00C01B03">
        <w:trPr>
          <w:gridAfter w:val="6"/>
          <w:wAfter w:w="10120" w:type="dxa"/>
          <w:trHeight w:val="416"/>
          <w:jc w:val="center"/>
        </w:trPr>
        <w:tc>
          <w:tcPr>
            <w:tcW w:w="3820" w:type="dxa"/>
            <w:vMerge/>
            <w:tcBorders>
              <w:left w:val="nil"/>
              <w:right w:val="nil"/>
            </w:tcBorders>
          </w:tcPr>
          <w:p w14:paraId="68532DE0" w14:textId="77777777" w:rsidR="00375FF1" w:rsidRPr="00447599" w:rsidRDefault="00375FF1" w:rsidP="003340EF">
            <w:pPr>
              <w:spacing w:line="276" w:lineRule="auto"/>
              <w:jc w:val="center"/>
              <w:rPr>
                <w:rFonts w:ascii="Times" w:hAnsi="Times" w:cs="Arial"/>
                <w:color w:val="000000" w:themeColor="text1"/>
              </w:rPr>
            </w:pPr>
          </w:p>
        </w:tc>
      </w:tr>
      <w:tr w:rsidR="00375FF1" w:rsidRPr="00447599" w14:paraId="5DF8C220" w14:textId="77777777" w:rsidTr="00C01B03">
        <w:trPr>
          <w:trHeight w:val="320"/>
          <w:jc w:val="center"/>
        </w:trPr>
        <w:tc>
          <w:tcPr>
            <w:tcW w:w="3820" w:type="dxa"/>
            <w:vMerge/>
            <w:tcBorders>
              <w:left w:val="nil"/>
              <w:bottom w:val="single" w:sz="4" w:space="0" w:color="auto"/>
              <w:right w:val="nil"/>
            </w:tcBorders>
          </w:tcPr>
          <w:p w14:paraId="45B9C85D" w14:textId="77777777" w:rsidR="00375FF1" w:rsidRPr="00447599" w:rsidRDefault="00375FF1" w:rsidP="003340EF">
            <w:pPr>
              <w:spacing w:line="276" w:lineRule="auto"/>
              <w:jc w:val="center"/>
              <w:rPr>
                <w:rFonts w:ascii="Times" w:hAnsi="Times" w:cs="Arial"/>
                <w:color w:val="000000" w:themeColor="text1"/>
              </w:rPr>
            </w:pPr>
          </w:p>
        </w:tc>
        <w:tc>
          <w:tcPr>
            <w:tcW w:w="1840" w:type="dxa"/>
            <w:tcBorders>
              <w:top w:val="nil"/>
              <w:left w:val="nil"/>
              <w:bottom w:val="single" w:sz="4" w:space="0" w:color="auto"/>
              <w:right w:val="nil"/>
            </w:tcBorders>
            <w:shd w:val="clear" w:color="auto" w:fill="auto"/>
            <w:noWrap/>
            <w:vAlign w:val="bottom"/>
            <w:hideMark/>
          </w:tcPr>
          <w:p w14:paraId="03487DFE"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Pyrene</w:t>
            </w:r>
          </w:p>
        </w:tc>
        <w:tc>
          <w:tcPr>
            <w:tcW w:w="480" w:type="dxa"/>
            <w:tcBorders>
              <w:top w:val="nil"/>
              <w:left w:val="nil"/>
              <w:bottom w:val="single" w:sz="4" w:space="0" w:color="auto"/>
              <w:right w:val="nil"/>
            </w:tcBorders>
            <w:shd w:val="clear" w:color="auto" w:fill="auto"/>
            <w:noWrap/>
            <w:vAlign w:val="bottom"/>
            <w:hideMark/>
          </w:tcPr>
          <w:p w14:paraId="0F162376" w14:textId="77777777" w:rsidR="00375FF1" w:rsidRPr="00447599" w:rsidRDefault="00375FF1" w:rsidP="003340EF">
            <w:pPr>
              <w:spacing w:line="276" w:lineRule="auto"/>
              <w:rPr>
                <w:rFonts w:ascii="Times" w:hAnsi="Times" w:cs="Arial"/>
                <w:color w:val="000000" w:themeColor="text1"/>
              </w:rPr>
            </w:pPr>
            <w:r w:rsidRPr="00447599">
              <w:rPr>
                <w:rFonts w:ascii="Times" w:hAnsi="Times" w:cs="Arial"/>
                <w:color w:val="000000" w:themeColor="text1"/>
              </w:rPr>
              <w:t> </w:t>
            </w:r>
          </w:p>
        </w:tc>
        <w:tc>
          <w:tcPr>
            <w:tcW w:w="2600" w:type="dxa"/>
            <w:tcBorders>
              <w:top w:val="nil"/>
              <w:left w:val="nil"/>
              <w:bottom w:val="single" w:sz="4" w:space="0" w:color="auto"/>
              <w:right w:val="nil"/>
            </w:tcBorders>
          </w:tcPr>
          <w:p w14:paraId="5F5B2376"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9.53</w:t>
            </w:r>
          </w:p>
        </w:tc>
        <w:tc>
          <w:tcPr>
            <w:tcW w:w="2600" w:type="dxa"/>
            <w:tcBorders>
              <w:top w:val="nil"/>
              <w:left w:val="nil"/>
              <w:bottom w:val="single" w:sz="4" w:space="0" w:color="auto"/>
              <w:right w:val="nil"/>
            </w:tcBorders>
          </w:tcPr>
          <w:p w14:paraId="466C3C2F"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3.4</w:t>
            </w:r>
          </w:p>
        </w:tc>
        <w:tc>
          <w:tcPr>
            <w:tcW w:w="2600" w:type="dxa"/>
            <w:gridSpan w:val="2"/>
            <w:tcBorders>
              <w:top w:val="nil"/>
              <w:left w:val="nil"/>
              <w:bottom w:val="single" w:sz="4" w:space="0" w:color="auto"/>
              <w:right w:val="nil"/>
            </w:tcBorders>
            <w:shd w:val="clear" w:color="auto" w:fill="auto"/>
            <w:noWrap/>
            <w:vAlign w:val="bottom"/>
            <w:hideMark/>
          </w:tcPr>
          <w:p w14:paraId="414DBA81" w14:textId="77777777" w:rsidR="00375FF1" w:rsidRPr="00447599" w:rsidRDefault="00375FF1" w:rsidP="003340EF">
            <w:pPr>
              <w:spacing w:line="276" w:lineRule="auto"/>
              <w:jc w:val="center"/>
              <w:rPr>
                <w:rFonts w:ascii="Times" w:hAnsi="Times" w:cs="Arial"/>
                <w:color w:val="000000" w:themeColor="text1"/>
              </w:rPr>
            </w:pPr>
            <w:r w:rsidRPr="00447599">
              <w:rPr>
                <w:rFonts w:ascii="Times" w:hAnsi="Times" w:cs="Arial"/>
                <w:color w:val="000000" w:themeColor="text1"/>
              </w:rPr>
              <w:t>100</w:t>
            </w:r>
          </w:p>
        </w:tc>
      </w:tr>
    </w:tbl>
    <w:p w14:paraId="3C722CCA" w14:textId="77777777" w:rsidR="00447599" w:rsidRDefault="00447599" w:rsidP="003340EF">
      <w:pPr>
        <w:spacing w:line="276" w:lineRule="auto"/>
        <w:jc w:val="both"/>
        <w:rPr>
          <w:rFonts w:asciiTheme="majorBidi" w:eastAsia="Arial" w:hAnsiTheme="majorBidi" w:cstheme="majorBidi"/>
          <w:color w:val="000000" w:themeColor="text1"/>
          <w:lang w:val="en-CA" w:bidi="fa-IR"/>
        </w:rPr>
        <w:sectPr w:rsidR="00447599" w:rsidSect="00447599">
          <w:pgSz w:w="15840" w:h="12240" w:orient="landscape"/>
          <w:pgMar w:top="1440" w:right="1440" w:bottom="1440" w:left="1440" w:header="708" w:footer="708" w:gutter="0"/>
          <w:cols w:space="708"/>
          <w:docGrid w:linePitch="360"/>
        </w:sectPr>
      </w:pPr>
    </w:p>
    <w:p w14:paraId="61C52CF9" w14:textId="3B440B4C" w:rsidR="00465DCF" w:rsidRPr="00447599" w:rsidRDefault="00465DCF" w:rsidP="003340EF">
      <w:pPr>
        <w:spacing w:line="276" w:lineRule="auto"/>
        <w:jc w:val="both"/>
        <w:rPr>
          <w:rFonts w:asciiTheme="majorBidi" w:eastAsia="Arial" w:hAnsiTheme="majorBidi" w:cstheme="majorBidi"/>
          <w:color w:val="000000" w:themeColor="text1"/>
          <w:lang w:val="en-CA" w:bidi="fa-IR"/>
        </w:rPr>
      </w:pPr>
    </w:p>
    <w:p w14:paraId="53B80755" w14:textId="77777777" w:rsidR="00D13504" w:rsidRPr="00447599" w:rsidRDefault="00D13504" w:rsidP="003340EF">
      <w:pPr>
        <w:spacing w:line="276" w:lineRule="auto"/>
        <w:jc w:val="both"/>
        <w:rPr>
          <w:rFonts w:ascii="Calibri" w:hAnsi="Calibri" w:cs="Calibri"/>
          <w:color w:val="000000"/>
          <w:shd w:val="clear" w:color="auto" w:fill="FFFFFF"/>
        </w:rPr>
      </w:pPr>
    </w:p>
    <w:p w14:paraId="0011CBE0" w14:textId="67A34CC3" w:rsidR="009637D9" w:rsidRPr="00447599" w:rsidRDefault="009637D9" w:rsidP="003340EF">
      <w:pPr>
        <w:spacing w:line="276" w:lineRule="auto"/>
        <w:jc w:val="both"/>
        <w:rPr>
          <w:rFonts w:asciiTheme="majorBidi" w:hAnsiTheme="majorBidi" w:cstheme="majorBidi"/>
          <w:b/>
          <w:bCs/>
        </w:rPr>
      </w:pPr>
      <w:r w:rsidRPr="00447599">
        <w:rPr>
          <w:rFonts w:asciiTheme="majorBidi" w:hAnsiTheme="majorBidi" w:cstheme="majorBidi"/>
          <w:b/>
          <w:bCs/>
        </w:rPr>
        <w:t>S7 Enzyme identification</w:t>
      </w:r>
    </w:p>
    <w:p w14:paraId="3E7F7B71" w14:textId="68380D63" w:rsidR="00DE4FCD" w:rsidRPr="00447599" w:rsidRDefault="009637D9" w:rsidP="003340EF">
      <w:pPr>
        <w:spacing w:line="276" w:lineRule="auto"/>
        <w:jc w:val="both"/>
        <w:rPr>
          <w:rFonts w:asciiTheme="majorBidi" w:hAnsiTheme="majorBidi" w:cstheme="majorBidi"/>
          <w:color w:val="000000" w:themeColor="text1"/>
        </w:rPr>
      </w:pPr>
      <w:r w:rsidRPr="00447599">
        <w:rPr>
          <w:rFonts w:asciiTheme="majorBidi" w:hAnsiTheme="majorBidi" w:cstheme="majorBidi"/>
          <w:color w:val="000000" w:themeColor="text1"/>
        </w:rPr>
        <w:t>Based on enzyme activities, degradation of three PAHs and PCA analysis, the most promising consortium was selected and used to produce enzymes. In this regard, the selected consortium was grown on optimal media and incubated at optimum conditions. Following incubation, the cell extract was used to check enzyme activity. The proteins remained in the samples were identified by carrying out LC-MS/MS to confirm the presence of target enzyme in enzyme mixture obtained from multi-culture. An enzyme cocktail was prepared using the suspension trapping (S-Trap) method, as described in our previous study, to serve as a reference data set for peptide spectrum match (PSM) analysis of target enzymes.</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&lt;EndNote&gt;&lt;Cite&gt;&lt;Author&gt;Miri&lt;/Author&gt;&lt;Year&gt;2022&lt;/Year&gt;&lt;RecNum&gt;406&lt;/RecNum&gt;&lt;DisplayText&gt;&lt;style face="superscript"&gt;19&lt;/style&gt;&lt;/DisplayText&gt;&lt;record&gt;&lt;rec-number&gt;406&lt;/rec-number&gt;&lt;foreign-keys&gt;&lt;key app="EN" db-id="z25z5w02wp9wshe0asd5ps57arp5eerzv505" timestamp="1634663245"&gt;406&lt;/key&gt;&lt;/foreign-keys&gt;&lt;ref-type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Materials&lt;/full-title&gt;&lt;/periodical&gt;&lt;pages&gt;127099&lt;/pages&gt;&lt;volume&gt;423&lt;/volume&gt;&lt;dates&gt;&lt;year&gt;2022&lt;/year&gt;&lt;/dates&gt;&lt;isbn&gt;0304-3894&lt;/isbn&gt;&lt;urls&gt;&lt;/urls&gt;&lt;/record&gt;&lt;/Cite&gt;&lt;/EndNote&gt;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19</w:t>
      </w:r>
      <w:r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t xml:space="preserve"> In order to determine the mass of the peptides, a mass spectrometer coupled to an EASY-nLC system (Thermo Fisher Scientific, USA) was used, and the peptides were analyzed via mass spectrometry-mass spectrometry sequence analysis using an Orbitrap Elite mass spectrometer (Thermo Fisher Scientific, USA) as described in the supplementary </w:t>
      </w:r>
      <w:r w:rsidRPr="00447599">
        <w:rPr>
          <w:rFonts w:ascii="Times" w:hAnsi="Times" w:cstheme="majorBidi"/>
          <w:color w:val="000000" w:themeColor="text1"/>
          <w:lang w:val="en-CA"/>
        </w:rPr>
        <w:t xml:space="preserve">information </w:t>
      </w:r>
      <w:r w:rsidRPr="00447599">
        <w:rPr>
          <w:color w:val="000000"/>
          <w:shd w:val="clear" w:color="auto" w:fill="FFFFFF"/>
        </w:rPr>
        <w:t>(Section 6)</w:t>
      </w:r>
      <w:r w:rsidRPr="00447599">
        <w:rPr>
          <w:rFonts w:asciiTheme="majorBidi" w:hAnsiTheme="majorBidi" w:cstheme="majorBidi"/>
          <w:color w:val="000000" w:themeColor="text1"/>
        </w:rPr>
        <w:t xml:space="preserve">. We processed the raw data using the software Proteome Discoverer (Version 2.2, Thermo Fisher Scientific, USA), then aligned them with the protein databases of UniProt (www.uniprot.org) and BLASTP (www.blast.ncbi.nlm.nih.gov). </w:t>
      </w:r>
      <w:r w:rsidRPr="00447599">
        <w:rPr>
          <w:rFonts w:asciiTheme="majorBidi" w:hAnsiTheme="majorBidi" w:cstheme="majorBidi"/>
          <w:color w:val="000000" w:themeColor="text1"/>
        </w:rPr>
        <w:fldChar w:fldCharType="begin">
          <w:fldData xml:space="preserve">PEVuZE5vdGU+PENpdGU+PEF1dGhvcj5KYXJkaW5lPC9BdXRob3I+PFllYXI+MjAxODwvWWVhcj48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</w:fldData>
        </w:fldChar>
      </w:r>
      <w:r w:rsidR="00017A0C" w:rsidRPr="00447599">
        <w:rPr>
          <w:rFonts w:asciiTheme="majorBidi" w:hAnsiTheme="majorBidi" w:cstheme="majorBidi"/>
          <w:color w:val="000000" w:themeColor="text1"/>
        </w:rPr>
        <w:instrText xml:space="preserve"> ADDIN EN.CITE </w:instrText>
      </w:r>
      <w:r w:rsidR="00017A0C" w:rsidRPr="00447599">
        <w:rPr>
          <w:rFonts w:asciiTheme="majorBidi" w:hAnsiTheme="majorBidi" w:cstheme="majorBidi"/>
          <w:color w:val="000000" w:themeColor="text1"/>
        </w:rPr>
        <w:fldChar w:fldCharType="begin">
          <w:fldData xml:space="preserve">PEVuZE5vdGU+PENpdGU+PEF1dGhvcj5KYXJkaW5lPC9BdXRob3I+PFllYXI+MjAxODwvWWVhcj48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</w:fldData>
        </w:fldChar>
      </w:r>
      <w:r w:rsidR="00017A0C" w:rsidRPr="00447599">
        <w:rPr>
          <w:rFonts w:asciiTheme="majorBidi" w:hAnsiTheme="majorBidi" w:cstheme="majorBidi"/>
          <w:color w:val="000000" w:themeColor="text1"/>
        </w:rPr>
        <w:instrText xml:space="preserve"> ADDIN EN.CITE.DATA </w:instrText>
      </w:r>
      <w:r w:rsidR="00017A0C" w:rsidRPr="00447599">
        <w:rPr>
          <w:rFonts w:asciiTheme="majorBidi" w:hAnsiTheme="majorBidi" w:cstheme="majorBidi"/>
          <w:color w:val="000000" w:themeColor="text1"/>
        </w:rPr>
      </w:r>
      <w:r w:rsidR="00017A0C"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19, 29, 30</w:t>
      </w:r>
      <w:r w:rsidRPr="00447599">
        <w:rPr>
          <w:rFonts w:asciiTheme="majorBidi" w:hAnsiTheme="majorBidi" w:cstheme="majorBidi"/>
          <w:color w:val="000000" w:themeColor="text1"/>
        </w:rPr>
        <w:fldChar w:fldCharType="end"/>
      </w:r>
    </w:p>
    <w:p w14:paraId="5744CE50" w14:textId="7ABF4863" w:rsidR="005B6555" w:rsidRPr="00447599" w:rsidRDefault="005B6555" w:rsidP="003340EF">
      <w:pPr>
        <w:spacing w:line="276" w:lineRule="auto"/>
        <w:jc w:val="both"/>
        <w:rPr>
          <w:rFonts w:asciiTheme="majorBidi" w:hAnsiTheme="majorBidi" w:cstheme="majorBidi"/>
          <w:b/>
          <w:bCs/>
        </w:rPr>
      </w:pPr>
      <w:r w:rsidRPr="00447599">
        <w:rPr>
          <w:rFonts w:asciiTheme="majorBidi" w:hAnsiTheme="majorBidi" w:cstheme="majorBidi"/>
          <w:b/>
          <w:bCs/>
        </w:rPr>
        <w:t>S</w:t>
      </w:r>
      <w:r w:rsidR="00FB51CF" w:rsidRPr="00447599">
        <w:rPr>
          <w:rFonts w:asciiTheme="majorBidi" w:hAnsiTheme="majorBidi" w:cstheme="majorBidi"/>
          <w:b/>
          <w:bCs/>
        </w:rPr>
        <w:t>8</w:t>
      </w:r>
      <w:r w:rsidRPr="00447599">
        <w:rPr>
          <w:rFonts w:asciiTheme="majorBidi" w:hAnsiTheme="majorBidi" w:cstheme="majorBidi"/>
          <w:b/>
          <w:bCs/>
        </w:rPr>
        <w:t xml:space="preserve"> PAH analysis</w:t>
      </w:r>
      <w:r w:rsidR="00591EF1" w:rsidRPr="00447599">
        <w:rPr>
          <w:rFonts w:asciiTheme="majorBidi" w:hAnsiTheme="majorBidi" w:cstheme="majorBidi"/>
          <w:b/>
          <w:bCs/>
        </w:rPr>
        <w:t xml:space="preserve"> in soil</w:t>
      </w:r>
      <w:r w:rsidR="00B0275C" w:rsidRPr="00447599">
        <w:rPr>
          <w:rFonts w:asciiTheme="majorBidi" w:hAnsiTheme="majorBidi" w:cstheme="majorBidi"/>
          <w:b/>
          <w:bCs/>
        </w:rPr>
        <w:t xml:space="preserve"> and water</w:t>
      </w:r>
    </w:p>
    <w:p w14:paraId="2CF9C1D5" w14:textId="4E48EBC6" w:rsidR="00F91137" w:rsidRPr="00447599" w:rsidRDefault="005B6555" w:rsidP="003340EF">
      <w:pPr>
        <w:spacing w:line="276" w:lineRule="auto"/>
        <w:jc w:val="both"/>
        <w:rPr>
          <w:rFonts w:asciiTheme="majorBidi" w:hAnsiTheme="majorBidi" w:cstheme="majorBidi"/>
          <w:color w:val="000000"/>
          <w:shd w:val="clear" w:color="auto" w:fill="FFFFFF"/>
        </w:rPr>
      </w:pPr>
      <w:r w:rsidRPr="00447599">
        <w:rPr>
          <w:rFonts w:asciiTheme="majorBidi" w:hAnsiTheme="majorBidi" w:cstheme="majorBidi"/>
          <w:color w:val="000000" w:themeColor="text1"/>
        </w:rPr>
        <w:t xml:space="preserve">The release of PAHs to soil following crude oil spill and its biodegradation in the presence of pre-selected strains and enzymes solutions were confirmed by GC-MS (Agilent model 6890-GC, 5973-MSD) analyses which were carried out before and after incubation. </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&lt;EndNote&gt;&lt;Cite&gt;&lt;Author&gt;Li&lt;/Author&gt;&lt;Year&gt;2021&lt;/Year&gt;&lt;RecNum&gt;73&lt;/RecNum&gt;&lt;DisplayText&gt;&lt;style face="superscript"&gt;31&lt;/style&gt;&lt;/DisplayText&gt;&lt;record&gt;&lt;rec-number&gt;73&lt;/rec-number&gt;&lt;foreign-keys&gt;&lt;key app="EN" db-id="fw0pwwe0dwvwvmedstoxs906drsw2awepzsx" timestamp="1634254605"&gt;73&lt;/key&gt;&lt;/foreign-keys&gt;&lt;ref-type name="Journal Article"&gt;17&lt;/ref-type&gt;&lt;contributors&gt;&lt;authors&gt;&lt;author&gt;Li, Ziang&lt;/author&gt;&lt;author&gt;Cabana, Hubert&lt;/author&gt;&lt;author&gt;Lecka, Joanna&lt;/author&gt;&lt;author&gt;Brar, Satinder K&lt;/author&gt;&lt;author&gt;Galvez, Rosa&lt;/author&gt;&lt;author&gt;Bellenger, Jean-Philippe&lt;/author&gt;&lt;/authors&gt;&lt;/contributors&gt;&lt;titles&gt;&lt;title&gt;Efficiencies of selected biotreatments for the remediation of PAH in diluted bitumen contaminated soil microcosms&lt;/title&gt;&lt;secondary-title&gt;Biodegradation&lt;/secondary-title&gt;&lt;/titles&gt;&lt;periodical&gt;&lt;full-title&gt;Biodegradation&lt;/full-title&gt;&lt;/periodical&gt;&lt;pages&gt;1-14&lt;/pages&gt;&lt;dates&gt;&lt;year&gt;2021&lt;/year&gt;&lt;/dates&gt;&lt;isbn&gt;1572-9729&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31</w:t>
      </w:r>
      <w:r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t xml:space="preserve"> Biotic and abiotic controls were used in the same conditions. The preparation of samples for GC/MS analysis was described elsewhere in detail. </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&lt;EndNote&gt;&lt;Cite&gt;&lt;Author&gt;Li&lt;/Author&gt;&lt;Year&gt;2021&lt;/Year&gt;&lt;RecNum&gt;73&lt;/RecNum&gt;&lt;DisplayText&gt;&lt;style face="superscript"&gt;31&lt;/style&gt;&lt;/DisplayText&gt;&lt;record&gt;&lt;rec-number&gt;73&lt;/rec-number&gt;&lt;foreign-keys&gt;&lt;key app="EN" db-id="fw0pwwe0dwvwvmedstoxs906drsw2awepzsx" timestamp="1634254605"&gt;73&lt;/key&gt;&lt;/foreign-keys&gt;&lt;ref-type name="Journal Article"&gt;17&lt;/ref-type&gt;&lt;contributors&gt;&lt;authors&gt;&lt;author&gt;Li, Ziang&lt;/author&gt;&lt;author&gt;Cabana, Hubert&lt;/author&gt;&lt;author&gt;Lecka, Joanna&lt;/author&gt;&lt;author&gt;Brar, Satinder K&lt;/author&gt;&lt;author&gt;Galvez, Rosa&lt;/author&gt;&lt;author&gt;Bellenger, Jean-Philippe&lt;/author&gt;&lt;/authors&gt;&lt;/contributors&gt;&lt;titles&gt;&lt;title&gt;Efficiencies of selected biotreatments for the remediation of PAH in diluted bitumen contaminated soil microcosms&lt;/title&gt;&lt;secondary-title&gt;Biodegradation&lt;/secondary-title&gt;&lt;/titles&gt;&lt;periodical&gt;&lt;full-title&gt;Biodegradation&lt;/full-title&gt;&lt;/periodical&gt;&lt;pages&gt;1-14&lt;/pages&gt;&lt;dates&gt;&lt;year&gt;2021&lt;/year&gt;&lt;/dates&gt;&lt;isbn&gt;1572-9729&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31</w:t>
      </w:r>
      <w:r w:rsidRPr="00447599">
        <w:rPr>
          <w:rFonts w:asciiTheme="majorBidi" w:hAnsiTheme="majorBidi" w:cstheme="majorBidi"/>
          <w:color w:val="000000" w:themeColor="text1"/>
        </w:rPr>
        <w:fldChar w:fldCharType="end"/>
      </w:r>
      <w:r w:rsidRPr="00447599">
        <w:rPr>
          <w:rFonts w:asciiTheme="majorBidi" w:hAnsiTheme="majorBidi" w:cstheme="majorBidi"/>
          <w:color w:val="000000" w:themeColor="text1"/>
        </w:rPr>
        <w:t xml:space="preserve">  Regarding the soil sample, w</w:t>
      </w:r>
      <w:r w:rsidRPr="00447599">
        <w:rPr>
          <w:rFonts w:asciiTheme="majorBidi" w:hAnsiTheme="majorBidi" w:cstheme="majorBidi"/>
          <w:color w:val="000000" w:themeColor="text1"/>
          <w:lang w:bidi="fa-IR"/>
        </w:rPr>
        <w:t>e first determined the moisture content of the soil, followed by the weighting of 3–5 grams of sample soil into 40-mL glass tubes (with covers), into which the internal standards (ISTDs</w:t>
      </w:r>
      <w:r w:rsidR="005B7BC5" w:rsidRPr="00447599">
        <w:rPr>
          <w:rFonts w:asciiTheme="majorBidi" w:hAnsiTheme="majorBidi" w:cstheme="majorBidi"/>
          <w:color w:val="000000" w:themeColor="text1"/>
          <w:lang w:bidi="fa-IR"/>
        </w:rPr>
        <w:t>)</w:t>
      </w:r>
      <w:r w:rsidRPr="00447599">
        <w:rPr>
          <w:rFonts w:asciiTheme="majorBidi" w:hAnsiTheme="majorBidi" w:cstheme="majorBidi"/>
          <w:color w:val="000000" w:themeColor="text1"/>
          <w:lang w:bidi="fa-IR"/>
        </w:rPr>
        <w:t xml:space="preserve"> were prepared for addition and weighed to achieve a final concentration of 1.0 mgmL</w:t>
      </w:r>
      <w:r w:rsidRPr="00447599">
        <w:rPr>
          <w:rFonts w:asciiTheme="majorBidi" w:hAnsiTheme="majorBidi" w:cstheme="majorBidi"/>
          <w:color w:val="000000" w:themeColor="text1"/>
          <w:vertAlign w:val="superscript"/>
          <w:lang w:bidi="fa-IR"/>
        </w:rPr>
        <w:t>-1</w:t>
      </w:r>
      <w:r w:rsidRPr="00447599">
        <w:rPr>
          <w:rFonts w:asciiTheme="majorBidi" w:hAnsiTheme="majorBidi" w:cstheme="majorBidi"/>
          <w:color w:val="000000" w:themeColor="text1"/>
          <w:lang w:bidi="fa-IR"/>
        </w:rPr>
        <w:t xml:space="preserve"> (for pyrene-D10) and 0.7 mgmL</w:t>
      </w:r>
      <w:r w:rsidRPr="00447599">
        <w:rPr>
          <w:rFonts w:asciiTheme="majorBidi" w:hAnsiTheme="majorBidi" w:cstheme="majorBidi"/>
          <w:color w:val="000000" w:themeColor="text1"/>
          <w:vertAlign w:val="superscript"/>
          <w:lang w:bidi="fa-IR"/>
        </w:rPr>
        <w:t>-1</w:t>
      </w:r>
      <w:r w:rsidRPr="00447599">
        <w:rPr>
          <w:rFonts w:asciiTheme="majorBidi" w:hAnsiTheme="majorBidi" w:cstheme="majorBidi"/>
          <w:color w:val="000000" w:themeColor="text1"/>
          <w:lang w:bidi="fa-IR"/>
        </w:rPr>
        <w:t xml:space="preserve"> (for </w:t>
      </w:r>
      <w:r w:rsidRPr="00447599">
        <w:rPr>
          <w:rFonts w:asciiTheme="majorBidi" w:hAnsiTheme="majorBidi" w:cstheme="majorBidi"/>
          <w:color w:val="000000"/>
          <w:shd w:val="clear" w:color="auto" w:fill="FFFFFF"/>
        </w:rPr>
        <w:t>chrysene-D12</w:t>
      </w:r>
      <w:r w:rsidRPr="00447599">
        <w:rPr>
          <w:rFonts w:asciiTheme="majorBidi" w:hAnsiTheme="majorBidi" w:cstheme="majorBidi"/>
          <w:color w:val="000000" w:themeColor="text1"/>
          <w:lang w:bidi="fa-IR"/>
        </w:rPr>
        <w:t xml:space="preserve">, anthracene-D10, </w:t>
      </w:r>
      <w:r w:rsidRPr="00447599">
        <w:rPr>
          <w:rFonts w:asciiTheme="majorBidi" w:hAnsiTheme="majorBidi" w:cstheme="majorBidi"/>
          <w:color w:val="000000"/>
          <w:shd w:val="clear" w:color="auto" w:fill="FFFFFF"/>
        </w:rPr>
        <w:t xml:space="preserve">and </w:t>
      </w:r>
      <w:r w:rsidRPr="00447599">
        <w:rPr>
          <w:rFonts w:asciiTheme="majorBidi" w:hAnsiTheme="majorBidi" w:cstheme="majorBidi"/>
          <w:color w:val="000000" w:themeColor="text1"/>
          <w:lang w:bidi="fa-IR"/>
        </w:rPr>
        <w:t xml:space="preserve">acenaphthene-D10 </w:t>
      </w:r>
      <w:r w:rsidRPr="00447599">
        <w:rPr>
          <w:rFonts w:asciiTheme="majorBidi" w:hAnsiTheme="majorBidi" w:cstheme="majorBidi"/>
          <w:color w:val="000000"/>
          <w:shd w:val="clear" w:color="auto" w:fill="FFFFFF"/>
        </w:rPr>
        <w:t>each). The tube was filled with 2.5 grams of diatomaceous earth (DIONEXTM, Fisher Scientific, Canada). Each sample was thoroughly mixed with 20 mL of dichloromethane (HoneyWellTM, Fisher Scientific, Canada), followed by sonication for 30 minutes.</w:t>
      </w:r>
      <w:r w:rsidRPr="00447599">
        <w:t xml:space="preserve"> </w:t>
      </w:r>
      <w:r w:rsidRPr="00447599">
        <w:rPr>
          <w:rFonts w:asciiTheme="majorBidi" w:hAnsiTheme="majorBidi" w:cstheme="majorBidi"/>
          <w:color w:val="000000"/>
          <w:shd w:val="clear" w:color="auto" w:fill="FFFFFF"/>
        </w:rPr>
        <w:t xml:space="preserve">A concentrated solution of five grams of silica (SiliCycle, Canada) was added to the tube, and the entire apparatus was shaken on a wrist shaker (Burrell Wrist Action Shaker-385 oscillations/min) for 10 min. </w:t>
      </w:r>
      <w:r w:rsidR="00F91137" w:rsidRPr="00447599">
        <w:rPr>
          <w:rFonts w:asciiTheme="majorBidi" w:hAnsiTheme="majorBidi" w:cstheme="majorBidi"/>
          <w:color w:val="000000"/>
          <w:shd w:val="clear" w:color="auto" w:fill="FFFFFF"/>
        </w:rPr>
        <w:t>5</w:t>
      </w:r>
      <w:r w:rsidRPr="00447599">
        <w:rPr>
          <w:rFonts w:asciiTheme="majorBidi" w:hAnsiTheme="majorBidi" w:cstheme="majorBidi"/>
          <w:color w:val="000000"/>
          <w:shd w:val="clear" w:color="auto" w:fill="FFFFFF"/>
        </w:rPr>
        <w:t xml:space="preserve"> mL of the supernatant was transferred into a calibrated glass tube, and then the volume was reduced to one mL (35 °C with nitrogen gas) for GC/MS analysis (1 mL/min</w:t>
      </w:r>
      <w:r w:rsidRPr="00447599">
        <w:rPr>
          <w:rFonts w:ascii="AdvPTimes" w:hAnsi="AdvPTimes"/>
          <w:color w:val="000000"/>
          <w:shd w:val="clear" w:color="auto" w:fill="FFFFFF"/>
        </w:rPr>
        <w:t>, 35 min</w:t>
      </w:r>
      <w:r w:rsidR="00903715" w:rsidRPr="00447599">
        <w:rPr>
          <w:rFonts w:ascii="AdvPTimes" w:hAnsi="AdvPTimes"/>
          <w:color w:val="000000"/>
          <w:shd w:val="clear" w:color="auto" w:fill="FFFFFF"/>
        </w:rPr>
        <w:t xml:space="preserve"> </w:t>
      </w:r>
      <w:r w:rsidRPr="00447599">
        <w:rPr>
          <w:rFonts w:ascii="AdvPTimes" w:hAnsi="AdvPTimes"/>
          <w:color w:val="000000"/>
          <w:shd w:val="clear" w:color="auto" w:fill="FFFFFF"/>
        </w:rPr>
        <w:t>300 </w:t>
      </w:r>
      <w:r w:rsidRPr="00447599">
        <w:rPr>
          <w:rFonts w:ascii="AdvPSSym" w:hAnsi="AdvPSSym"/>
          <w:color w:val="000000"/>
          <w:shd w:val="clear" w:color="auto" w:fill="FFFFFF"/>
        </w:rPr>
        <w:t>°</w:t>
      </w:r>
      <w:r w:rsidRPr="00447599">
        <w:rPr>
          <w:rFonts w:ascii="AdvPTimes" w:hAnsi="AdvPTimes"/>
          <w:color w:val="000000"/>
          <w:shd w:val="clear" w:color="auto" w:fill="FFFFFF"/>
        </w:rPr>
        <w:t>C,).</w:t>
      </w:r>
      <w:r w:rsidRPr="00447599">
        <w:rPr>
          <w:rFonts w:ascii="AdvPTimes" w:hAnsi="AdvPTimes"/>
          <w:color w:val="000000"/>
          <w:sz w:val="20"/>
          <w:szCs w:val="20"/>
          <w:shd w:val="clear" w:color="auto" w:fill="FFFFFF"/>
        </w:rPr>
        <w:t> </w:t>
      </w:r>
      <w:r w:rsidRPr="00447599">
        <w:rPr>
          <w:rFonts w:asciiTheme="majorBidi" w:hAnsiTheme="majorBidi" w:cstheme="majorBidi"/>
          <w:color w:val="000000" w:themeColor="text1"/>
          <w:lang w:bidi="fa-IR"/>
        </w:rPr>
        <w:t>Based upon the fact that the soil for testing was collected in the province of Quebec (Canada), the local soil PAH threshold of 0.1 mg.kg</w:t>
      </w:r>
      <w:r w:rsidRPr="00447599">
        <w:rPr>
          <w:rFonts w:asciiTheme="majorBidi" w:hAnsiTheme="majorBidi" w:cstheme="majorBidi"/>
          <w:color w:val="000000" w:themeColor="text1"/>
          <w:vertAlign w:val="superscript"/>
          <w:lang w:bidi="fa-IR"/>
        </w:rPr>
        <w:t>-1</w:t>
      </w:r>
      <w:r w:rsidRPr="00447599">
        <w:rPr>
          <w:rFonts w:asciiTheme="majorBidi" w:hAnsiTheme="majorBidi" w:cstheme="majorBidi"/>
          <w:color w:val="000000" w:themeColor="text1"/>
          <w:lang w:bidi="fa-IR"/>
        </w:rPr>
        <w:t xml:space="preserve"> was used as a benchmark in assessing the efficacy of treatment. </w:t>
      </w:r>
      <w:r w:rsidRPr="00447599">
        <w:rPr>
          <w:rFonts w:asciiTheme="majorBidi" w:hAnsiTheme="majorBidi" w:cstheme="majorBidi"/>
          <w:color w:val="000000" w:themeColor="text1"/>
          <w:lang w:bidi="fa-IR"/>
        </w:rPr>
        <w:fldChar w:fldCharType="begin"/>
      </w:r>
      <w:r w:rsidR="00017A0C" w:rsidRPr="00447599">
        <w:rPr>
          <w:rFonts w:asciiTheme="majorBidi" w:hAnsiTheme="majorBidi" w:cstheme="majorBidi"/>
          <w:color w:val="000000" w:themeColor="text1"/>
          <w:lang w:bidi="fa-IR"/>
        </w:rPr>
        <w:instrText xml:space="preserve"> ADDIN EN.CITE &lt;EndNote&gt;&lt;Cite&gt;&lt;Author&gt;Beaulieu&lt;/Author&gt;&lt;Year&gt;2016&lt;/Year&gt;&lt;RecNum&gt;93&lt;/RecNum&gt;&lt;DisplayText&gt;&lt;style face="superscript"&gt;32&lt;/style&gt;&lt;/DisplayText&gt;&lt;record&gt;&lt;rec-number&gt;93&lt;/rec-number&gt;&lt;foreign-keys&gt;&lt;key app="EN" db-id="5t5vxvzturazf5e0v5rxetd1pap0t5xsdvet" timestamp="1650759857"&gt;93&lt;/key&gt;&lt;/foreign-keys&gt;&lt;ref-type name="Book"&gt;6&lt;/ref-type&gt;&lt;contributors&gt;&lt;authors&gt;&lt;author&gt;Beaulieu, Michel&lt;/author&gt;&lt;author&gt;Québec . Service des lieux contaminés&lt;/author&gt;&lt;/authors&gt;&lt;/contributors&gt;&lt;titles&gt;&lt;title&gt;Guide d&amp;apos;intervention: protection des sols et réhabilitation des terrains contaminés&lt;/title&gt;&lt;/titles&gt;&lt;dates&gt;&lt;year&gt;2016&lt;/year&gt;&lt;/dates&gt;&lt;publisher&gt;Ministère du Développement durable, de l&amp;apos;Environnement et de la Lutte contre …&lt;/publisher&gt;&lt;isbn&gt;2550761715&lt;/isbn&gt;&lt;urls&gt;&lt;/urls&gt;&lt;/record&gt;&lt;/Cite&gt;&lt;/EndNote&gt;</w:instrText>
      </w:r>
      <w:r w:rsidRPr="00447599">
        <w:rPr>
          <w:rFonts w:asciiTheme="majorBidi" w:hAnsiTheme="majorBidi" w:cstheme="majorBidi"/>
          <w:color w:val="000000" w:themeColor="text1"/>
          <w:lang w:bidi="fa-IR"/>
        </w:rPr>
        <w:fldChar w:fldCharType="separate"/>
      </w:r>
      <w:r w:rsidR="00017A0C" w:rsidRPr="00447599">
        <w:rPr>
          <w:rFonts w:asciiTheme="majorBidi" w:hAnsiTheme="majorBidi" w:cstheme="majorBidi"/>
          <w:noProof/>
          <w:color w:val="000000" w:themeColor="text1"/>
          <w:vertAlign w:val="superscript"/>
          <w:lang w:bidi="fa-IR"/>
        </w:rPr>
        <w:t>32</w:t>
      </w:r>
      <w:r w:rsidRPr="00447599">
        <w:rPr>
          <w:rFonts w:asciiTheme="majorBidi" w:hAnsiTheme="majorBidi" w:cstheme="majorBidi"/>
          <w:color w:val="000000" w:themeColor="text1"/>
          <w:lang w:bidi="fa-IR"/>
        </w:rPr>
        <w:fldChar w:fldCharType="end"/>
      </w:r>
      <w:r w:rsidR="00F91137" w:rsidRPr="00447599">
        <w:rPr>
          <w:rFonts w:asciiTheme="majorBidi" w:hAnsiTheme="majorBidi" w:cstheme="majorBidi"/>
          <w:color w:val="000000" w:themeColor="text1"/>
          <w:lang w:bidi="fa-IR"/>
        </w:rPr>
        <w:t xml:space="preserve"> </w:t>
      </w:r>
      <w:r w:rsidR="00F91137" w:rsidRPr="00447599">
        <w:rPr>
          <w:rFonts w:asciiTheme="majorBidi" w:hAnsiTheme="majorBidi" w:cstheme="majorBidi"/>
          <w:color w:val="000000"/>
          <w:shd w:val="clear" w:color="auto" w:fill="FFFFFF"/>
        </w:rPr>
        <w:t xml:space="preserve">The quantification was carried out using a standard curve constructed using by extraction of p-xylene spiked soil samples.  The standard calibration graphs were linear with correlation coefficients (R2) being greater than 0.995. </w:t>
      </w:r>
      <w:r w:rsidR="00F91137" w:rsidRPr="00447599">
        <w:rPr>
          <w:rFonts w:asciiTheme="majorBidi" w:hAnsiTheme="majorBidi" w:cstheme="majorBidi"/>
          <w:color w:val="000000"/>
          <w:shd w:val="clear" w:color="auto" w:fill="FFFFFF"/>
        </w:rPr>
        <w:fldChar w:fldCharType="begin"/>
      </w:r>
      <w:r w:rsidR="00017A0C" w:rsidRPr="00447599">
        <w:rPr>
          <w:rFonts w:asciiTheme="majorBidi" w:hAnsiTheme="majorBidi" w:cstheme="majorBidi"/>
          <w:color w:val="000000"/>
          <w:shd w:val="clear" w:color="auto" w:fill="FFFFFF"/>
        </w:rPr>
        <w:instrText xml:space="preserve"> ADDIN EN.CITE &lt;EndNote&gt;&lt;Cite&gt;&lt;Author&gt;Miri&lt;/Author&gt;&lt;Year&gt;2022&lt;/Year&gt;&lt;RecNum&gt;201&lt;/RecNum&gt;&lt;DisplayText&gt;&lt;style face="superscript"&gt;19&lt;/style&gt;&lt;/DisplayText&gt;&lt;record&gt;&lt;rec-number&gt;201&lt;/rec-number&gt;&lt;foreign-keys&gt;&lt;key app="EN" db-id="e29dz2seoxz0a5es2wbveszlv0aaex2r2sra" timestamp="1659989090"&gt;201&lt;/key&gt;&lt;/foreign-keys&gt;&lt;ref-type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Materials&lt;/full-title&gt;&lt;/periodical&gt;&lt;pages&gt;127099&lt;/pages&gt;&lt;volume&gt;423&lt;/volume&gt;&lt;dates&gt;&lt;year&gt;2022&lt;/year&gt;&lt;/dates&gt;&lt;isbn&gt;0304-3894&lt;/isbn&gt;&lt;urls&gt;&lt;/urls&gt;&lt;/record&gt;&lt;/Cite&gt;&lt;/EndNote&gt;</w:instrText>
      </w:r>
      <w:r w:rsidR="00F91137" w:rsidRPr="00447599">
        <w:rPr>
          <w:rFonts w:asciiTheme="majorBidi" w:hAnsiTheme="majorBidi" w:cstheme="majorBidi"/>
          <w:color w:val="000000"/>
          <w:shd w:val="clear" w:color="auto" w:fill="FFFFFF"/>
        </w:rPr>
        <w:fldChar w:fldCharType="separate"/>
      </w:r>
      <w:r w:rsidR="00017A0C" w:rsidRPr="00447599">
        <w:rPr>
          <w:rFonts w:asciiTheme="majorBidi" w:hAnsiTheme="majorBidi" w:cstheme="majorBidi"/>
          <w:noProof/>
          <w:color w:val="000000"/>
          <w:shd w:val="clear" w:color="auto" w:fill="FFFFFF"/>
          <w:vertAlign w:val="superscript"/>
        </w:rPr>
        <w:t>19</w:t>
      </w:r>
      <w:r w:rsidR="00F91137" w:rsidRPr="00447599">
        <w:rPr>
          <w:rFonts w:asciiTheme="majorBidi" w:hAnsiTheme="majorBidi" w:cstheme="majorBidi"/>
          <w:color w:val="000000"/>
          <w:shd w:val="clear" w:color="auto" w:fill="FFFFFF"/>
        </w:rPr>
        <w:fldChar w:fldCharType="end"/>
      </w:r>
    </w:p>
    <w:p w14:paraId="29F77ED8" w14:textId="4F0730B2" w:rsidR="005B6555" w:rsidRPr="00447599" w:rsidRDefault="005B6555" w:rsidP="003340EF">
      <w:pPr>
        <w:spacing w:line="276" w:lineRule="auto"/>
        <w:jc w:val="both"/>
        <w:rPr>
          <w:rFonts w:ascii="Times" w:hAnsi="Times" w:cs="Arial"/>
          <w:color w:val="000000" w:themeColor="text1"/>
        </w:rPr>
      </w:pPr>
      <w:r w:rsidRPr="00447599">
        <w:rPr>
          <w:rFonts w:asciiTheme="majorBidi" w:hAnsiTheme="majorBidi" w:cstheme="majorBidi"/>
          <w:color w:val="000000" w:themeColor="text1"/>
        </w:rPr>
        <w:t xml:space="preserve">Regarding the water samples, the fermentative medium (20 mL) containing the remaining PAHs and metabolites and surrogate </w:t>
      </w:r>
      <w:r w:rsidRPr="00447599">
        <w:rPr>
          <w:rStyle w:val="normaltextrun"/>
          <w:rFonts w:cs="Arial"/>
          <w:color w:val="000000" w:themeColor="text1"/>
        </w:rPr>
        <w:t xml:space="preserve">standards (Acenaphthene D10, Chrysene D12, Anthracene D10 each </w:t>
      </w:r>
      <w:r w:rsidRPr="00447599">
        <w:rPr>
          <w:rStyle w:val="normaltextrun"/>
          <w:rFonts w:cs="Arial"/>
          <w:color w:val="000000" w:themeColor="text1"/>
        </w:rPr>
        <w:lastRenderedPageBreak/>
        <w:t>– 0.7 µg•mL</w:t>
      </w:r>
      <w:r w:rsidRPr="00447599">
        <w:rPr>
          <w:rStyle w:val="normaltextrun"/>
          <w:rFonts w:cs="Arial"/>
          <w:color w:val="000000" w:themeColor="text1"/>
          <w:vertAlign w:val="superscript"/>
        </w:rPr>
        <w:t>-1</w:t>
      </w:r>
      <w:r w:rsidRPr="00447599">
        <w:rPr>
          <w:rStyle w:val="normaltextrun"/>
          <w:rFonts w:cs="Arial"/>
          <w:color w:val="000000" w:themeColor="text1"/>
        </w:rPr>
        <w:t>, Pyrene D10 – 1.0 µg•mL</w:t>
      </w:r>
      <w:r w:rsidRPr="00447599">
        <w:rPr>
          <w:rStyle w:val="normaltextrun"/>
          <w:rFonts w:cs="Arial"/>
          <w:color w:val="000000" w:themeColor="text1"/>
          <w:vertAlign w:val="superscript"/>
        </w:rPr>
        <w:t>-1</w:t>
      </w:r>
      <w:r w:rsidRPr="00447599">
        <w:rPr>
          <w:rStyle w:val="normaltextrun"/>
          <w:rFonts w:cs="Arial"/>
          <w:color w:val="000000" w:themeColor="text1"/>
        </w:rPr>
        <w:t>; purchased from Chromatographic Specialties Inc., Canada) were added to glass tubes (50 mL with covers). After mixing, dichloromethane</w:t>
      </w:r>
      <w:r w:rsidRPr="00447599" w:rsidDel="00D91B9B">
        <w:rPr>
          <w:rStyle w:val="normaltextrun"/>
          <w:rFonts w:cs="Arial"/>
          <w:color w:val="000000" w:themeColor="text1"/>
        </w:rPr>
        <w:t xml:space="preserve"> </w:t>
      </w:r>
      <w:r w:rsidRPr="00447599">
        <w:rPr>
          <w:rStyle w:val="normaltextrun"/>
          <w:rFonts w:cs="Arial"/>
          <w:color w:val="000000" w:themeColor="text1"/>
        </w:rPr>
        <w:t xml:space="preserve">(20 mL) was added to each sample and mixed thoroughly for 30 minutes. 5 g of </w:t>
      </w:r>
      <w:r w:rsidR="0007663F" w:rsidRPr="00447599">
        <w:rPr>
          <w:rFonts w:ascii="Calibri" w:hAnsi="Calibri" w:cs="Calibri"/>
          <w:color w:val="000000" w:themeColor="text1"/>
        </w:rPr>
        <w:t>﻿</w:t>
      </w:r>
      <w:r w:rsidR="0007663F" w:rsidRPr="00447599">
        <w:rPr>
          <w:rFonts w:ascii="Times" w:hAnsi="Times" w:cstheme="majorBidi"/>
          <w:color w:val="000000" w:themeColor="text1"/>
        </w:rPr>
        <w:t xml:space="preserve">silica (SiliCycle, Canada) </w:t>
      </w:r>
      <w:r w:rsidRPr="00447599">
        <w:rPr>
          <w:rStyle w:val="normaltextrun"/>
          <w:rFonts w:cs="Arial"/>
          <w:color w:val="000000" w:themeColor="text1"/>
        </w:rPr>
        <w:t xml:space="preserve">was added, and the tube were shaken on an oscillating shaker. 5 mL of supernatant </w:t>
      </w:r>
      <w:r w:rsidRPr="00447599">
        <w:rPr>
          <w:rStyle w:val="normaltextrun"/>
          <w:rFonts w:ascii="Times" w:hAnsi="Times" w:cs="Arial"/>
          <w:color w:val="000000" w:themeColor="text1"/>
        </w:rPr>
        <w:t xml:space="preserve">were withdrawn and transferred in a calibrated glass tube, reduced to 0.5 mL (36°C with nitrogen gas) and </w:t>
      </w:r>
      <w:r w:rsidRPr="00447599">
        <w:rPr>
          <w:rFonts w:ascii="Times" w:hAnsi="Times" w:cs="Arial"/>
          <w:color w:val="000000" w:themeColor="text1"/>
        </w:rPr>
        <w:t xml:space="preserve">then analyzed by GC/MS (1 mL/min, 35 minutes, 300°C) </w:t>
      </w:r>
      <w:r w:rsidRPr="00447599">
        <w:rPr>
          <w:rFonts w:ascii="Times" w:hAnsi="Times" w:cs="Arial"/>
          <w:color w:val="000000" w:themeColor="text1"/>
        </w:rPr>
        <w:fldChar w:fldCharType="begin"/>
      </w:r>
      <w:r w:rsidR="00017A0C" w:rsidRPr="00447599">
        <w:rPr>
          <w:rFonts w:ascii="Times" w:hAnsi="Times" w:cs="Arial"/>
          <w:color w:val="000000" w:themeColor="text1"/>
        </w:rPr>
        <w:instrText xml:space="preserve"> ADDIN EN.CITE &lt;EndNote&gt;&lt;Cite&gt;&lt;Author&gt;Li&lt;/Author&gt;&lt;Year&gt;2021&lt;/Year&gt;&lt;RecNum&gt;73&lt;/RecNum&gt;&lt;DisplayText&gt;&lt;style face="superscript"&gt;31&lt;/style&gt;&lt;/DisplayText&gt;&lt;record&gt;&lt;rec-number&gt;73&lt;/rec-number&gt;&lt;foreign-keys&gt;&lt;key app="EN" db-id="fw0pwwe0dwvwvmedstoxs906drsw2awepzsx" timestamp="1634254605"&gt;73&lt;/key&gt;&lt;/foreign-keys&gt;&lt;ref-type name="Journal Article"&gt;17&lt;/ref-type&gt;&lt;contributors&gt;&lt;authors&gt;&lt;author&gt;Li, Ziang&lt;/author&gt;&lt;author&gt;Cabana, Hubert&lt;/author&gt;&lt;author&gt;Lecka, Joanna&lt;/author&gt;&lt;author&gt;Brar, Satinder K&lt;/author&gt;&lt;author&gt;Galvez, Rosa&lt;/author&gt;&lt;author&gt;Bellenger, Jean-Philippe&lt;/author&gt;&lt;/authors&gt;&lt;/contributors&gt;&lt;titles&gt;&lt;title&gt;Efficiencies of selected biotreatments for the remediation of PAH in diluted bitumen contaminated soil microcosms&lt;/title&gt;&lt;secondary-title&gt;Biodegradation&lt;/secondary-title&gt;&lt;/titles&gt;&lt;periodical&gt;&lt;full-title&gt;Biodegradation&lt;/full-title&gt;&lt;/periodical&gt;&lt;pages&gt;1-14&lt;/pages&gt;&lt;dates&gt;&lt;year&gt;2021&lt;/year&gt;&lt;/dates&gt;&lt;isbn&gt;1572-9729&lt;/isbn&gt;&lt;urls&gt;&lt;/urls&gt;&lt;/record&gt;&lt;/Cite&gt;&lt;/EndNote&gt;</w:instrText>
      </w:r>
      <w:r w:rsidRPr="00447599">
        <w:rPr>
          <w:rFonts w:ascii="Times" w:hAnsi="Times" w:cs="Arial"/>
          <w:color w:val="000000" w:themeColor="text1"/>
        </w:rPr>
        <w:fldChar w:fldCharType="separate"/>
      </w:r>
      <w:r w:rsidR="00017A0C" w:rsidRPr="00447599">
        <w:rPr>
          <w:rFonts w:ascii="Times" w:hAnsi="Times" w:cs="Arial"/>
          <w:noProof/>
          <w:color w:val="000000" w:themeColor="text1"/>
          <w:vertAlign w:val="superscript"/>
        </w:rPr>
        <w:t>31</w:t>
      </w:r>
      <w:r w:rsidRPr="00447599">
        <w:rPr>
          <w:rFonts w:ascii="Times" w:hAnsi="Times" w:cs="Arial"/>
          <w:color w:val="000000" w:themeColor="text1"/>
        </w:rPr>
        <w:fldChar w:fldCharType="end"/>
      </w:r>
    </w:p>
    <w:p w14:paraId="06AC2AC1" w14:textId="5605016D" w:rsidR="0081756C" w:rsidRPr="00447599" w:rsidRDefault="0081756C" w:rsidP="003340EF">
      <w:pPr>
        <w:spacing w:line="276" w:lineRule="auto"/>
        <w:jc w:val="both"/>
        <w:rPr>
          <w:rFonts w:asciiTheme="majorBidi" w:hAnsiTheme="majorBidi" w:cstheme="majorBidi"/>
          <w:b/>
          <w:bCs/>
          <w:color w:val="000000" w:themeColor="text1"/>
        </w:rPr>
      </w:pPr>
      <w:r w:rsidRPr="00447599">
        <w:rPr>
          <w:rFonts w:asciiTheme="majorBidi" w:hAnsiTheme="majorBidi" w:cstheme="majorBidi"/>
          <w:b/>
          <w:bCs/>
          <w:color w:val="000000" w:themeColor="text1"/>
        </w:rPr>
        <w:t>S</w:t>
      </w:r>
      <w:r w:rsidR="00FF3A63" w:rsidRPr="00447599">
        <w:rPr>
          <w:rFonts w:asciiTheme="majorBidi" w:hAnsiTheme="majorBidi" w:cstheme="majorBidi"/>
          <w:b/>
          <w:bCs/>
          <w:color w:val="000000" w:themeColor="text1"/>
        </w:rPr>
        <w:t>9</w:t>
      </w:r>
      <w:r w:rsidRPr="00447599">
        <w:rPr>
          <w:rFonts w:asciiTheme="majorBidi" w:hAnsiTheme="majorBidi" w:cstheme="majorBidi"/>
          <w:b/>
          <w:bCs/>
          <w:color w:val="000000" w:themeColor="text1"/>
        </w:rPr>
        <w:t xml:space="preserve"> Enzyme stability in soil batch test</w:t>
      </w:r>
    </w:p>
    <w:p w14:paraId="38726FC7" w14:textId="334D8F83" w:rsidR="0073079A" w:rsidRPr="00447599" w:rsidRDefault="0081756C" w:rsidP="003340EF">
      <w:pPr>
        <w:spacing w:line="276" w:lineRule="auto"/>
        <w:jc w:val="both"/>
        <w:rPr>
          <w:rFonts w:asciiTheme="majorBidi" w:eastAsia="Arial" w:hAnsiTheme="majorBidi" w:cstheme="majorBidi"/>
          <w:color w:val="000000" w:themeColor="text1"/>
          <w:lang w:val="en-CA" w:bidi="fa-IR"/>
        </w:rPr>
      </w:pPr>
      <w:r w:rsidRPr="00447599">
        <w:rPr>
          <w:rFonts w:ascii="Times" w:hAnsi="Times" w:cstheme="majorBidi"/>
          <w:color w:val="000000" w:themeColor="text1"/>
        </w:rPr>
        <w:t>After determining the formulation of the synthetic bacterial consortia for enzyme production, to obtain information on the activation of the key enzymes by activators, the effect of Fe</w:t>
      </w:r>
      <w:r w:rsidRPr="00447599">
        <w:rPr>
          <w:rFonts w:ascii="Times" w:hAnsi="Times" w:cstheme="majorBidi"/>
          <w:color w:val="000000" w:themeColor="text1"/>
          <w:vertAlign w:val="subscript"/>
        </w:rPr>
        <w:t>3</w:t>
      </w:r>
      <w:r w:rsidRPr="00447599">
        <w:rPr>
          <w:rFonts w:ascii="Times" w:hAnsi="Times" w:cstheme="majorBidi"/>
          <w:color w:val="000000" w:themeColor="text1"/>
        </w:rPr>
        <w:t>S0</w:t>
      </w:r>
      <w:r w:rsidRPr="00447599">
        <w:rPr>
          <w:rFonts w:ascii="Times" w:hAnsi="Times" w:cstheme="majorBidi"/>
          <w:color w:val="000000" w:themeColor="text1"/>
          <w:vertAlign w:val="subscript"/>
        </w:rPr>
        <w:t xml:space="preserve">4 </w:t>
      </w:r>
      <w:r w:rsidRPr="00447599">
        <w:rPr>
          <w:rFonts w:ascii="Times" w:hAnsi="Times" w:cstheme="majorBidi"/>
          <w:color w:val="000000" w:themeColor="text1"/>
        </w:rPr>
        <w:t xml:space="preserve">on the activity of naphthalene, catechol and pyrene dioxygenase obtained from strains was studied. </w:t>
      </w:r>
      <w:r w:rsidRPr="00447599">
        <w:rPr>
          <w:rFonts w:ascii="TimesNewRoman" w:hAnsi="TimesNewRoman"/>
          <w:color w:val="000000"/>
          <w:shd w:val="clear" w:color="auto" w:fill="FFFFFF"/>
        </w:rPr>
        <w:t xml:space="preserve"> </w:t>
      </w:r>
      <w:r w:rsidRPr="00447599">
        <w:rPr>
          <w:rFonts w:asciiTheme="majorBidi" w:eastAsia="Arial" w:hAnsiTheme="majorBidi" w:cstheme="majorBidi"/>
          <w:color w:val="000000" w:themeColor="text1"/>
          <w:lang w:val="en-CA" w:bidi="fa-IR"/>
        </w:rPr>
        <w:t>Separate batch tests were run on the columns in sealed 150 mL serum bottles with aluminium caps and rubber septa with the same conditions as soil columns (static incubation at 15°C).</w:t>
      </w:r>
      <w:r w:rsidRPr="00447599">
        <w:t xml:space="preserve"> </w:t>
      </w:r>
      <w:r w:rsidRPr="00447599">
        <w:rPr>
          <w:rFonts w:asciiTheme="majorBidi" w:eastAsia="Arial" w:hAnsiTheme="majorBidi" w:cstheme="majorBidi"/>
          <w:color w:val="000000" w:themeColor="text1"/>
          <w:lang w:val="en-CA" w:bidi="fa-IR"/>
        </w:rPr>
        <w:t>An enzyme mixture was mixed with 2 g of dried soil that had been contaminated with p-xylene.</w:t>
      </w:r>
      <w:r w:rsidRPr="00447599">
        <w:t xml:space="preserve"> </w:t>
      </w:r>
      <w:r w:rsidRPr="00447599">
        <w:rPr>
          <w:rFonts w:asciiTheme="majorBidi" w:eastAsia="Arial" w:hAnsiTheme="majorBidi" w:cstheme="majorBidi"/>
          <w:color w:val="000000" w:themeColor="text1"/>
          <w:lang w:val="en-CA" w:bidi="fa-IR"/>
        </w:rPr>
        <w:t>In this experiment, two control groups were created: (1) soil sample without any enzymatic treatment, and (2) enzyme mix without soil.</w:t>
      </w:r>
      <w:r w:rsidRPr="00447599">
        <w:t xml:space="preserve"> </w:t>
      </w:r>
      <w:r w:rsidRPr="00447599">
        <w:rPr>
          <w:rFonts w:asciiTheme="majorBidi" w:eastAsia="Arial" w:hAnsiTheme="majorBidi" w:cstheme="majorBidi"/>
          <w:color w:val="000000" w:themeColor="text1"/>
          <w:lang w:val="en-CA" w:bidi="fa-IR"/>
        </w:rPr>
        <w:t>Over a period of four weeks, subsamples were collected every two days to measure residual activities for ND, PD, CD, HY, PCA.</w:t>
      </w:r>
    </w:p>
    <w:p w14:paraId="723F887D" w14:textId="2200B25C" w:rsidR="0073079A" w:rsidRPr="00447599" w:rsidRDefault="0073079A" w:rsidP="00A035A1">
      <w:pPr>
        <w:spacing w:line="276" w:lineRule="auto"/>
        <w:rPr>
          <w:rFonts w:asciiTheme="majorBidi" w:hAnsiTheme="majorBidi" w:cstheme="majorBidi"/>
          <w:b/>
          <w:bCs/>
        </w:rPr>
      </w:pPr>
      <w:r w:rsidRPr="00447599">
        <w:rPr>
          <w:rFonts w:asciiTheme="majorBidi" w:hAnsiTheme="majorBidi" w:cstheme="majorBidi"/>
          <w:b/>
          <w:bCs/>
        </w:rPr>
        <w:t>S</w:t>
      </w:r>
      <w:r w:rsidR="00FF3A63" w:rsidRPr="00447599">
        <w:rPr>
          <w:rFonts w:asciiTheme="majorBidi" w:hAnsiTheme="majorBidi" w:cstheme="majorBidi"/>
          <w:b/>
          <w:bCs/>
        </w:rPr>
        <w:t>10</w:t>
      </w:r>
      <w:r w:rsidRPr="00447599">
        <w:rPr>
          <w:rFonts w:asciiTheme="majorBidi" w:hAnsiTheme="majorBidi" w:cstheme="majorBidi"/>
          <w:b/>
          <w:bCs/>
        </w:rPr>
        <w:t xml:space="preserve"> Soil characteristics</w:t>
      </w:r>
    </w:p>
    <w:p w14:paraId="0A642650" w14:textId="0DC7BAAC" w:rsidR="0073079A" w:rsidRPr="00447599" w:rsidRDefault="0073079A" w:rsidP="003340EF">
      <w:pPr>
        <w:spacing w:line="276" w:lineRule="auto"/>
        <w:jc w:val="both"/>
        <w:rPr>
          <w:rFonts w:asciiTheme="majorBidi" w:hAnsiTheme="majorBidi" w:cstheme="majorBidi"/>
        </w:rPr>
      </w:pPr>
      <w:r w:rsidRPr="00447599">
        <w:rPr>
          <w:rFonts w:asciiTheme="majorBidi" w:hAnsiTheme="majorBidi" w:cstheme="majorBidi"/>
        </w:rPr>
        <w:t>Grain size distribution and characteristics of the soil are summarized in Table S</w:t>
      </w:r>
      <w:r w:rsidR="00106EC7" w:rsidRPr="00447599">
        <w:rPr>
          <w:rFonts w:asciiTheme="majorBidi" w:hAnsiTheme="majorBidi" w:cstheme="majorBidi"/>
        </w:rPr>
        <w:t>4</w:t>
      </w:r>
      <w:r w:rsidRPr="00447599">
        <w:rPr>
          <w:rFonts w:asciiTheme="majorBidi" w:hAnsiTheme="majorBidi" w:cstheme="majorBidi"/>
        </w:rPr>
        <w:t xml:space="preserve">. </w:t>
      </w:r>
      <w:bookmarkStart w:id="2" w:name="_Hlk64069593"/>
      <w:r w:rsidRPr="00447599">
        <w:rPr>
          <w:rFonts w:asciiTheme="majorBidi" w:hAnsiTheme="majorBidi" w:cstheme="majorBidi"/>
        </w:rPr>
        <w:t>The size of particles between 500 µm and 2 mm was used for column tests.</w:t>
      </w:r>
      <w:bookmarkEnd w:id="2"/>
      <w:r w:rsidRPr="00447599">
        <w:rPr>
          <w:rFonts w:asciiTheme="majorBidi" w:hAnsiTheme="majorBidi" w:cstheme="majorBidi"/>
        </w:rPr>
        <w:t xml:space="preserve"> </w:t>
      </w:r>
    </w:p>
    <w:p w14:paraId="3F1E8B20" w14:textId="77777777" w:rsidR="0073079A" w:rsidRPr="00447599" w:rsidRDefault="0073079A" w:rsidP="003340EF">
      <w:pPr>
        <w:spacing w:line="276" w:lineRule="auto"/>
        <w:rPr>
          <w:rFonts w:asciiTheme="majorBidi" w:hAnsiTheme="majorBidi" w:cstheme="majorBidi"/>
        </w:rPr>
      </w:pPr>
    </w:p>
    <w:p w14:paraId="0173D581" w14:textId="77777777" w:rsidR="0073079A" w:rsidRPr="00447599" w:rsidRDefault="0073079A" w:rsidP="003340EF">
      <w:pPr>
        <w:spacing w:line="276" w:lineRule="auto"/>
        <w:rPr>
          <w:rFonts w:asciiTheme="majorBidi" w:hAnsiTheme="majorBidi" w:cstheme="majorBidi"/>
          <w:noProof/>
        </w:rPr>
      </w:pPr>
    </w:p>
    <w:p w14:paraId="53D25D46" w14:textId="77777777" w:rsidR="0073079A" w:rsidRPr="00447599" w:rsidRDefault="0073079A" w:rsidP="003340EF">
      <w:pPr>
        <w:spacing w:line="276" w:lineRule="auto"/>
        <w:jc w:val="center"/>
        <w:rPr>
          <w:rFonts w:asciiTheme="majorBidi" w:hAnsiTheme="majorBidi" w:cstheme="majorBidi"/>
          <w:noProof/>
        </w:rPr>
      </w:pPr>
    </w:p>
    <w:p w14:paraId="4851351A" w14:textId="77777777" w:rsidR="0073079A" w:rsidRPr="00447599" w:rsidRDefault="0073079A" w:rsidP="003340EF">
      <w:pPr>
        <w:spacing w:line="276" w:lineRule="auto"/>
        <w:rPr>
          <w:rFonts w:asciiTheme="majorBidi" w:hAnsiTheme="majorBidi" w:cstheme="majorBidi"/>
        </w:rPr>
      </w:pPr>
      <w:r w:rsidRPr="00447599">
        <w:rPr>
          <w:rFonts w:asciiTheme="majorBidi" w:hAnsiTheme="majorBidi" w:cstheme="majorBidi"/>
          <w:noProof/>
          <w:lang w:val="fr-CA" w:eastAsia="fr-CA"/>
        </w:rPr>
        <w:drawing>
          <wp:inline distT="0" distB="0" distL="0" distR="0" wp14:anchorId="067D6D2B" wp14:editId="14D1AD77">
            <wp:extent cx="7950200" cy="2470150"/>
            <wp:effectExtent l="0" t="0" r="0" b="635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rotWithShape="1">
                    <a:blip r:embed="rId10">
                      <a:extLst>
                        <a:ext uri="{28A0092B-C50C-407E-A947-70E740481C1C}">
                          <a14:useLocalDpi xmlns:a14="http://schemas.microsoft.com/office/drawing/2010/main" val="0"/>
                        </a:ext>
                      </a:extLst>
                    </a:blip>
                    <a:srcRect l="2391" t="11934" r="1004" b="34705"/>
                    <a:stretch/>
                  </pic:blipFill>
                  <pic:spPr bwMode="auto">
                    <a:xfrm>
                      <a:off x="0" y="0"/>
                      <a:ext cx="7950200" cy="2470150"/>
                    </a:xfrm>
                    <a:prstGeom prst="rect">
                      <a:avLst/>
                    </a:prstGeom>
                    <a:noFill/>
                    <a:ln>
                      <a:noFill/>
                    </a:ln>
                    <a:extLst>
                      <a:ext uri="{53640926-AAD7-44D8-BBD7-CCE9431645EC}">
                        <a14:shadowObscured xmlns:a14="http://schemas.microsoft.com/office/drawing/2010/main"/>
                      </a:ext>
                    </a:extLst>
                  </pic:spPr>
                </pic:pic>
              </a:graphicData>
            </a:graphic>
          </wp:inline>
        </w:drawing>
      </w:r>
    </w:p>
    <w:p w14:paraId="6E6EF03F" w14:textId="3DE2DBF0" w:rsidR="0073079A" w:rsidRPr="00447599" w:rsidRDefault="0073079A" w:rsidP="003340EF">
      <w:pPr>
        <w:spacing w:line="276" w:lineRule="auto"/>
        <w:jc w:val="center"/>
        <w:rPr>
          <w:rFonts w:asciiTheme="majorBidi" w:hAnsiTheme="majorBidi" w:cstheme="majorBidi"/>
          <w:noProof/>
        </w:rPr>
        <w:sectPr w:rsidR="0073079A" w:rsidRPr="00447599" w:rsidSect="00B83ED6">
          <w:pgSz w:w="12240" w:h="15840"/>
          <w:pgMar w:top="1440" w:right="1440" w:bottom="1440" w:left="1440" w:header="708" w:footer="708" w:gutter="0"/>
          <w:cols w:space="708"/>
          <w:docGrid w:linePitch="360"/>
        </w:sectPr>
      </w:pPr>
      <w:r w:rsidRPr="00447599">
        <w:rPr>
          <w:rFonts w:asciiTheme="majorBidi" w:hAnsiTheme="majorBidi" w:cstheme="majorBidi"/>
          <w:noProof/>
        </w:rPr>
        <w:t>Fig. S</w:t>
      </w:r>
      <w:r w:rsidR="00250E1C" w:rsidRPr="00447599">
        <w:rPr>
          <w:rFonts w:asciiTheme="majorBidi" w:hAnsiTheme="majorBidi" w:cstheme="majorBidi"/>
          <w:noProof/>
        </w:rPr>
        <w:t>2</w:t>
      </w:r>
      <w:r w:rsidRPr="00447599">
        <w:rPr>
          <w:rFonts w:asciiTheme="majorBidi" w:hAnsiTheme="majorBidi" w:cstheme="majorBidi"/>
          <w:noProof/>
        </w:rPr>
        <w:t>. Particle-size analysis of soi</w:t>
      </w:r>
    </w:p>
    <w:p w14:paraId="263F155D" w14:textId="6E904E43" w:rsidR="00106EC7" w:rsidRPr="00447599" w:rsidRDefault="00106EC7" w:rsidP="00106EC7">
      <w:pPr>
        <w:spacing w:line="276" w:lineRule="auto"/>
        <w:rPr>
          <w:rFonts w:asciiTheme="majorBidi" w:hAnsiTheme="majorBidi" w:cstheme="majorBidi"/>
        </w:rPr>
      </w:pPr>
      <w:r w:rsidRPr="00447599">
        <w:rPr>
          <w:rFonts w:asciiTheme="majorBidi" w:hAnsiTheme="majorBidi" w:cstheme="majorBidi"/>
        </w:rPr>
        <w:lastRenderedPageBreak/>
        <w:t xml:space="preserve">Table S4. Size analysis of soil (Standard method form </w:t>
      </w:r>
      <w:r w:rsidRPr="00447599">
        <w:rPr>
          <w:rFonts w:asciiTheme="majorBidi" w:hAnsiTheme="majorBidi" w:cstheme="majorBidi"/>
        </w:rPr>
        <w:fldChar w:fldCharType="begin"/>
      </w:r>
      <w:r w:rsidR="00017A0C" w:rsidRPr="00447599">
        <w:rPr>
          <w:rFonts w:asciiTheme="majorBidi" w:hAnsiTheme="majorBidi" w:cstheme="majorBidi"/>
        </w:rPr>
        <w:instrText xml:space="preserve"> ADDIN EN.CITE &lt;EndNote&gt;&lt;Cite&gt;&lt;Author&gt;ASTM&lt;/Author&gt;&lt;Year&gt;2007&lt;/Year&gt;&lt;RecNum&gt;103&lt;/RecNum&gt;&lt;DisplayText&gt;&lt;style face="superscript"&gt;33&lt;/style&gt;&lt;/DisplayText&gt;&lt;record&gt;&lt;rec-number&gt;103&lt;/rec-number&gt;&lt;foreign-keys&gt;&lt;key app="EN" db-id="z25z5w02wp9wshe0asd5ps57arp5eerzv505" timestamp="1593657091"&gt;103&lt;/key&gt;&lt;/foreign-keys&gt;&lt;ref-type name="Journal Article"&gt;17&lt;/ref-type&gt;&lt;contributors&gt;&lt;authors&gt;&lt;author&gt;ASTM, D&lt;/author&gt;&lt;/authors&gt;&lt;/contributors&gt;&lt;titles&gt;&lt;title&gt;Standard test method for particle-size analysis of soils&lt;/title&gt;&lt;/titles&gt;&lt;dates&gt;&lt;year&gt;2007&lt;/year&gt;&lt;/dates&gt;&lt;urls&gt;&lt;/urls&gt;&lt;/record&gt;&lt;/Cite&gt;&lt;/EndNote&gt;</w:instrText>
      </w:r>
      <w:r w:rsidRPr="00447599">
        <w:rPr>
          <w:rFonts w:asciiTheme="majorBidi" w:hAnsiTheme="majorBidi" w:cstheme="majorBidi"/>
        </w:rPr>
        <w:fldChar w:fldCharType="separate"/>
      </w:r>
      <w:r w:rsidR="00017A0C" w:rsidRPr="00447599">
        <w:rPr>
          <w:rFonts w:asciiTheme="majorBidi" w:hAnsiTheme="majorBidi" w:cstheme="majorBidi"/>
          <w:noProof/>
          <w:vertAlign w:val="superscript"/>
        </w:rPr>
        <w:t>33</w:t>
      </w:r>
      <w:r w:rsidRPr="00447599">
        <w:rPr>
          <w:rFonts w:asciiTheme="majorBidi" w:hAnsiTheme="majorBidi" w:cstheme="majorBidi"/>
        </w:rPr>
        <w:fldChar w:fldCharType="end"/>
      </w:r>
      <w:r w:rsidRPr="00447599">
        <w:rPr>
          <w:rFonts w:asciiTheme="majorBidi" w:hAnsiTheme="majorBidi" w:cstheme="majorBidi"/>
        </w:rPr>
        <w:t>)</w:t>
      </w:r>
    </w:p>
    <w:tbl>
      <w:tblPr>
        <w:tblStyle w:val="TableGrid"/>
        <w:tblW w:w="0" w:type="auto"/>
        <w:tblLook w:val="04A0" w:firstRow="1" w:lastRow="0" w:firstColumn="1" w:lastColumn="0" w:noHBand="0" w:noVBand="1"/>
      </w:tblPr>
      <w:tblGrid>
        <w:gridCol w:w="1110"/>
        <w:gridCol w:w="701"/>
        <w:gridCol w:w="757"/>
        <w:gridCol w:w="701"/>
        <w:gridCol w:w="701"/>
        <w:gridCol w:w="717"/>
        <w:gridCol w:w="808"/>
        <w:gridCol w:w="651"/>
        <w:gridCol w:w="808"/>
        <w:gridCol w:w="808"/>
        <w:gridCol w:w="876"/>
        <w:gridCol w:w="876"/>
        <w:gridCol w:w="876"/>
        <w:gridCol w:w="876"/>
        <w:gridCol w:w="808"/>
        <w:gridCol w:w="876"/>
      </w:tblGrid>
      <w:tr w:rsidR="00106EC7" w:rsidRPr="00447599" w14:paraId="6BB6CFD6" w14:textId="77777777" w:rsidTr="00C01B03">
        <w:tc>
          <w:tcPr>
            <w:tcW w:w="1110" w:type="dxa"/>
          </w:tcPr>
          <w:p w14:paraId="5D236261"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Diameter (mm)</w:t>
            </w:r>
          </w:p>
        </w:tc>
        <w:tc>
          <w:tcPr>
            <w:tcW w:w="701" w:type="dxa"/>
          </w:tcPr>
          <w:p w14:paraId="31821C06"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50</w:t>
            </w:r>
          </w:p>
        </w:tc>
        <w:tc>
          <w:tcPr>
            <w:tcW w:w="757" w:type="dxa"/>
          </w:tcPr>
          <w:p w14:paraId="6779E486"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37.5</w:t>
            </w:r>
          </w:p>
        </w:tc>
        <w:tc>
          <w:tcPr>
            <w:tcW w:w="701" w:type="dxa"/>
          </w:tcPr>
          <w:p w14:paraId="4A40DA6C"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25</w:t>
            </w:r>
          </w:p>
        </w:tc>
        <w:tc>
          <w:tcPr>
            <w:tcW w:w="701" w:type="dxa"/>
          </w:tcPr>
          <w:p w14:paraId="350830BC"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19</w:t>
            </w:r>
          </w:p>
        </w:tc>
        <w:tc>
          <w:tcPr>
            <w:tcW w:w="717" w:type="dxa"/>
          </w:tcPr>
          <w:p w14:paraId="16426B6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9.5</w:t>
            </w:r>
          </w:p>
        </w:tc>
        <w:tc>
          <w:tcPr>
            <w:tcW w:w="808" w:type="dxa"/>
          </w:tcPr>
          <w:p w14:paraId="0D1FE0E2"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4.75</w:t>
            </w:r>
          </w:p>
        </w:tc>
        <w:tc>
          <w:tcPr>
            <w:tcW w:w="651" w:type="dxa"/>
          </w:tcPr>
          <w:p w14:paraId="1B02FEFE"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2</w:t>
            </w:r>
          </w:p>
        </w:tc>
        <w:tc>
          <w:tcPr>
            <w:tcW w:w="808" w:type="dxa"/>
          </w:tcPr>
          <w:p w14:paraId="5CFD1549"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0.425</w:t>
            </w:r>
          </w:p>
        </w:tc>
        <w:tc>
          <w:tcPr>
            <w:tcW w:w="808" w:type="dxa"/>
          </w:tcPr>
          <w:p w14:paraId="74268881"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0.075</w:t>
            </w:r>
          </w:p>
        </w:tc>
        <w:tc>
          <w:tcPr>
            <w:tcW w:w="876" w:type="dxa"/>
          </w:tcPr>
          <w:p w14:paraId="054FA7CA"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0.0289</w:t>
            </w:r>
          </w:p>
        </w:tc>
        <w:tc>
          <w:tcPr>
            <w:tcW w:w="876" w:type="dxa"/>
          </w:tcPr>
          <w:p w14:paraId="5BE4ABA6"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0.0169</w:t>
            </w:r>
          </w:p>
        </w:tc>
        <w:tc>
          <w:tcPr>
            <w:tcW w:w="876" w:type="dxa"/>
          </w:tcPr>
          <w:p w14:paraId="6E99F324"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0.0121</w:t>
            </w:r>
          </w:p>
        </w:tc>
        <w:tc>
          <w:tcPr>
            <w:tcW w:w="876" w:type="dxa"/>
          </w:tcPr>
          <w:p w14:paraId="2311A53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0.0086</w:t>
            </w:r>
          </w:p>
        </w:tc>
        <w:tc>
          <w:tcPr>
            <w:tcW w:w="808" w:type="dxa"/>
          </w:tcPr>
          <w:p w14:paraId="76FCE40E"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00.42</w:t>
            </w:r>
          </w:p>
        </w:tc>
        <w:tc>
          <w:tcPr>
            <w:tcW w:w="876" w:type="dxa"/>
          </w:tcPr>
          <w:p w14:paraId="5EC5F78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0.0018</w:t>
            </w:r>
          </w:p>
        </w:tc>
      </w:tr>
      <w:tr w:rsidR="00106EC7" w:rsidRPr="00447599" w14:paraId="557EB35D" w14:textId="77777777" w:rsidTr="00C01B03">
        <w:tc>
          <w:tcPr>
            <w:tcW w:w="1110" w:type="dxa"/>
          </w:tcPr>
          <w:p w14:paraId="5F5028FF"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Passing (%)</w:t>
            </w:r>
          </w:p>
        </w:tc>
        <w:tc>
          <w:tcPr>
            <w:tcW w:w="701" w:type="dxa"/>
          </w:tcPr>
          <w:p w14:paraId="214199FA"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100</w:t>
            </w:r>
          </w:p>
        </w:tc>
        <w:tc>
          <w:tcPr>
            <w:tcW w:w="757" w:type="dxa"/>
          </w:tcPr>
          <w:p w14:paraId="6CBCCF67"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100</w:t>
            </w:r>
          </w:p>
        </w:tc>
        <w:tc>
          <w:tcPr>
            <w:tcW w:w="701" w:type="dxa"/>
          </w:tcPr>
          <w:p w14:paraId="226D9C7A"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100</w:t>
            </w:r>
          </w:p>
        </w:tc>
        <w:tc>
          <w:tcPr>
            <w:tcW w:w="701" w:type="dxa"/>
          </w:tcPr>
          <w:p w14:paraId="6218CA1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100</w:t>
            </w:r>
          </w:p>
        </w:tc>
        <w:tc>
          <w:tcPr>
            <w:tcW w:w="717" w:type="dxa"/>
          </w:tcPr>
          <w:p w14:paraId="6C0E938C"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100</w:t>
            </w:r>
          </w:p>
        </w:tc>
        <w:tc>
          <w:tcPr>
            <w:tcW w:w="808" w:type="dxa"/>
          </w:tcPr>
          <w:p w14:paraId="063F59F9"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75</w:t>
            </w:r>
          </w:p>
        </w:tc>
        <w:tc>
          <w:tcPr>
            <w:tcW w:w="651" w:type="dxa"/>
          </w:tcPr>
          <w:p w14:paraId="476B5F87"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42</w:t>
            </w:r>
          </w:p>
        </w:tc>
        <w:tc>
          <w:tcPr>
            <w:tcW w:w="808" w:type="dxa"/>
          </w:tcPr>
          <w:p w14:paraId="7D3C8F1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20</w:t>
            </w:r>
          </w:p>
        </w:tc>
        <w:tc>
          <w:tcPr>
            <w:tcW w:w="808" w:type="dxa"/>
          </w:tcPr>
          <w:p w14:paraId="174B39E8"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10.2</w:t>
            </w:r>
          </w:p>
        </w:tc>
        <w:tc>
          <w:tcPr>
            <w:tcW w:w="876" w:type="dxa"/>
          </w:tcPr>
          <w:p w14:paraId="3BF94230"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8.4</w:t>
            </w:r>
          </w:p>
        </w:tc>
        <w:tc>
          <w:tcPr>
            <w:tcW w:w="876" w:type="dxa"/>
          </w:tcPr>
          <w:p w14:paraId="646CFB29"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3.6</w:t>
            </w:r>
          </w:p>
        </w:tc>
        <w:tc>
          <w:tcPr>
            <w:tcW w:w="876" w:type="dxa"/>
          </w:tcPr>
          <w:p w14:paraId="43EC37ED"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2.2</w:t>
            </w:r>
          </w:p>
        </w:tc>
        <w:tc>
          <w:tcPr>
            <w:tcW w:w="876" w:type="dxa"/>
            <w:tcBorders>
              <w:bottom w:val="single" w:sz="4" w:space="0" w:color="auto"/>
            </w:tcBorders>
          </w:tcPr>
          <w:p w14:paraId="582A4561"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1.9</w:t>
            </w:r>
          </w:p>
        </w:tc>
        <w:tc>
          <w:tcPr>
            <w:tcW w:w="808" w:type="dxa"/>
          </w:tcPr>
          <w:p w14:paraId="68B4829C"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1.8</w:t>
            </w:r>
          </w:p>
        </w:tc>
        <w:tc>
          <w:tcPr>
            <w:tcW w:w="876" w:type="dxa"/>
          </w:tcPr>
          <w:p w14:paraId="70039BD8" w14:textId="77777777" w:rsidR="00106EC7" w:rsidRPr="00447599" w:rsidRDefault="00106EC7" w:rsidP="00C01B03">
            <w:pPr>
              <w:spacing w:line="276" w:lineRule="auto"/>
              <w:rPr>
                <w:rFonts w:asciiTheme="majorBidi" w:hAnsiTheme="majorBidi" w:cstheme="majorBidi"/>
                <w:sz w:val="24"/>
                <w:szCs w:val="24"/>
              </w:rPr>
            </w:pPr>
            <w:r w:rsidRPr="00447599">
              <w:rPr>
                <w:rFonts w:asciiTheme="majorBidi" w:hAnsiTheme="majorBidi" w:cstheme="majorBidi"/>
                <w:sz w:val="24"/>
                <w:szCs w:val="24"/>
              </w:rPr>
              <w:t>1.7</w:t>
            </w:r>
          </w:p>
        </w:tc>
      </w:tr>
    </w:tbl>
    <w:p w14:paraId="78B3E766" w14:textId="77777777" w:rsidR="00106EC7" w:rsidRPr="00447599" w:rsidRDefault="00106EC7" w:rsidP="00106EC7">
      <w:pPr>
        <w:spacing w:line="276" w:lineRule="auto"/>
        <w:jc w:val="both"/>
        <w:rPr>
          <w:rFonts w:cstheme="minorHAnsi"/>
          <w:color w:val="000000" w:themeColor="text1"/>
        </w:rPr>
      </w:pPr>
    </w:p>
    <w:p w14:paraId="3192ECAD" w14:textId="77777777" w:rsidR="00427355" w:rsidRPr="00447599" w:rsidRDefault="00427355" w:rsidP="003340EF">
      <w:pPr>
        <w:spacing w:line="276" w:lineRule="auto"/>
        <w:jc w:val="both"/>
        <w:rPr>
          <w:rFonts w:ascii="Times" w:hAnsi="Times" w:cs="Arial"/>
          <w:color w:val="000000" w:themeColor="text1"/>
        </w:rPr>
      </w:pPr>
    </w:p>
    <w:p w14:paraId="13E06151" w14:textId="77777777" w:rsidR="002842F5" w:rsidRPr="00447599" w:rsidRDefault="002842F5" w:rsidP="003340EF">
      <w:pPr>
        <w:spacing w:line="276" w:lineRule="auto"/>
        <w:jc w:val="both"/>
        <w:rPr>
          <w:rFonts w:asciiTheme="majorBidi" w:hAnsiTheme="majorBidi" w:cstheme="majorBidi"/>
        </w:rPr>
      </w:pPr>
    </w:p>
    <w:p w14:paraId="220217CD" w14:textId="1707396A" w:rsidR="002842F5" w:rsidRPr="00447599" w:rsidRDefault="002842F5" w:rsidP="003340EF">
      <w:pPr>
        <w:autoSpaceDE w:val="0"/>
        <w:autoSpaceDN w:val="0"/>
        <w:adjustRightInd w:val="0"/>
        <w:spacing w:line="276" w:lineRule="auto"/>
        <w:rPr>
          <w:rFonts w:asciiTheme="majorBidi" w:hAnsiTheme="majorBidi" w:cstheme="majorBidi"/>
          <w:bCs/>
        </w:rPr>
      </w:pPr>
      <w:r w:rsidRPr="00447599">
        <w:rPr>
          <w:rFonts w:asciiTheme="majorBidi" w:hAnsiTheme="majorBidi" w:cstheme="majorBidi"/>
          <w:bCs/>
        </w:rPr>
        <w:t>Table S</w:t>
      </w:r>
      <w:r w:rsidR="00106EC7" w:rsidRPr="00447599">
        <w:rPr>
          <w:rFonts w:asciiTheme="majorBidi" w:hAnsiTheme="majorBidi" w:cstheme="majorBidi"/>
          <w:bCs/>
        </w:rPr>
        <w:t>5</w:t>
      </w:r>
      <w:r w:rsidRPr="00447599">
        <w:rPr>
          <w:rFonts w:asciiTheme="majorBidi" w:hAnsiTheme="majorBidi" w:cstheme="majorBidi"/>
          <w:bCs/>
        </w:rPr>
        <w:t>. Physico-chemical properties of the soil from a contaminated site.</w:t>
      </w:r>
    </w:p>
    <w:p w14:paraId="4557CFDD" w14:textId="77777777" w:rsidR="002842F5" w:rsidRPr="00447599" w:rsidRDefault="002842F5" w:rsidP="003340EF">
      <w:pPr>
        <w:spacing w:line="276" w:lineRule="auto"/>
        <w:rPr>
          <w:rFonts w:asciiTheme="majorBidi" w:hAnsiTheme="majorBidi" w:cstheme="majorBidi"/>
        </w:rPr>
      </w:pPr>
    </w:p>
    <w:tbl>
      <w:tblPr>
        <w:tblW w:w="9140" w:type="dxa"/>
        <w:jc w:val="center"/>
        <w:tblLook w:val="04A0" w:firstRow="1" w:lastRow="0" w:firstColumn="1" w:lastColumn="0" w:noHBand="0" w:noVBand="1"/>
      </w:tblPr>
      <w:tblGrid>
        <w:gridCol w:w="5860"/>
        <w:gridCol w:w="1980"/>
        <w:gridCol w:w="1300"/>
      </w:tblGrid>
      <w:tr w:rsidR="002842F5" w:rsidRPr="00447599" w14:paraId="06A961A9" w14:textId="77777777" w:rsidTr="0085043B">
        <w:trPr>
          <w:trHeight w:val="340"/>
          <w:jc w:val="center"/>
        </w:trPr>
        <w:tc>
          <w:tcPr>
            <w:tcW w:w="9140" w:type="dxa"/>
            <w:gridSpan w:val="3"/>
            <w:tcBorders>
              <w:top w:val="single" w:sz="8" w:space="0" w:color="7F7F7F"/>
              <w:left w:val="nil"/>
              <w:bottom w:val="single" w:sz="8" w:space="0" w:color="7F7F7F"/>
              <w:right w:val="nil"/>
            </w:tcBorders>
            <w:shd w:val="clear" w:color="auto" w:fill="auto"/>
            <w:vAlign w:val="center"/>
            <w:hideMark/>
          </w:tcPr>
          <w:p w14:paraId="54CE3A8F"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Physico-chemical properties</w:t>
            </w:r>
          </w:p>
        </w:tc>
      </w:tr>
      <w:tr w:rsidR="002842F5" w:rsidRPr="00447599" w14:paraId="196CB1D7"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2B143E7A"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pH</w:t>
            </w:r>
          </w:p>
        </w:tc>
        <w:tc>
          <w:tcPr>
            <w:tcW w:w="1300" w:type="dxa"/>
            <w:tcBorders>
              <w:top w:val="nil"/>
              <w:left w:val="nil"/>
              <w:bottom w:val="single" w:sz="8" w:space="0" w:color="7F7F7F"/>
              <w:right w:val="nil"/>
            </w:tcBorders>
            <w:shd w:val="clear" w:color="auto" w:fill="auto"/>
            <w:vAlign w:val="center"/>
            <w:hideMark/>
          </w:tcPr>
          <w:p w14:paraId="42AD9CFF" w14:textId="77777777" w:rsidR="002842F5" w:rsidRPr="00447599" w:rsidRDefault="002842F5" w:rsidP="003340EF">
            <w:pPr>
              <w:spacing w:line="276" w:lineRule="auto"/>
              <w:jc w:val="center"/>
              <w:rPr>
                <w:color w:val="000000"/>
                <w:sz w:val="20"/>
                <w:szCs w:val="20"/>
              </w:rPr>
            </w:pPr>
            <w:r w:rsidRPr="00447599">
              <w:rPr>
                <w:color w:val="000000"/>
                <w:sz w:val="20"/>
                <w:szCs w:val="20"/>
              </w:rPr>
              <w:t>6.1±0.5</w:t>
            </w:r>
          </w:p>
        </w:tc>
      </w:tr>
      <w:tr w:rsidR="002842F5" w:rsidRPr="00447599" w14:paraId="04C5BD45"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79EF385A"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Organic matter</w:t>
            </w:r>
          </w:p>
        </w:tc>
        <w:tc>
          <w:tcPr>
            <w:tcW w:w="1300" w:type="dxa"/>
            <w:tcBorders>
              <w:top w:val="nil"/>
              <w:left w:val="nil"/>
              <w:bottom w:val="nil"/>
              <w:right w:val="nil"/>
            </w:tcBorders>
            <w:shd w:val="clear" w:color="auto" w:fill="auto"/>
            <w:vAlign w:val="center"/>
            <w:hideMark/>
          </w:tcPr>
          <w:p w14:paraId="6951DE30" w14:textId="77777777" w:rsidR="002842F5" w:rsidRPr="00447599" w:rsidRDefault="002842F5" w:rsidP="003340EF">
            <w:pPr>
              <w:spacing w:line="276" w:lineRule="auto"/>
              <w:jc w:val="center"/>
              <w:rPr>
                <w:color w:val="000000"/>
                <w:sz w:val="20"/>
                <w:szCs w:val="20"/>
              </w:rPr>
            </w:pPr>
            <w:r w:rsidRPr="00447599">
              <w:rPr>
                <w:color w:val="000000"/>
                <w:sz w:val="20"/>
                <w:szCs w:val="20"/>
              </w:rPr>
              <w:t>9.5 g/kg</w:t>
            </w:r>
          </w:p>
        </w:tc>
      </w:tr>
      <w:tr w:rsidR="002842F5" w:rsidRPr="00447599" w14:paraId="61C04A6E"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30FAADC6"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Porosity</w:t>
            </w:r>
          </w:p>
        </w:tc>
        <w:tc>
          <w:tcPr>
            <w:tcW w:w="1300" w:type="dxa"/>
            <w:tcBorders>
              <w:top w:val="nil"/>
              <w:left w:val="nil"/>
              <w:bottom w:val="nil"/>
              <w:right w:val="nil"/>
            </w:tcBorders>
            <w:shd w:val="clear" w:color="auto" w:fill="auto"/>
            <w:vAlign w:val="center"/>
            <w:hideMark/>
          </w:tcPr>
          <w:p w14:paraId="1BE95721" w14:textId="77777777" w:rsidR="002842F5" w:rsidRPr="00447599" w:rsidRDefault="002842F5" w:rsidP="003340EF">
            <w:pPr>
              <w:spacing w:line="276" w:lineRule="auto"/>
              <w:jc w:val="center"/>
              <w:rPr>
                <w:color w:val="000000"/>
                <w:sz w:val="20"/>
                <w:szCs w:val="20"/>
              </w:rPr>
            </w:pPr>
            <w:r w:rsidRPr="00447599">
              <w:rPr>
                <w:color w:val="000000"/>
                <w:sz w:val="20"/>
                <w:szCs w:val="20"/>
              </w:rPr>
              <w:t>0.29± 0.08</w:t>
            </w:r>
          </w:p>
        </w:tc>
      </w:tr>
      <w:tr w:rsidR="002842F5" w:rsidRPr="00447599" w14:paraId="5E0620E4" w14:textId="77777777" w:rsidTr="0085043B">
        <w:trPr>
          <w:trHeight w:val="58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28F435B4"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Moisture content</w:t>
            </w:r>
          </w:p>
        </w:tc>
        <w:tc>
          <w:tcPr>
            <w:tcW w:w="1300" w:type="dxa"/>
            <w:tcBorders>
              <w:top w:val="single" w:sz="8" w:space="0" w:color="7F7F7F"/>
              <w:left w:val="nil"/>
              <w:bottom w:val="single" w:sz="8" w:space="0" w:color="7F7F7F"/>
              <w:right w:val="nil"/>
            </w:tcBorders>
            <w:shd w:val="clear" w:color="auto" w:fill="auto"/>
            <w:vAlign w:val="center"/>
            <w:hideMark/>
          </w:tcPr>
          <w:p w14:paraId="3BBD08C4" w14:textId="77777777" w:rsidR="002842F5" w:rsidRPr="00447599" w:rsidRDefault="002842F5" w:rsidP="003340EF">
            <w:pPr>
              <w:spacing w:line="276" w:lineRule="auto"/>
              <w:jc w:val="center"/>
              <w:rPr>
                <w:color w:val="000000"/>
                <w:sz w:val="20"/>
                <w:szCs w:val="20"/>
              </w:rPr>
            </w:pPr>
            <w:r w:rsidRPr="00447599">
              <w:rPr>
                <w:color w:val="000000"/>
                <w:sz w:val="20"/>
                <w:szCs w:val="20"/>
              </w:rPr>
              <w:t>13.6±0.5 (% dry weight)</w:t>
            </w:r>
          </w:p>
        </w:tc>
      </w:tr>
      <w:tr w:rsidR="002842F5" w:rsidRPr="00447599" w14:paraId="2F94D869"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2C28B4EE"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Water holding capacity</w:t>
            </w:r>
          </w:p>
        </w:tc>
        <w:tc>
          <w:tcPr>
            <w:tcW w:w="1300" w:type="dxa"/>
            <w:tcBorders>
              <w:top w:val="nil"/>
              <w:left w:val="nil"/>
              <w:bottom w:val="nil"/>
              <w:right w:val="nil"/>
            </w:tcBorders>
            <w:shd w:val="clear" w:color="auto" w:fill="auto"/>
            <w:vAlign w:val="center"/>
            <w:hideMark/>
          </w:tcPr>
          <w:p w14:paraId="30B1C9BB" w14:textId="77777777" w:rsidR="002842F5" w:rsidRPr="00447599" w:rsidRDefault="002842F5" w:rsidP="003340EF">
            <w:pPr>
              <w:spacing w:line="276" w:lineRule="auto"/>
              <w:jc w:val="center"/>
              <w:rPr>
                <w:color w:val="000000"/>
                <w:sz w:val="20"/>
                <w:szCs w:val="20"/>
              </w:rPr>
            </w:pPr>
            <w:r w:rsidRPr="00447599">
              <w:rPr>
                <w:color w:val="000000"/>
                <w:sz w:val="20"/>
                <w:szCs w:val="20"/>
              </w:rPr>
              <w:t>71±2 (%)</w:t>
            </w:r>
          </w:p>
        </w:tc>
      </w:tr>
      <w:tr w:rsidR="002842F5" w:rsidRPr="00447599" w14:paraId="4DD2B203"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7C3F06F0"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Total carbon</w:t>
            </w:r>
          </w:p>
        </w:tc>
        <w:tc>
          <w:tcPr>
            <w:tcW w:w="1300" w:type="dxa"/>
            <w:tcBorders>
              <w:top w:val="single" w:sz="8" w:space="0" w:color="7F7F7F"/>
              <w:left w:val="nil"/>
              <w:bottom w:val="single" w:sz="8" w:space="0" w:color="7F7F7F"/>
              <w:right w:val="nil"/>
            </w:tcBorders>
            <w:shd w:val="clear" w:color="auto" w:fill="auto"/>
            <w:vAlign w:val="center"/>
            <w:hideMark/>
          </w:tcPr>
          <w:p w14:paraId="18FA1A61" w14:textId="77777777" w:rsidR="002842F5" w:rsidRPr="00447599" w:rsidRDefault="002842F5" w:rsidP="003340EF">
            <w:pPr>
              <w:spacing w:line="276" w:lineRule="auto"/>
              <w:jc w:val="center"/>
              <w:rPr>
                <w:color w:val="000000"/>
                <w:sz w:val="20"/>
                <w:szCs w:val="20"/>
              </w:rPr>
            </w:pPr>
            <w:r w:rsidRPr="00447599">
              <w:rPr>
                <w:color w:val="000000"/>
                <w:sz w:val="20"/>
                <w:szCs w:val="20"/>
              </w:rPr>
              <w:t>2.6±0.3 (%)</w:t>
            </w:r>
          </w:p>
        </w:tc>
      </w:tr>
      <w:tr w:rsidR="002842F5" w:rsidRPr="00447599" w14:paraId="19BC6619" w14:textId="77777777" w:rsidTr="0085043B">
        <w:trPr>
          <w:trHeight w:val="340"/>
          <w:jc w:val="center"/>
        </w:trPr>
        <w:tc>
          <w:tcPr>
            <w:tcW w:w="7840" w:type="dxa"/>
            <w:gridSpan w:val="2"/>
            <w:tcBorders>
              <w:top w:val="single" w:sz="8" w:space="0" w:color="7F7F7F"/>
              <w:left w:val="nil"/>
              <w:bottom w:val="single" w:sz="8" w:space="0" w:color="7F7F7F"/>
              <w:right w:val="nil"/>
            </w:tcBorders>
            <w:shd w:val="clear" w:color="auto" w:fill="auto"/>
            <w:vAlign w:val="center"/>
            <w:hideMark/>
          </w:tcPr>
          <w:p w14:paraId="2703EE77"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 xml:space="preserve">Nitrogen </w:t>
            </w:r>
          </w:p>
        </w:tc>
        <w:tc>
          <w:tcPr>
            <w:tcW w:w="1300" w:type="dxa"/>
            <w:tcBorders>
              <w:top w:val="nil"/>
              <w:left w:val="nil"/>
              <w:bottom w:val="nil"/>
              <w:right w:val="nil"/>
            </w:tcBorders>
            <w:shd w:val="clear" w:color="auto" w:fill="auto"/>
            <w:vAlign w:val="center"/>
            <w:hideMark/>
          </w:tcPr>
          <w:p w14:paraId="5CE008BF" w14:textId="77777777" w:rsidR="002842F5" w:rsidRPr="00447599" w:rsidRDefault="002842F5" w:rsidP="003340EF">
            <w:pPr>
              <w:spacing w:line="276" w:lineRule="auto"/>
              <w:jc w:val="center"/>
              <w:rPr>
                <w:color w:val="000000"/>
                <w:sz w:val="20"/>
                <w:szCs w:val="20"/>
              </w:rPr>
            </w:pPr>
            <w:r w:rsidRPr="00447599">
              <w:rPr>
                <w:color w:val="000000"/>
                <w:sz w:val="20"/>
                <w:szCs w:val="20"/>
              </w:rPr>
              <w:t>0.2± 0.1 (%)</w:t>
            </w:r>
          </w:p>
        </w:tc>
      </w:tr>
      <w:tr w:rsidR="002842F5" w:rsidRPr="00447599" w14:paraId="515A73C6" w14:textId="77777777" w:rsidTr="0085043B">
        <w:trPr>
          <w:trHeight w:val="340"/>
          <w:jc w:val="center"/>
        </w:trPr>
        <w:tc>
          <w:tcPr>
            <w:tcW w:w="5860" w:type="dxa"/>
            <w:tcBorders>
              <w:top w:val="nil"/>
              <w:left w:val="nil"/>
              <w:bottom w:val="nil"/>
              <w:right w:val="nil"/>
            </w:tcBorders>
            <w:shd w:val="clear" w:color="auto" w:fill="auto"/>
            <w:vAlign w:val="center"/>
            <w:hideMark/>
          </w:tcPr>
          <w:p w14:paraId="6BA59755" w14:textId="77777777" w:rsidR="002842F5" w:rsidRPr="00447599" w:rsidRDefault="002842F5" w:rsidP="003340EF">
            <w:pPr>
              <w:spacing w:line="276" w:lineRule="auto"/>
              <w:jc w:val="center"/>
              <w:rPr>
                <w:color w:val="000000"/>
                <w:sz w:val="20"/>
                <w:szCs w:val="20"/>
              </w:rPr>
            </w:pPr>
            <w:r w:rsidRPr="00447599">
              <w:rPr>
                <w:color w:val="000000"/>
                <w:sz w:val="20"/>
                <w:szCs w:val="20"/>
              </w:rPr>
              <w:t> </w:t>
            </w:r>
          </w:p>
        </w:tc>
        <w:tc>
          <w:tcPr>
            <w:tcW w:w="1980" w:type="dxa"/>
            <w:tcBorders>
              <w:top w:val="nil"/>
              <w:left w:val="nil"/>
              <w:bottom w:val="single" w:sz="8" w:space="0" w:color="7F7F7F"/>
              <w:right w:val="nil"/>
            </w:tcBorders>
            <w:shd w:val="clear" w:color="auto" w:fill="auto"/>
            <w:vAlign w:val="center"/>
            <w:hideMark/>
          </w:tcPr>
          <w:p w14:paraId="4AAB984E" w14:textId="77777777" w:rsidR="002842F5" w:rsidRPr="00447599" w:rsidRDefault="002842F5" w:rsidP="003340EF">
            <w:pPr>
              <w:spacing w:line="276" w:lineRule="auto"/>
              <w:jc w:val="center"/>
              <w:rPr>
                <w:color w:val="000000"/>
                <w:sz w:val="20"/>
                <w:szCs w:val="20"/>
              </w:rPr>
            </w:pPr>
            <w:r w:rsidRPr="00447599">
              <w:rPr>
                <w:color w:val="000000"/>
                <w:sz w:val="20"/>
                <w:szCs w:val="20"/>
              </w:rPr>
              <w:t>Gravel</w:t>
            </w:r>
          </w:p>
        </w:tc>
        <w:tc>
          <w:tcPr>
            <w:tcW w:w="1300" w:type="dxa"/>
            <w:tcBorders>
              <w:top w:val="single" w:sz="8" w:space="0" w:color="7F7F7F"/>
              <w:left w:val="nil"/>
              <w:bottom w:val="single" w:sz="8" w:space="0" w:color="7F7F7F"/>
              <w:right w:val="nil"/>
            </w:tcBorders>
            <w:shd w:val="clear" w:color="auto" w:fill="auto"/>
            <w:vAlign w:val="center"/>
            <w:hideMark/>
          </w:tcPr>
          <w:p w14:paraId="33FECF10" w14:textId="77777777" w:rsidR="002842F5" w:rsidRPr="00447599" w:rsidRDefault="002842F5" w:rsidP="003340EF">
            <w:pPr>
              <w:spacing w:line="276" w:lineRule="auto"/>
              <w:jc w:val="center"/>
              <w:rPr>
                <w:color w:val="000000"/>
                <w:sz w:val="20"/>
                <w:szCs w:val="20"/>
              </w:rPr>
            </w:pPr>
            <w:r w:rsidRPr="00447599">
              <w:rPr>
                <w:color w:val="000000"/>
                <w:sz w:val="20"/>
                <w:szCs w:val="20"/>
              </w:rPr>
              <w:t>25.0 (%)</w:t>
            </w:r>
          </w:p>
        </w:tc>
      </w:tr>
      <w:tr w:rsidR="002842F5" w:rsidRPr="00447599" w14:paraId="2319B893" w14:textId="77777777" w:rsidTr="0085043B">
        <w:trPr>
          <w:trHeight w:val="340"/>
          <w:jc w:val="center"/>
        </w:trPr>
        <w:tc>
          <w:tcPr>
            <w:tcW w:w="5860" w:type="dxa"/>
            <w:tcBorders>
              <w:top w:val="nil"/>
              <w:left w:val="nil"/>
              <w:bottom w:val="nil"/>
              <w:right w:val="nil"/>
            </w:tcBorders>
            <w:shd w:val="clear" w:color="auto" w:fill="auto"/>
            <w:vAlign w:val="center"/>
            <w:hideMark/>
          </w:tcPr>
          <w:p w14:paraId="16186067" w14:textId="77777777" w:rsidR="002842F5" w:rsidRPr="00447599" w:rsidRDefault="002842F5" w:rsidP="003340EF">
            <w:pPr>
              <w:spacing w:line="276" w:lineRule="auto"/>
              <w:jc w:val="center"/>
              <w:rPr>
                <w:color w:val="000000"/>
                <w:sz w:val="20"/>
                <w:szCs w:val="20"/>
              </w:rPr>
            </w:pPr>
          </w:p>
        </w:tc>
        <w:tc>
          <w:tcPr>
            <w:tcW w:w="1980" w:type="dxa"/>
            <w:tcBorders>
              <w:top w:val="nil"/>
              <w:left w:val="nil"/>
              <w:bottom w:val="nil"/>
              <w:right w:val="nil"/>
            </w:tcBorders>
            <w:shd w:val="clear" w:color="auto" w:fill="auto"/>
            <w:vAlign w:val="center"/>
            <w:hideMark/>
          </w:tcPr>
          <w:p w14:paraId="4037115B" w14:textId="77777777" w:rsidR="002842F5" w:rsidRPr="00447599" w:rsidRDefault="002842F5" w:rsidP="003340EF">
            <w:pPr>
              <w:spacing w:line="276" w:lineRule="auto"/>
              <w:jc w:val="center"/>
              <w:rPr>
                <w:color w:val="000000"/>
                <w:sz w:val="20"/>
                <w:szCs w:val="20"/>
              </w:rPr>
            </w:pPr>
            <w:r w:rsidRPr="00447599">
              <w:rPr>
                <w:color w:val="000000"/>
                <w:sz w:val="20"/>
                <w:szCs w:val="20"/>
              </w:rPr>
              <w:t>Sand</w:t>
            </w:r>
          </w:p>
        </w:tc>
        <w:tc>
          <w:tcPr>
            <w:tcW w:w="1300" w:type="dxa"/>
            <w:tcBorders>
              <w:top w:val="nil"/>
              <w:left w:val="nil"/>
              <w:bottom w:val="nil"/>
              <w:right w:val="nil"/>
            </w:tcBorders>
            <w:shd w:val="clear" w:color="auto" w:fill="auto"/>
            <w:vAlign w:val="center"/>
            <w:hideMark/>
          </w:tcPr>
          <w:p w14:paraId="1BA1A3E8" w14:textId="77777777" w:rsidR="002842F5" w:rsidRPr="00447599" w:rsidRDefault="002842F5" w:rsidP="003340EF">
            <w:pPr>
              <w:spacing w:line="276" w:lineRule="auto"/>
              <w:jc w:val="center"/>
              <w:rPr>
                <w:color w:val="000000"/>
                <w:sz w:val="20"/>
                <w:szCs w:val="20"/>
              </w:rPr>
            </w:pPr>
            <w:r w:rsidRPr="00447599">
              <w:rPr>
                <w:color w:val="000000"/>
                <w:sz w:val="20"/>
                <w:szCs w:val="20"/>
              </w:rPr>
              <w:t>64.8 (%)</w:t>
            </w:r>
          </w:p>
        </w:tc>
      </w:tr>
      <w:tr w:rsidR="002842F5" w:rsidRPr="00447599" w14:paraId="6B2A3E7E" w14:textId="77777777" w:rsidTr="0085043B">
        <w:trPr>
          <w:trHeight w:val="340"/>
          <w:jc w:val="center"/>
        </w:trPr>
        <w:tc>
          <w:tcPr>
            <w:tcW w:w="5860" w:type="dxa"/>
            <w:tcBorders>
              <w:top w:val="nil"/>
              <w:left w:val="nil"/>
              <w:bottom w:val="nil"/>
              <w:right w:val="nil"/>
            </w:tcBorders>
            <w:shd w:val="clear" w:color="auto" w:fill="auto"/>
            <w:vAlign w:val="center"/>
            <w:hideMark/>
          </w:tcPr>
          <w:p w14:paraId="2CCAA935"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Soil type</w:t>
            </w:r>
          </w:p>
        </w:tc>
        <w:tc>
          <w:tcPr>
            <w:tcW w:w="1980" w:type="dxa"/>
            <w:tcBorders>
              <w:top w:val="single" w:sz="8" w:space="0" w:color="7F7F7F"/>
              <w:left w:val="nil"/>
              <w:bottom w:val="single" w:sz="8" w:space="0" w:color="7F7F7F"/>
              <w:right w:val="nil"/>
            </w:tcBorders>
            <w:shd w:val="clear" w:color="auto" w:fill="auto"/>
            <w:vAlign w:val="center"/>
            <w:hideMark/>
          </w:tcPr>
          <w:p w14:paraId="75CA2CDE" w14:textId="77777777" w:rsidR="002842F5" w:rsidRPr="00447599" w:rsidRDefault="002842F5" w:rsidP="003340EF">
            <w:pPr>
              <w:spacing w:line="276" w:lineRule="auto"/>
              <w:jc w:val="center"/>
              <w:rPr>
                <w:color w:val="000000"/>
                <w:sz w:val="20"/>
                <w:szCs w:val="20"/>
              </w:rPr>
            </w:pPr>
            <w:r w:rsidRPr="00447599">
              <w:rPr>
                <w:color w:val="000000"/>
                <w:sz w:val="20"/>
                <w:szCs w:val="20"/>
              </w:rPr>
              <w:t>Silt</w:t>
            </w:r>
          </w:p>
        </w:tc>
        <w:tc>
          <w:tcPr>
            <w:tcW w:w="1300" w:type="dxa"/>
            <w:tcBorders>
              <w:top w:val="single" w:sz="8" w:space="0" w:color="7F7F7F"/>
              <w:left w:val="nil"/>
              <w:bottom w:val="single" w:sz="8" w:space="0" w:color="7F7F7F"/>
              <w:right w:val="nil"/>
            </w:tcBorders>
            <w:shd w:val="clear" w:color="auto" w:fill="auto"/>
            <w:vAlign w:val="center"/>
            <w:hideMark/>
          </w:tcPr>
          <w:p w14:paraId="68283FF3" w14:textId="77777777" w:rsidR="002842F5" w:rsidRPr="00447599" w:rsidRDefault="002842F5" w:rsidP="003340EF">
            <w:pPr>
              <w:spacing w:line="276" w:lineRule="auto"/>
              <w:jc w:val="center"/>
              <w:rPr>
                <w:color w:val="000000"/>
                <w:sz w:val="20"/>
                <w:szCs w:val="20"/>
              </w:rPr>
            </w:pPr>
            <w:r w:rsidRPr="00447599">
              <w:rPr>
                <w:color w:val="000000"/>
                <w:sz w:val="20"/>
                <w:szCs w:val="20"/>
              </w:rPr>
              <w:t>8.3 (%)</w:t>
            </w:r>
          </w:p>
        </w:tc>
      </w:tr>
      <w:tr w:rsidR="002842F5" w:rsidRPr="00447599" w14:paraId="46CE9F19" w14:textId="77777777" w:rsidTr="0085043B">
        <w:trPr>
          <w:trHeight w:val="340"/>
          <w:jc w:val="center"/>
        </w:trPr>
        <w:tc>
          <w:tcPr>
            <w:tcW w:w="5860" w:type="dxa"/>
            <w:tcBorders>
              <w:top w:val="nil"/>
              <w:left w:val="nil"/>
              <w:bottom w:val="nil"/>
              <w:right w:val="nil"/>
            </w:tcBorders>
            <w:shd w:val="clear" w:color="auto" w:fill="auto"/>
            <w:hideMark/>
          </w:tcPr>
          <w:p w14:paraId="4EAC5338" w14:textId="77777777" w:rsidR="002842F5" w:rsidRPr="00447599" w:rsidRDefault="002842F5" w:rsidP="003340EF">
            <w:pPr>
              <w:spacing w:line="276" w:lineRule="auto"/>
              <w:jc w:val="center"/>
              <w:rPr>
                <w:color w:val="000000"/>
                <w:sz w:val="20"/>
                <w:szCs w:val="20"/>
              </w:rPr>
            </w:pPr>
          </w:p>
        </w:tc>
        <w:tc>
          <w:tcPr>
            <w:tcW w:w="1980" w:type="dxa"/>
            <w:tcBorders>
              <w:top w:val="nil"/>
              <w:left w:val="nil"/>
              <w:bottom w:val="nil"/>
              <w:right w:val="nil"/>
            </w:tcBorders>
            <w:shd w:val="clear" w:color="auto" w:fill="auto"/>
            <w:vAlign w:val="center"/>
            <w:hideMark/>
          </w:tcPr>
          <w:p w14:paraId="44017777" w14:textId="77777777" w:rsidR="002842F5" w:rsidRPr="00447599" w:rsidRDefault="002842F5" w:rsidP="003340EF">
            <w:pPr>
              <w:spacing w:line="276" w:lineRule="auto"/>
              <w:jc w:val="center"/>
              <w:rPr>
                <w:color w:val="000000"/>
                <w:sz w:val="20"/>
                <w:szCs w:val="20"/>
              </w:rPr>
            </w:pPr>
            <w:r w:rsidRPr="00447599">
              <w:rPr>
                <w:color w:val="000000"/>
                <w:sz w:val="20"/>
                <w:szCs w:val="20"/>
              </w:rPr>
              <w:t>Clay</w:t>
            </w:r>
          </w:p>
        </w:tc>
        <w:tc>
          <w:tcPr>
            <w:tcW w:w="1300" w:type="dxa"/>
            <w:tcBorders>
              <w:top w:val="nil"/>
              <w:left w:val="nil"/>
              <w:bottom w:val="nil"/>
              <w:right w:val="nil"/>
            </w:tcBorders>
            <w:shd w:val="clear" w:color="auto" w:fill="auto"/>
            <w:vAlign w:val="center"/>
            <w:hideMark/>
          </w:tcPr>
          <w:p w14:paraId="0750EE32" w14:textId="77777777" w:rsidR="002842F5" w:rsidRPr="00447599" w:rsidRDefault="002842F5" w:rsidP="003340EF">
            <w:pPr>
              <w:spacing w:line="276" w:lineRule="auto"/>
              <w:jc w:val="center"/>
              <w:rPr>
                <w:color w:val="000000"/>
                <w:sz w:val="20"/>
                <w:szCs w:val="20"/>
              </w:rPr>
            </w:pPr>
            <w:r w:rsidRPr="00447599">
              <w:rPr>
                <w:color w:val="000000"/>
                <w:sz w:val="20"/>
                <w:szCs w:val="20"/>
              </w:rPr>
              <w:t>0.1 (%)</w:t>
            </w:r>
          </w:p>
        </w:tc>
      </w:tr>
      <w:tr w:rsidR="002842F5" w:rsidRPr="00447599" w14:paraId="47611F65" w14:textId="77777777" w:rsidTr="0085043B">
        <w:trPr>
          <w:trHeight w:val="340"/>
          <w:jc w:val="center"/>
        </w:trPr>
        <w:tc>
          <w:tcPr>
            <w:tcW w:w="5860" w:type="dxa"/>
            <w:tcBorders>
              <w:top w:val="nil"/>
              <w:left w:val="nil"/>
              <w:bottom w:val="single" w:sz="8" w:space="0" w:color="7F7F7F"/>
              <w:right w:val="nil"/>
            </w:tcBorders>
            <w:shd w:val="clear" w:color="auto" w:fill="auto"/>
            <w:hideMark/>
          </w:tcPr>
          <w:p w14:paraId="7FBA5EFD" w14:textId="77777777" w:rsidR="002842F5" w:rsidRPr="00447599" w:rsidRDefault="002842F5" w:rsidP="003340EF">
            <w:pPr>
              <w:spacing w:line="276" w:lineRule="auto"/>
              <w:rPr>
                <w:rFonts w:ascii="Calibri" w:hAnsi="Calibri" w:cs="Calibri"/>
                <w:color w:val="000000"/>
              </w:rPr>
            </w:pPr>
            <w:r w:rsidRPr="00447599">
              <w:rPr>
                <w:rFonts w:ascii="Calibri" w:hAnsi="Calibri" w:cs="Calibri"/>
                <w:color w:val="000000"/>
              </w:rPr>
              <w:t> </w:t>
            </w:r>
          </w:p>
        </w:tc>
        <w:tc>
          <w:tcPr>
            <w:tcW w:w="1980" w:type="dxa"/>
            <w:tcBorders>
              <w:top w:val="single" w:sz="8" w:space="0" w:color="7F7F7F"/>
              <w:left w:val="nil"/>
              <w:bottom w:val="single" w:sz="8" w:space="0" w:color="7F7F7F"/>
              <w:right w:val="nil"/>
            </w:tcBorders>
            <w:shd w:val="clear" w:color="auto" w:fill="auto"/>
            <w:vAlign w:val="center"/>
            <w:hideMark/>
          </w:tcPr>
          <w:p w14:paraId="2BDB191B" w14:textId="77777777" w:rsidR="002842F5" w:rsidRPr="00447599" w:rsidRDefault="002842F5" w:rsidP="003340EF">
            <w:pPr>
              <w:spacing w:line="276" w:lineRule="auto"/>
              <w:jc w:val="center"/>
              <w:rPr>
                <w:color w:val="000000"/>
                <w:sz w:val="20"/>
                <w:szCs w:val="20"/>
              </w:rPr>
            </w:pPr>
            <w:r w:rsidRPr="00447599">
              <w:rPr>
                <w:color w:val="000000"/>
                <w:sz w:val="20"/>
                <w:szCs w:val="20"/>
              </w:rPr>
              <w:t>Colloids</w:t>
            </w:r>
          </w:p>
        </w:tc>
        <w:tc>
          <w:tcPr>
            <w:tcW w:w="1300" w:type="dxa"/>
            <w:tcBorders>
              <w:top w:val="single" w:sz="8" w:space="0" w:color="7F7F7F"/>
              <w:left w:val="nil"/>
              <w:bottom w:val="single" w:sz="8" w:space="0" w:color="7F7F7F"/>
              <w:right w:val="nil"/>
            </w:tcBorders>
            <w:shd w:val="clear" w:color="auto" w:fill="auto"/>
            <w:vAlign w:val="center"/>
            <w:hideMark/>
          </w:tcPr>
          <w:p w14:paraId="0F5EEAC4" w14:textId="77777777" w:rsidR="002842F5" w:rsidRPr="00447599" w:rsidRDefault="002842F5" w:rsidP="003340EF">
            <w:pPr>
              <w:spacing w:line="276" w:lineRule="auto"/>
              <w:jc w:val="center"/>
              <w:rPr>
                <w:color w:val="000000"/>
                <w:sz w:val="20"/>
                <w:szCs w:val="20"/>
              </w:rPr>
            </w:pPr>
            <w:r w:rsidRPr="00447599">
              <w:rPr>
                <w:color w:val="000000"/>
                <w:sz w:val="20"/>
                <w:szCs w:val="20"/>
              </w:rPr>
              <w:t>1.8 (%)</w:t>
            </w:r>
          </w:p>
        </w:tc>
      </w:tr>
      <w:tr w:rsidR="002842F5" w:rsidRPr="00447599" w14:paraId="66808097" w14:textId="77777777" w:rsidTr="0085043B">
        <w:trPr>
          <w:trHeight w:val="320"/>
          <w:jc w:val="center"/>
        </w:trPr>
        <w:tc>
          <w:tcPr>
            <w:tcW w:w="5860" w:type="dxa"/>
            <w:vMerge w:val="restart"/>
            <w:tcBorders>
              <w:top w:val="nil"/>
              <w:left w:val="nil"/>
              <w:bottom w:val="single" w:sz="4" w:space="0" w:color="000000"/>
              <w:right w:val="nil"/>
            </w:tcBorders>
            <w:shd w:val="clear" w:color="auto" w:fill="auto"/>
            <w:vAlign w:val="center"/>
            <w:hideMark/>
          </w:tcPr>
          <w:p w14:paraId="73FE3663" w14:textId="77777777" w:rsidR="002842F5" w:rsidRPr="00447599" w:rsidRDefault="002842F5" w:rsidP="003340EF">
            <w:pPr>
              <w:spacing w:line="276" w:lineRule="auto"/>
              <w:jc w:val="center"/>
              <w:rPr>
                <w:b/>
                <w:bCs/>
                <w:color w:val="000000"/>
                <w:sz w:val="20"/>
                <w:szCs w:val="20"/>
              </w:rPr>
            </w:pPr>
            <w:r w:rsidRPr="00447599">
              <w:rPr>
                <w:b/>
                <w:bCs/>
                <w:color w:val="000000"/>
                <w:sz w:val="20"/>
                <w:szCs w:val="20"/>
              </w:rPr>
              <w:t>The mineralogical composition from XRD crystallography</w:t>
            </w:r>
          </w:p>
        </w:tc>
        <w:tc>
          <w:tcPr>
            <w:tcW w:w="1980" w:type="dxa"/>
            <w:tcBorders>
              <w:top w:val="nil"/>
              <w:left w:val="nil"/>
              <w:bottom w:val="nil"/>
              <w:right w:val="nil"/>
            </w:tcBorders>
            <w:shd w:val="clear" w:color="auto" w:fill="auto"/>
            <w:vAlign w:val="center"/>
            <w:hideMark/>
          </w:tcPr>
          <w:p w14:paraId="7A7965DA" w14:textId="77777777" w:rsidR="002842F5" w:rsidRPr="00447599" w:rsidRDefault="002842F5" w:rsidP="003340EF">
            <w:pPr>
              <w:spacing w:line="276" w:lineRule="auto"/>
              <w:jc w:val="center"/>
              <w:rPr>
                <w:color w:val="000000"/>
                <w:sz w:val="20"/>
                <w:szCs w:val="20"/>
              </w:rPr>
            </w:pPr>
            <w:r w:rsidRPr="00447599">
              <w:rPr>
                <w:color w:val="000000"/>
                <w:sz w:val="20"/>
                <w:szCs w:val="20"/>
              </w:rPr>
              <w:t>Montmorillonite</w:t>
            </w:r>
          </w:p>
        </w:tc>
        <w:tc>
          <w:tcPr>
            <w:tcW w:w="1300" w:type="dxa"/>
            <w:tcBorders>
              <w:top w:val="nil"/>
              <w:left w:val="nil"/>
              <w:bottom w:val="nil"/>
              <w:right w:val="nil"/>
            </w:tcBorders>
            <w:shd w:val="clear" w:color="auto" w:fill="auto"/>
            <w:vAlign w:val="center"/>
            <w:hideMark/>
          </w:tcPr>
          <w:p w14:paraId="1E455FFF" w14:textId="77777777" w:rsidR="002842F5" w:rsidRPr="00447599" w:rsidRDefault="002842F5" w:rsidP="003340EF">
            <w:pPr>
              <w:spacing w:line="276" w:lineRule="auto"/>
              <w:jc w:val="center"/>
              <w:rPr>
                <w:color w:val="000000"/>
                <w:sz w:val="20"/>
                <w:szCs w:val="20"/>
              </w:rPr>
            </w:pPr>
            <w:r w:rsidRPr="00447599">
              <w:rPr>
                <w:color w:val="000000"/>
                <w:sz w:val="20"/>
                <w:szCs w:val="20"/>
              </w:rPr>
              <w:t>0.5</w:t>
            </w:r>
          </w:p>
        </w:tc>
      </w:tr>
      <w:tr w:rsidR="002842F5" w:rsidRPr="00447599" w14:paraId="2091AA2F" w14:textId="77777777" w:rsidTr="0085043B">
        <w:trPr>
          <w:trHeight w:val="320"/>
          <w:jc w:val="center"/>
        </w:trPr>
        <w:tc>
          <w:tcPr>
            <w:tcW w:w="5860" w:type="dxa"/>
            <w:vMerge/>
            <w:tcBorders>
              <w:top w:val="nil"/>
              <w:left w:val="nil"/>
              <w:bottom w:val="single" w:sz="4" w:space="0" w:color="000000"/>
              <w:right w:val="nil"/>
            </w:tcBorders>
            <w:vAlign w:val="center"/>
            <w:hideMark/>
          </w:tcPr>
          <w:p w14:paraId="6AD22194" w14:textId="77777777" w:rsidR="002842F5" w:rsidRPr="00447599" w:rsidRDefault="002842F5" w:rsidP="003340EF">
            <w:pPr>
              <w:spacing w:line="276" w:lineRule="auto"/>
              <w:rPr>
                <w:b/>
                <w:bCs/>
                <w:color w:val="000000"/>
                <w:sz w:val="20"/>
                <w:szCs w:val="20"/>
              </w:rPr>
            </w:pPr>
          </w:p>
        </w:tc>
        <w:tc>
          <w:tcPr>
            <w:tcW w:w="1980" w:type="dxa"/>
            <w:tcBorders>
              <w:top w:val="nil"/>
              <w:left w:val="nil"/>
              <w:bottom w:val="nil"/>
              <w:right w:val="nil"/>
            </w:tcBorders>
            <w:shd w:val="clear" w:color="auto" w:fill="auto"/>
            <w:vAlign w:val="center"/>
            <w:hideMark/>
          </w:tcPr>
          <w:p w14:paraId="1A5F2D38" w14:textId="77777777" w:rsidR="002842F5" w:rsidRPr="00447599" w:rsidRDefault="002842F5" w:rsidP="003340EF">
            <w:pPr>
              <w:spacing w:line="276" w:lineRule="auto"/>
              <w:jc w:val="center"/>
              <w:rPr>
                <w:color w:val="000000"/>
                <w:sz w:val="20"/>
                <w:szCs w:val="20"/>
              </w:rPr>
            </w:pPr>
            <w:r w:rsidRPr="00447599">
              <w:rPr>
                <w:color w:val="000000"/>
                <w:sz w:val="20"/>
                <w:szCs w:val="20"/>
              </w:rPr>
              <w:t>Calcite</w:t>
            </w:r>
          </w:p>
        </w:tc>
        <w:tc>
          <w:tcPr>
            <w:tcW w:w="1300" w:type="dxa"/>
            <w:tcBorders>
              <w:top w:val="nil"/>
              <w:left w:val="nil"/>
              <w:bottom w:val="nil"/>
              <w:right w:val="nil"/>
            </w:tcBorders>
            <w:shd w:val="clear" w:color="auto" w:fill="auto"/>
            <w:vAlign w:val="center"/>
            <w:hideMark/>
          </w:tcPr>
          <w:p w14:paraId="505679F6" w14:textId="77777777" w:rsidR="002842F5" w:rsidRPr="00447599" w:rsidRDefault="002842F5" w:rsidP="003340EF">
            <w:pPr>
              <w:spacing w:line="276" w:lineRule="auto"/>
              <w:jc w:val="center"/>
              <w:rPr>
                <w:color w:val="000000"/>
                <w:sz w:val="20"/>
                <w:szCs w:val="20"/>
              </w:rPr>
            </w:pPr>
            <w:r w:rsidRPr="00447599">
              <w:rPr>
                <w:color w:val="000000"/>
                <w:sz w:val="20"/>
                <w:szCs w:val="20"/>
              </w:rPr>
              <w:t>1.3</w:t>
            </w:r>
          </w:p>
        </w:tc>
      </w:tr>
      <w:tr w:rsidR="002842F5" w:rsidRPr="00447599" w14:paraId="39B48201" w14:textId="77777777" w:rsidTr="0085043B">
        <w:trPr>
          <w:trHeight w:val="320"/>
          <w:jc w:val="center"/>
        </w:trPr>
        <w:tc>
          <w:tcPr>
            <w:tcW w:w="5860" w:type="dxa"/>
            <w:vMerge/>
            <w:tcBorders>
              <w:top w:val="nil"/>
              <w:left w:val="nil"/>
              <w:bottom w:val="single" w:sz="4" w:space="0" w:color="000000"/>
              <w:right w:val="nil"/>
            </w:tcBorders>
            <w:vAlign w:val="center"/>
            <w:hideMark/>
          </w:tcPr>
          <w:p w14:paraId="0F3AA26C" w14:textId="77777777" w:rsidR="002842F5" w:rsidRPr="00447599" w:rsidRDefault="002842F5" w:rsidP="003340EF">
            <w:pPr>
              <w:spacing w:line="276" w:lineRule="auto"/>
              <w:rPr>
                <w:b/>
                <w:bCs/>
                <w:color w:val="000000"/>
                <w:sz w:val="20"/>
                <w:szCs w:val="20"/>
              </w:rPr>
            </w:pPr>
          </w:p>
        </w:tc>
        <w:tc>
          <w:tcPr>
            <w:tcW w:w="1980" w:type="dxa"/>
            <w:tcBorders>
              <w:top w:val="nil"/>
              <w:left w:val="nil"/>
              <w:bottom w:val="nil"/>
              <w:right w:val="nil"/>
            </w:tcBorders>
            <w:shd w:val="clear" w:color="auto" w:fill="auto"/>
            <w:vAlign w:val="center"/>
            <w:hideMark/>
          </w:tcPr>
          <w:p w14:paraId="5775B870" w14:textId="77777777" w:rsidR="002842F5" w:rsidRPr="00447599" w:rsidRDefault="002842F5" w:rsidP="003340EF">
            <w:pPr>
              <w:spacing w:line="276" w:lineRule="auto"/>
              <w:jc w:val="center"/>
              <w:rPr>
                <w:color w:val="000000"/>
                <w:sz w:val="20"/>
                <w:szCs w:val="20"/>
              </w:rPr>
            </w:pPr>
            <w:r w:rsidRPr="00447599">
              <w:rPr>
                <w:color w:val="000000"/>
                <w:sz w:val="20"/>
                <w:szCs w:val="20"/>
              </w:rPr>
              <w:t>Dolomite</w:t>
            </w:r>
          </w:p>
        </w:tc>
        <w:tc>
          <w:tcPr>
            <w:tcW w:w="1300" w:type="dxa"/>
            <w:tcBorders>
              <w:top w:val="nil"/>
              <w:left w:val="nil"/>
              <w:bottom w:val="nil"/>
              <w:right w:val="nil"/>
            </w:tcBorders>
            <w:shd w:val="clear" w:color="auto" w:fill="auto"/>
            <w:vAlign w:val="center"/>
            <w:hideMark/>
          </w:tcPr>
          <w:p w14:paraId="5A318B29" w14:textId="77777777" w:rsidR="002842F5" w:rsidRPr="00447599" w:rsidRDefault="002842F5" w:rsidP="003340EF">
            <w:pPr>
              <w:spacing w:line="276" w:lineRule="auto"/>
              <w:jc w:val="center"/>
              <w:rPr>
                <w:color w:val="000000"/>
                <w:sz w:val="20"/>
                <w:szCs w:val="20"/>
              </w:rPr>
            </w:pPr>
            <w:r w:rsidRPr="00447599">
              <w:rPr>
                <w:color w:val="000000"/>
                <w:sz w:val="20"/>
                <w:szCs w:val="20"/>
              </w:rPr>
              <w:t>5.4</w:t>
            </w:r>
          </w:p>
        </w:tc>
      </w:tr>
      <w:tr w:rsidR="002842F5" w:rsidRPr="00447599" w14:paraId="0A958D4B" w14:textId="77777777" w:rsidTr="0085043B">
        <w:trPr>
          <w:trHeight w:val="320"/>
          <w:jc w:val="center"/>
        </w:trPr>
        <w:tc>
          <w:tcPr>
            <w:tcW w:w="5860" w:type="dxa"/>
            <w:vMerge/>
            <w:tcBorders>
              <w:top w:val="nil"/>
              <w:left w:val="nil"/>
              <w:bottom w:val="single" w:sz="4" w:space="0" w:color="000000"/>
              <w:right w:val="nil"/>
            </w:tcBorders>
            <w:vAlign w:val="center"/>
            <w:hideMark/>
          </w:tcPr>
          <w:p w14:paraId="5CEC3F98" w14:textId="77777777" w:rsidR="002842F5" w:rsidRPr="00447599" w:rsidRDefault="002842F5" w:rsidP="003340EF">
            <w:pPr>
              <w:spacing w:line="276" w:lineRule="auto"/>
              <w:rPr>
                <w:b/>
                <w:bCs/>
                <w:color w:val="000000"/>
                <w:sz w:val="20"/>
                <w:szCs w:val="20"/>
              </w:rPr>
            </w:pPr>
          </w:p>
        </w:tc>
        <w:tc>
          <w:tcPr>
            <w:tcW w:w="1980" w:type="dxa"/>
            <w:tcBorders>
              <w:top w:val="nil"/>
              <w:left w:val="nil"/>
              <w:bottom w:val="nil"/>
              <w:right w:val="nil"/>
            </w:tcBorders>
            <w:shd w:val="clear" w:color="auto" w:fill="auto"/>
            <w:vAlign w:val="center"/>
            <w:hideMark/>
          </w:tcPr>
          <w:p w14:paraId="6E50A540" w14:textId="77777777" w:rsidR="002842F5" w:rsidRPr="00447599" w:rsidRDefault="002842F5" w:rsidP="003340EF">
            <w:pPr>
              <w:spacing w:line="276" w:lineRule="auto"/>
              <w:jc w:val="center"/>
              <w:rPr>
                <w:color w:val="000000"/>
                <w:sz w:val="20"/>
                <w:szCs w:val="20"/>
              </w:rPr>
            </w:pPr>
            <w:r w:rsidRPr="00447599">
              <w:rPr>
                <w:color w:val="000000"/>
                <w:sz w:val="20"/>
                <w:szCs w:val="20"/>
              </w:rPr>
              <w:t>Aragonite</w:t>
            </w:r>
          </w:p>
        </w:tc>
        <w:tc>
          <w:tcPr>
            <w:tcW w:w="1300" w:type="dxa"/>
            <w:tcBorders>
              <w:top w:val="nil"/>
              <w:left w:val="nil"/>
              <w:bottom w:val="nil"/>
              <w:right w:val="nil"/>
            </w:tcBorders>
            <w:shd w:val="clear" w:color="auto" w:fill="auto"/>
            <w:vAlign w:val="center"/>
            <w:hideMark/>
          </w:tcPr>
          <w:p w14:paraId="26E06BD5" w14:textId="77777777" w:rsidR="002842F5" w:rsidRPr="00447599" w:rsidRDefault="002842F5" w:rsidP="003340EF">
            <w:pPr>
              <w:spacing w:line="276" w:lineRule="auto"/>
              <w:jc w:val="center"/>
              <w:rPr>
                <w:color w:val="000000"/>
                <w:sz w:val="20"/>
                <w:szCs w:val="20"/>
              </w:rPr>
            </w:pPr>
            <w:r w:rsidRPr="00447599">
              <w:rPr>
                <w:color w:val="000000"/>
                <w:sz w:val="20"/>
                <w:szCs w:val="20"/>
              </w:rPr>
              <w:t>15.6</w:t>
            </w:r>
          </w:p>
        </w:tc>
      </w:tr>
      <w:tr w:rsidR="002842F5" w:rsidRPr="00447599" w14:paraId="705079A7" w14:textId="77777777" w:rsidTr="0085043B">
        <w:trPr>
          <w:trHeight w:val="320"/>
          <w:jc w:val="center"/>
        </w:trPr>
        <w:tc>
          <w:tcPr>
            <w:tcW w:w="5860" w:type="dxa"/>
            <w:vMerge/>
            <w:tcBorders>
              <w:top w:val="nil"/>
              <w:left w:val="nil"/>
              <w:bottom w:val="single" w:sz="4" w:space="0" w:color="000000"/>
              <w:right w:val="nil"/>
            </w:tcBorders>
            <w:vAlign w:val="center"/>
            <w:hideMark/>
          </w:tcPr>
          <w:p w14:paraId="265A3197" w14:textId="77777777" w:rsidR="002842F5" w:rsidRPr="00447599" w:rsidRDefault="002842F5" w:rsidP="003340EF">
            <w:pPr>
              <w:spacing w:line="276" w:lineRule="auto"/>
              <w:rPr>
                <w:b/>
                <w:bCs/>
                <w:color w:val="000000"/>
                <w:sz w:val="20"/>
                <w:szCs w:val="20"/>
              </w:rPr>
            </w:pPr>
          </w:p>
        </w:tc>
        <w:tc>
          <w:tcPr>
            <w:tcW w:w="1980" w:type="dxa"/>
            <w:tcBorders>
              <w:top w:val="nil"/>
              <w:left w:val="nil"/>
              <w:bottom w:val="nil"/>
              <w:right w:val="nil"/>
            </w:tcBorders>
            <w:shd w:val="clear" w:color="auto" w:fill="auto"/>
            <w:vAlign w:val="center"/>
            <w:hideMark/>
          </w:tcPr>
          <w:p w14:paraId="6D2D424C" w14:textId="77777777" w:rsidR="002842F5" w:rsidRPr="00447599" w:rsidRDefault="002842F5" w:rsidP="003340EF">
            <w:pPr>
              <w:spacing w:line="276" w:lineRule="auto"/>
              <w:jc w:val="center"/>
              <w:rPr>
                <w:color w:val="000000"/>
                <w:sz w:val="20"/>
                <w:szCs w:val="20"/>
              </w:rPr>
            </w:pPr>
            <w:r w:rsidRPr="00447599">
              <w:rPr>
                <w:color w:val="000000"/>
                <w:sz w:val="20"/>
                <w:szCs w:val="20"/>
              </w:rPr>
              <w:t>Quartz</w:t>
            </w:r>
          </w:p>
        </w:tc>
        <w:tc>
          <w:tcPr>
            <w:tcW w:w="1300" w:type="dxa"/>
            <w:tcBorders>
              <w:top w:val="nil"/>
              <w:left w:val="nil"/>
              <w:bottom w:val="nil"/>
              <w:right w:val="nil"/>
            </w:tcBorders>
            <w:shd w:val="clear" w:color="auto" w:fill="auto"/>
            <w:vAlign w:val="center"/>
            <w:hideMark/>
          </w:tcPr>
          <w:p w14:paraId="7C5552A5" w14:textId="77777777" w:rsidR="002842F5" w:rsidRPr="00447599" w:rsidRDefault="002842F5" w:rsidP="003340EF">
            <w:pPr>
              <w:spacing w:line="276" w:lineRule="auto"/>
              <w:jc w:val="center"/>
              <w:rPr>
                <w:color w:val="000000"/>
                <w:sz w:val="20"/>
                <w:szCs w:val="20"/>
              </w:rPr>
            </w:pPr>
            <w:r w:rsidRPr="00447599">
              <w:rPr>
                <w:color w:val="000000"/>
                <w:sz w:val="20"/>
                <w:szCs w:val="20"/>
              </w:rPr>
              <w:t>24.4</w:t>
            </w:r>
          </w:p>
        </w:tc>
      </w:tr>
      <w:tr w:rsidR="002842F5" w:rsidRPr="00447599" w14:paraId="17F8067E" w14:textId="77777777" w:rsidTr="0085043B">
        <w:trPr>
          <w:trHeight w:val="320"/>
          <w:jc w:val="center"/>
        </w:trPr>
        <w:tc>
          <w:tcPr>
            <w:tcW w:w="5860" w:type="dxa"/>
            <w:vMerge/>
            <w:tcBorders>
              <w:top w:val="nil"/>
              <w:left w:val="nil"/>
              <w:bottom w:val="single" w:sz="4" w:space="0" w:color="000000"/>
              <w:right w:val="nil"/>
            </w:tcBorders>
            <w:vAlign w:val="center"/>
            <w:hideMark/>
          </w:tcPr>
          <w:p w14:paraId="5A57E34B" w14:textId="77777777" w:rsidR="002842F5" w:rsidRPr="00447599" w:rsidRDefault="002842F5" w:rsidP="003340EF">
            <w:pPr>
              <w:spacing w:line="276" w:lineRule="auto"/>
              <w:rPr>
                <w:b/>
                <w:bCs/>
                <w:color w:val="000000"/>
                <w:sz w:val="20"/>
                <w:szCs w:val="20"/>
              </w:rPr>
            </w:pPr>
          </w:p>
        </w:tc>
        <w:tc>
          <w:tcPr>
            <w:tcW w:w="1980" w:type="dxa"/>
            <w:tcBorders>
              <w:top w:val="nil"/>
              <w:left w:val="nil"/>
              <w:bottom w:val="single" w:sz="4" w:space="0" w:color="auto"/>
              <w:right w:val="nil"/>
            </w:tcBorders>
            <w:shd w:val="clear" w:color="auto" w:fill="auto"/>
            <w:vAlign w:val="center"/>
            <w:hideMark/>
          </w:tcPr>
          <w:p w14:paraId="78B7962D" w14:textId="77777777" w:rsidR="002842F5" w:rsidRPr="00447599" w:rsidRDefault="002842F5" w:rsidP="003340EF">
            <w:pPr>
              <w:spacing w:line="276" w:lineRule="auto"/>
              <w:jc w:val="center"/>
              <w:rPr>
                <w:color w:val="000000"/>
                <w:sz w:val="20"/>
                <w:szCs w:val="20"/>
              </w:rPr>
            </w:pPr>
            <w:r w:rsidRPr="00447599">
              <w:rPr>
                <w:color w:val="000000"/>
                <w:sz w:val="20"/>
                <w:szCs w:val="20"/>
              </w:rPr>
              <w:t>Gibbsite</w:t>
            </w:r>
          </w:p>
        </w:tc>
        <w:tc>
          <w:tcPr>
            <w:tcW w:w="1300" w:type="dxa"/>
            <w:tcBorders>
              <w:top w:val="nil"/>
              <w:left w:val="nil"/>
              <w:bottom w:val="single" w:sz="4" w:space="0" w:color="auto"/>
              <w:right w:val="nil"/>
            </w:tcBorders>
            <w:shd w:val="clear" w:color="auto" w:fill="auto"/>
            <w:vAlign w:val="center"/>
            <w:hideMark/>
          </w:tcPr>
          <w:p w14:paraId="360925B3" w14:textId="77777777" w:rsidR="002842F5" w:rsidRPr="00447599" w:rsidRDefault="002842F5" w:rsidP="003340EF">
            <w:pPr>
              <w:spacing w:line="276" w:lineRule="auto"/>
              <w:jc w:val="center"/>
              <w:rPr>
                <w:color w:val="000000"/>
                <w:sz w:val="20"/>
                <w:szCs w:val="20"/>
              </w:rPr>
            </w:pPr>
            <w:r w:rsidRPr="00447599">
              <w:rPr>
                <w:color w:val="000000"/>
                <w:sz w:val="20"/>
                <w:szCs w:val="20"/>
              </w:rPr>
              <w:t>52.8</w:t>
            </w:r>
          </w:p>
        </w:tc>
      </w:tr>
    </w:tbl>
    <w:p w14:paraId="211DC7AC" w14:textId="77777777" w:rsidR="002842F5" w:rsidRPr="00447599" w:rsidRDefault="002842F5" w:rsidP="003340EF">
      <w:pPr>
        <w:spacing w:line="276" w:lineRule="auto"/>
        <w:jc w:val="both"/>
        <w:rPr>
          <w:rFonts w:ascii="Times" w:hAnsi="Times" w:cs="Arial"/>
          <w:color w:val="000000" w:themeColor="text1"/>
        </w:rPr>
      </w:pPr>
    </w:p>
    <w:p w14:paraId="0E81D84C" w14:textId="77777777" w:rsidR="002842F5" w:rsidRPr="00447599" w:rsidRDefault="002842F5" w:rsidP="003340EF">
      <w:pPr>
        <w:spacing w:line="276" w:lineRule="auto"/>
        <w:jc w:val="both"/>
        <w:rPr>
          <w:rFonts w:ascii="Times" w:hAnsi="Times" w:cs="Arial"/>
          <w:color w:val="000000" w:themeColor="text1"/>
        </w:rPr>
      </w:pPr>
    </w:p>
    <w:p w14:paraId="1A960655" w14:textId="77777777" w:rsidR="005B6555" w:rsidRPr="00447599" w:rsidRDefault="005B6555" w:rsidP="003340EF">
      <w:pPr>
        <w:spacing w:line="276" w:lineRule="auto"/>
        <w:rPr>
          <w:rFonts w:asciiTheme="majorBidi" w:hAnsiTheme="majorBidi" w:cstheme="majorBidi"/>
          <w:b/>
          <w:bCs/>
        </w:rPr>
      </w:pPr>
    </w:p>
    <w:p w14:paraId="431C5589" w14:textId="77777777" w:rsidR="00106EC7" w:rsidRPr="00447599" w:rsidRDefault="00106EC7" w:rsidP="00106EC7">
      <w:pPr>
        <w:spacing w:line="276" w:lineRule="auto"/>
        <w:jc w:val="both"/>
        <w:rPr>
          <w:rFonts w:ascii="Times" w:hAnsi="Times" w:cs="Arial"/>
          <w:color w:val="000000" w:themeColor="text1"/>
        </w:rPr>
      </w:pPr>
    </w:p>
    <w:p w14:paraId="310A5052" w14:textId="239E9548" w:rsidR="00106EC7" w:rsidRPr="00447599" w:rsidRDefault="00106EC7" w:rsidP="00106EC7">
      <w:pPr>
        <w:pStyle w:val="Heading4"/>
        <w:spacing w:line="276" w:lineRule="auto"/>
        <w:rPr>
          <w:rFonts w:asciiTheme="majorBidi" w:hAnsiTheme="majorBidi" w:cstheme="majorBidi"/>
          <w:i w:val="0"/>
          <w:iCs/>
        </w:rPr>
      </w:pPr>
      <w:r w:rsidRPr="00447599">
        <w:rPr>
          <w:rFonts w:asciiTheme="majorBidi" w:hAnsiTheme="majorBidi" w:cstheme="majorBidi"/>
          <w:i w:val="0"/>
          <w:iCs/>
        </w:rPr>
        <w:t>Table S6. Soil column treatment and experimental conditions.</w:t>
      </w:r>
    </w:p>
    <w:tbl>
      <w:tblPr>
        <w:tblStyle w:val="PlainTable4"/>
        <w:tblW w:w="14310" w:type="dxa"/>
        <w:jc w:val="center"/>
        <w:tblBorders>
          <w:top w:val="single" w:sz="4" w:space="0" w:color="auto"/>
        </w:tblBorders>
        <w:tblLook w:val="04A0" w:firstRow="1" w:lastRow="0" w:firstColumn="1" w:lastColumn="0" w:noHBand="0" w:noVBand="1"/>
      </w:tblPr>
      <w:tblGrid>
        <w:gridCol w:w="1800"/>
        <w:gridCol w:w="1886"/>
        <w:gridCol w:w="2974"/>
        <w:gridCol w:w="7650"/>
      </w:tblGrid>
      <w:tr w:rsidR="00106EC7" w:rsidRPr="00447599" w14:paraId="6FEAE32C" w14:textId="77777777" w:rsidTr="00C01B0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800" w:type="dxa"/>
            <w:tcBorders>
              <w:top w:val="single" w:sz="4" w:space="0" w:color="auto"/>
              <w:bottom w:val="single" w:sz="4" w:space="0" w:color="auto"/>
            </w:tcBorders>
            <w:vAlign w:val="center"/>
          </w:tcPr>
          <w:p w14:paraId="73B834AD" w14:textId="77777777" w:rsidR="00106EC7" w:rsidRPr="00447599" w:rsidRDefault="00106EC7" w:rsidP="00C01B03">
            <w:pPr>
              <w:spacing w:line="276" w:lineRule="auto"/>
              <w:jc w:val="center"/>
              <w:rPr>
                <w:rFonts w:asciiTheme="majorBidi" w:hAnsiTheme="majorBidi" w:cstheme="majorBidi"/>
              </w:rPr>
            </w:pPr>
            <w:bookmarkStart w:id="3" w:name="_Hlk66100082"/>
            <w:r w:rsidRPr="00447599">
              <w:rPr>
                <w:rFonts w:asciiTheme="majorBidi" w:hAnsiTheme="majorBidi" w:cstheme="majorBidi"/>
              </w:rPr>
              <w:t>Soil column No.</w:t>
            </w:r>
          </w:p>
        </w:tc>
        <w:tc>
          <w:tcPr>
            <w:tcW w:w="1886" w:type="dxa"/>
            <w:tcBorders>
              <w:top w:val="single" w:sz="4" w:space="0" w:color="auto"/>
              <w:bottom w:val="single" w:sz="4" w:space="0" w:color="auto"/>
            </w:tcBorders>
            <w:vAlign w:val="center"/>
          </w:tcPr>
          <w:p w14:paraId="7CC9B759" w14:textId="77777777" w:rsidR="00106EC7" w:rsidRPr="00447599" w:rsidRDefault="00106EC7" w:rsidP="00C01B03">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Experimental properties</w:t>
            </w:r>
          </w:p>
        </w:tc>
        <w:tc>
          <w:tcPr>
            <w:tcW w:w="2974" w:type="dxa"/>
            <w:tcBorders>
              <w:top w:val="single" w:sz="4" w:space="0" w:color="auto"/>
              <w:bottom w:val="single" w:sz="4" w:space="0" w:color="auto"/>
            </w:tcBorders>
            <w:vAlign w:val="center"/>
          </w:tcPr>
          <w:p w14:paraId="618BBDC0" w14:textId="77777777" w:rsidR="00106EC7" w:rsidRPr="00447599" w:rsidRDefault="00106EC7" w:rsidP="00C01B03">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Treatment duration</w:t>
            </w:r>
          </w:p>
        </w:tc>
        <w:tc>
          <w:tcPr>
            <w:tcW w:w="7650" w:type="dxa"/>
            <w:tcBorders>
              <w:top w:val="single" w:sz="4" w:space="0" w:color="auto"/>
              <w:bottom w:val="single" w:sz="4" w:space="0" w:color="auto"/>
            </w:tcBorders>
            <w:vAlign w:val="center"/>
          </w:tcPr>
          <w:p w14:paraId="48FB68A8" w14:textId="77777777" w:rsidR="00106EC7" w:rsidRPr="00447599" w:rsidRDefault="00106EC7" w:rsidP="00C01B03">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Description</w:t>
            </w:r>
          </w:p>
        </w:tc>
      </w:tr>
      <w:tr w:rsidR="00106EC7" w:rsidRPr="00447599" w14:paraId="50CEB1A8" w14:textId="77777777" w:rsidTr="00C01B03">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800" w:type="dxa"/>
            <w:tcBorders>
              <w:top w:val="single" w:sz="4" w:space="0" w:color="auto"/>
              <w:bottom w:val="nil"/>
            </w:tcBorders>
            <w:vAlign w:val="center"/>
          </w:tcPr>
          <w:p w14:paraId="211A0FA3"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1</w:t>
            </w:r>
          </w:p>
        </w:tc>
        <w:tc>
          <w:tcPr>
            <w:tcW w:w="1886" w:type="dxa"/>
            <w:vMerge w:val="restart"/>
            <w:tcBorders>
              <w:top w:val="single" w:sz="4" w:space="0" w:color="auto"/>
              <w:bottom w:val="nil"/>
            </w:tcBorders>
            <w:vAlign w:val="center"/>
          </w:tcPr>
          <w:p w14:paraId="7FD6B568"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6AFA44C6"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Autoclaved soil column</w:t>
            </w:r>
          </w:p>
          <w:p w14:paraId="1E2D52A6"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2974" w:type="dxa"/>
            <w:tcBorders>
              <w:top w:val="single" w:sz="4" w:space="0" w:color="auto"/>
              <w:bottom w:val="nil"/>
            </w:tcBorders>
            <w:vAlign w:val="center"/>
          </w:tcPr>
          <w:p w14:paraId="4BC86160"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3 weeks</w:t>
            </w:r>
          </w:p>
        </w:tc>
        <w:tc>
          <w:tcPr>
            <w:tcW w:w="7650" w:type="dxa"/>
            <w:vMerge w:val="restart"/>
            <w:tcBorders>
              <w:top w:val="single" w:sz="4" w:space="0" w:color="auto"/>
              <w:bottom w:val="nil"/>
            </w:tcBorders>
            <w:vAlign w:val="center"/>
          </w:tcPr>
          <w:p w14:paraId="614C8D1E"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2"/>
                <w:szCs w:val="22"/>
              </w:rPr>
            </w:pPr>
            <w:r w:rsidRPr="00447599">
              <w:rPr>
                <w:rFonts w:asciiTheme="majorBidi" w:hAnsiTheme="majorBidi" w:cstheme="majorBidi"/>
                <w:sz w:val="22"/>
                <w:szCs w:val="22"/>
              </w:rPr>
              <w:t>As a sterile control for determination of natural biodegradation rate</w:t>
            </w:r>
          </w:p>
        </w:tc>
      </w:tr>
      <w:tr w:rsidR="00106EC7" w:rsidRPr="00447599" w14:paraId="6541031E" w14:textId="77777777" w:rsidTr="00C01B03">
        <w:trPr>
          <w:trHeight w:val="863"/>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tcBorders>
            <w:vAlign w:val="center"/>
          </w:tcPr>
          <w:p w14:paraId="24825A3E"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2</w:t>
            </w:r>
          </w:p>
        </w:tc>
        <w:tc>
          <w:tcPr>
            <w:tcW w:w="1886" w:type="dxa"/>
            <w:vMerge/>
            <w:tcBorders>
              <w:top w:val="nil"/>
            </w:tcBorders>
            <w:vAlign w:val="center"/>
          </w:tcPr>
          <w:p w14:paraId="37CCB8B1"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c>
          <w:tcPr>
            <w:tcW w:w="2974" w:type="dxa"/>
            <w:tcBorders>
              <w:top w:val="nil"/>
            </w:tcBorders>
            <w:vAlign w:val="center"/>
          </w:tcPr>
          <w:p w14:paraId="43D632AC"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6 weeks</w:t>
            </w:r>
          </w:p>
        </w:tc>
        <w:tc>
          <w:tcPr>
            <w:tcW w:w="7650" w:type="dxa"/>
            <w:vMerge/>
            <w:tcBorders>
              <w:top w:val="nil"/>
            </w:tcBorders>
            <w:vAlign w:val="center"/>
          </w:tcPr>
          <w:p w14:paraId="0B62B832"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r>
      <w:tr w:rsidR="00106EC7" w:rsidRPr="00447599" w14:paraId="4528EBD3" w14:textId="77777777" w:rsidTr="00C01B03">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nil"/>
            </w:tcBorders>
            <w:vAlign w:val="center"/>
          </w:tcPr>
          <w:p w14:paraId="0A219581"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3</w:t>
            </w:r>
          </w:p>
        </w:tc>
        <w:tc>
          <w:tcPr>
            <w:tcW w:w="1886" w:type="dxa"/>
            <w:vMerge w:val="restart"/>
            <w:tcBorders>
              <w:top w:val="nil"/>
            </w:tcBorders>
            <w:vAlign w:val="center"/>
          </w:tcPr>
          <w:p w14:paraId="45713627"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p w14:paraId="23374A2A"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Untreated soil column</w:t>
            </w:r>
          </w:p>
        </w:tc>
        <w:tc>
          <w:tcPr>
            <w:tcW w:w="2974" w:type="dxa"/>
            <w:tcBorders>
              <w:top w:val="nil"/>
            </w:tcBorders>
            <w:vAlign w:val="center"/>
          </w:tcPr>
          <w:p w14:paraId="1B24F87D"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Time 0</w:t>
            </w:r>
          </w:p>
        </w:tc>
        <w:tc>
          <w:tcPr>
            <w:tcW w:w="7650" w:type="dxa"/>
            <w:vMerge w:val="restart"/>
            <w:tcBorders>
              <w:top w:val="nil"/>
            </w:tcBorders>
            <w:vAlign w:val="center"/>
          </w:tcPr>
          <w:p w14:paraId="745D94F8"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sz w:val="22"/>
                <w:szCs w:val="22"/>
              </w:rPr>
              <w:t>As a control for determination of the initial concentration of contaminant and natural biodegradation rate</w:t>
            </w:r>
          </w:p>
        </w:tc>
      </w:tr>
      <w:tr w:rsidR="00106EC7" w:rsidRPr="00447599" w14:paraId="6EFB7030" w14:textId="77777777" w:rsidTr="00C01B03">
        <w:trPr>
          <w:trHeight w:val="156"/>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nil"/>
            </w:tcBorders>
            <w:vAlign w:val="center"/>
          </w:tcPr>
          <w:p w14:paraId="4DEBCFB3"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4</w:t>
            </w:r>
          </w:p>
        </w:tc>
        <w:tc>
          <w:tcPr>
            <w:tcW w:w="1886" w:type="dxa"/>
            <w:vMerge/>
            <w:tcBorders>
              <w:top w:val="nil"/>
              <w:bottom w:val="nil"/>
            </w:tcBorders>
            <w:vAlign w:val="center"/>
          </w:tcPr>
          <w:p w14:paraId="6A8BDBE5"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c>
          <w:tcPr>
            <w:tcW w:w="2974" w:type="dxa"/>
            <w:tcBorders>
              <w:top w:val="nil"/>
              <w:bottom w:val="nil"/>
            </w:tcBorders>
            <w:vAlign w:val="center"/>
          </w:tcPr>
          <w:p w14:paraId="127FC02D"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3 weeks</w:t>
            </w:r>
          </w:p>
        </w:tc>
        <w:tc>
          <w:tcPr>
            <w:tcW w:w="7650" w:type="dxa"/>
            <w:vMerge/>
            <w:tcBorders>
              <w:top w:val="nil"/>
              <w:bottom w:val="nil"/>
            </w:tcBorders>
            <w:vAlign w:val="center"/>
          </w:tcPr>
          <w:p w14:paraId="49FC4BF9"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p>
        </w:tc>
      </w:tr>
      <w:tr w:rsidR="00106EC7" w:rsidRPr="00447599" w14:paraId="2670EC3D" w14:textId="77777777" w:rsidTr="00C01B03">
        <w:trPr>
          <w:cnfStyle w:val="000000100000" w:firstRow="0" w:lastRow="0" w:firstColumn="0" w:lastColumn="0" w:oddVBand="0" w:evenVBand="0" w:oddHBand="1" w:evenHBand="0" w:firstRowFirstColumn="0" w:firstRowLastColumn="0" w:lastRowFirstColumn="0" w:lastRowLastColumn="0"/>
          <w:trHeight w:val="809"/>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nil"/>
            </w:tcBorders>
            <w:vAlign w:val="center"/>
          </w:tcPr>
          <w:p w14:paraId="3F0BCE62"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5</w:t>
            </w:r>
          </w:p>
        </w:tc>
        <w:tc>
          <w:tcPr>
            <w:tcW w:w="1886" w:type="dxa"/>
            <w:vMerge/>
            <w:tcBorders>
              <w:top w:val="nil"/>
              <w:bottom w:val="nil"/>
            </w:tcBorders>
            <w:vAlign w:val="center"/>
          </w:tcPr>
          <w:p w14:paraId="42F963A3"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2974" w:type="dxa"/>
            <w:tcBorders>
              <w:top w:val="nil"/>
              <w:bottom w:val="nil"/>
            </w:tcBorders>
            <w:vAlign w:val="center"/>
          </w:tcPr>
          <w:p w14:paraId="74703C7A"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6 weeks</w:t>
            </w:r>
          </w:p>
        </w:tc>
        <w:tc>
          <w:tcPr>
            <w:tcW w:w="7650" w:type="dxa"/>
            <w:vMerge/>
            <w:tcBorders>
              <w:top w:val="nil"/>
              <w:bottom w:val="nil"/>
            </w:tcBorders>
            <w:vAlign w:val="center"/>
          </w:tcPr>
          <w:p w14:paraId="10CD137A"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tr w:rsidR="00106EC7" w:rsidRPr="00447599" w14:paraId="6F68AA13" w14:textId="77777777" w:rsidTr="00C01B03">
        <w:trPr>
          <w:trHeight w:val="232"/>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tcBorders>
            <w:vAlign w:val="center"/>
          </w:tcPr>
          <w:p w14:paraId="5523AD7C"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6</w:t>
            </w:r>
          </w:p>
        </w:tc>
        <w:tc>
          <w:tcPr>
            <w:tcW w:w="1886" w:type="dxa"/>
            <w:vMerge w:val="restart"/>
            <w:tcBorders>
              <w:top w:val="nil"/>
            </w:tcBorders>
            <w:vAlign w:val="center"/>
          </w:tcPr>
          <w:p w14:paraId="54C35945"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Treated soil column with Mix7-3PAHs*</w:t>
            </w:r>
          </w:p>
        </w:tc>
        <w:tc>
          <w:tcPr>
            <w:tcW w:w="2974" w:type="dxa"/>
            <w:tcBorders>
              <w:top w:val="nil"/>
            </w:tcBorders>
            <w:vAlign w:val="center"/>
          </w:tcPr>
          <w:p w14:paraId="65448322"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3 weeks</w:t>
            </w:r>
          </w:p>
        </w:tc>
        <w:tc>
          <w:tcPr>
            <w:tcW w:w="7650" w:type="dxa"/>
            <w:vMerge w:val="restart"/>
            <w:tcBorders>
              <w:top w:val="nil"/>
            </w:tcBorders>
            <w:vAlign w:val="center"/>
          </w:tcPr>
          <w:p w14:paraId="10678BBE"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sz w:val="22"/>
                <w:szCs w:val="22"/>
              </w:rPr>
              <w:t>Mix7-3PAHs: cell extract obtained from Mix7 incubated on solution of 3PAHs</w:t>
            </w:r>
          </w:p>
        </w:tc>
      </w:tr>
      <w:tr w:rsidR="00106EC7" w:rsidRPr="00447599" w14:paraId="13EA137D" w14:textId="77777777" w:rsidTr="00C01B03">
        <w:trPr>
          <w:cnfStyle w:val="000000100000" w:firstRow="0" w:lastRow="0" w:firstColumn="0" w:lastColumn="0" w:oddVBand="0" w:evenVBand="0" w:oddHBand="1" w:evenHBand="0" w:firstRowFirstColumn="0" w:firstRowLastColumn="0" w:lastRowFirstColumn="0" w:lastRowLastColumn="0"/>
          <w:trHeight w:val="828"/>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nil"/>
            </w:tcBorders>
            <w:vAlign w:val="center"/>
          </w:tcPr>
          <w:p w14:paraId="1D5181A2"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7</w:t>
            </w:r>
          </w:p>
        </w:tc>
        <w:tc>
          <w:tcPr>
            <w:tcW w:w="1886" w:type="dxa"/>
            <w:vMerge/>
            <w:tcBorders>
              <w:top w:val="nil"/>
              <w:bottom w:val="nil"/>
            </w:tcBorders>
            <w:vAlign w:val="center"/>
          </w:tcPr>
          <w:p w14:paraId="5AE6D886"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2974" w:type="dxa"/>
            <w:tcBorders>
              <w:top w:val="nil"/>
              <w:bottom w:val="nil"/>
            </w:tcBorders>
            <w:vAlign w:val="center"/>
          </w:tcPr>
          <w:p w14:paraId="650D811E"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6 weeks (with an enzyme injection after 3 weeks)</w:t>
            </w:r>
          </w:p>
        </w:tc>
        <w:tc>
          <w:tcPr>
            <w:tcW w:w="7650" w:type="dxa"/>
            <w:vMerge/>
            <w:tcBorders>
              <w:top w:val="nil"/>
              <w:bottom w:val="nil"/>
            </w:tcBorders>
            <w:vAlign w:val="center"/>
          </w:tcPr>
          <w:p w14:paraId="521F4014"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tr w:rsidR="00106EC7" w:rsidRPr="00447599" w14:paraId="6CE96D04" w14:textId="77777777" w:rsidTr="00C01B03">
        <w:trPr>
          <w:trHeight w:val="223"/>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tcBorders>
            <w:vAlign w:val="center"/>
          </w:tcPr>
          <w:p w14:paraId="15FA5C2F"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8</w:t>
            </w:r>
          </w:p>
        </w:tc>
        <w:tc>
          <w:tcPr>
            <w:tcW w:w="1886" w:type="dxa"/>
            <w:vMerge w:val="restart"/>
            <w:tcBorders>
              <w:top w:val="nil"/>
            </w:tcBorders>
            <w:vAlign w:val="center"/>
          </w:tcPr>
          <w:p w14:paraId="40AF2C46"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Treated soil column with Mix8-D**</w:t>
            </w:r>
          </w:p>
        </w:tc>
        <w:tc>
          <w:tcPr>
            <w:tcW w:w="2974" w:type="dxa"/>
            <w:tcBorders>
              <w:top w:val="nil"/>
            </w:tcBorders>
            <w:vAlign w:val="center"/>
          </w:tcPr>
          <w:p w14:paraId="1B4251EC"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3 weeks</w:t>
            </w:r>
          </w:p>
        </w:tc>
        <w:tc>
          <w:tcPr>
            <w:tcW w:w="7650" w:type="dxa"/>
            <w:vMerge w:val="restart"/>
            <w:tcBorders>
              <w:top w:val="nil"/>
            </w:tcBorders>
            <w:vAlign w:val="center"/>
          </w:tcPr>
          <w:p w14:paraId="5A4D9211"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sz w:val="22"/>
                <w:szCs w:val="22"/>
              </w:rPr>
              <w:t>Mix8-D: cell extract obtained from Mix8 incubated on solution of dilbit</w:t>
            </w:r>
          </w:p>
        </w:tc>
      </w:tr>
      <w:tr w:rsidR="00106EC7" w:rsidRPr="00447599" w14:paraId="7D11C4DA" w14:textId="77777777" w:rsidTr="00C01B03">
        <w:trPr>
          <w:cnfStyle w:val="000000100000" w:firstRow="0" w:lastRow="0" w:firstColumn="0" w:lastColumn="0" w:oddVBand="0" w:evenVBand="0" w:oddHBand="1" w:evenHBand="0" w:firstRowFirstColumn="0" w:firstRowLastColumn="0" w:lastRowFirstColumn="0" w:lastRowLastColumn="0"/>
          <w:trHeight w:val="828"/>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nil"/>
            </w:tcBorders>
            <w:vAlign w:val="center"/>
          </w:tcPr>
          <w:p w14:paraId="5208204C"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9</w:t>
            </w:r>
          </w:p>
        </w:tc>
        <w:tc>
          <w:tcPr>
            <w:tcW w:w="1886" w:type="dxa"/>
            <w:vMerge/>
            <w:tcBorders>
              <w:top w:val="nil"/>
              <w:bottom w:val="nil"/>
            </w:tcBorders>
            <w:vAlign w:val="center"/>
          </w:tcPr>
          <w:p w14:paraId="1CCBE88A"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2974" w:type="dxa"/>
            <w:tcBorders>
              <w:top w:val="nil"/>
              <w:bottom w:val="nil"/>
            </w:tcBorders>
            <w:vAlign w:val="center"/>
          </w:tcPr>
          <w:p w14:paraId="55A4C34F"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6 weeks (with an enzyme injection after 3 weeks)</w:t>
            </w:r>
          </w:p>
        </w:tc>
        <w:tc>
          <w:tcPr>
            <w:tcW w:w="7650" w:type="dxa"/>
            <w:vMerge/>
            <w:tcBorders>
              <w:top w:val="nil"/>
              <w:bottom w:val="nil"/>
            </w:tcBorders>
            <w:vAlign w:val="center"/>
          </w:tcPr>
          <w:p w14:paraId="2CE58AFD"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tr w:rsidR="00106EC7" w:rsidRPr="00447599" w14:paraId="10163C1C" w14:textId="77777777" w:rsidTr="00C01B03">
        <w:trPr>
          <w:trHeight w:val="171"/>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tcBorders>
            <w:vAlign w:val="center"/>
          </w:tcPr>
          <w:p w14:paraId="2DB9E133"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10</w:t>
            </w:r>
          </w:p>
        </w:tc>
        <w:tc>
          <w:tcPr>
            <w:tcW w:w="1886" w:type="dxa"/>
            <w:vMerge w:val="restart"/>
            <w:tcBorders>
              <w:top w:val="nil"/>
            </w:tcBorders>
            <w:vAlign w:val="center"/>
          </w:tcPr>
          <w:p w14:paraId="4F011AB2"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 xml:space="preserve">Treated soil column with autoclaved </w:t>
            </w:r>
            <w:r w:rsidRPr="00447599">
              <w:rPr>
                <w:rFonts w:asciiTheme="majorBidi" w:hAnsiTheme="majorBidi" w:cstheme="majorBidi"/>
                <w:i/>
                <w:iCs/>
              </w:rPr>
              <w:t>AlcanivoraxD</w:t>
            </w:r>
          </w:p>
        </w:tc>
        <w:tc>
          <w:tcPr>
            <w:tcW w:w="2974" w:type="dxa"/>
            <w:tcBorders>
              <w:top w:val="nil"/>
            </w:tcBorders>
            <w:vAlign w:val="center"/>
          </w:tcPr>
          <w:p w14:paraId="786A0F34"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3 weeks</w:t>
            </w:r>
          </w:p>
        </w:tc>
        <w:tc>
          <w:tcPr>
            <w:tcW w:w="7650" w:type="dxa"/>
            <w:vMerge w:val="restart"/>
            <w:tcBorders>
              <w:top w:val="nil"/>
            </w:tcBorders>
            <w:vAlign w:val="center"/>
          </w:tcPr>
          <w:p w14:paraId="17D6375A" w14:textId="77777777" w:rsidR="00106EC7" w:rsidRPr="00447599" w:rsidRDefault="00106EC7" w:rsidP="00C01B03">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szCs w:val="22"/>
              </w:rPr>
            </w:pPr>
            <w:r w:rsidRPr="00447599">
              <w:rPr>
                <w:rFonts w:asciiTheme="majorBidi" w:hAnsiTheme="majorBidi" w:cstheme="majorBidi"/>
                <w:sz w:val="22"/>
                <w:szCs w:val="22"/>
              </w:rPr>
              <w:t xml:space="preserve">Autoclaved </w:t>
            </w:r>
            <w:r w:rsidRPr="00447599">
              <w:rPr>
                <w:rFonts w:asciiTheme="majorBidi" w:hAnsiTheme="majorBidi" w:cstheme="majorBidi"/>
                <w:i/>
                <w:iCs/>
                <w:sz w:val="22"/>
                <w:szCs w:val="22"/>
              </w:rPr>
              <w:t>AlcanivoraxD</w:t>
            </w:r>
          </w:p>
        </w:tc>
      </w:tr>
      <w:tr w:rsidR="00106EC7" w:rsidRPr="00447599" w14:paraId="77C54D97" w14:textId="77777777" w:rsidTr="00C01B03">
        <w:trPr>
          <w:cnfStyle w:val="000000100000" w:firstRow="0" w:lastRow="0" w:firstColumn="0" w:lastColumn="0" w:oddVBand="0" w:evenVBand="0" w:oddHBand="1" w:evenHBand="0" w:firstRowFirstColumn="0" w:firstRowLastColumn="0" w:lastRowFirstColumn="0" w:lastRowLastColumn="0"/>
          <w:trHeight w:val="180"/>
          <w:jc w:val="center"/>
        </w:trPr>
        <w:tc>
          <w:tcPr>
            <w:cnfStyle w:val="001000000000" w:firstRow="0" w:lastRow="0" w:firstColumn="1" w:lastColumn="0" w:oddVBand="0" w:evenVBand="0" w:oddHBand="0" w:evenHBand="0" w:firstRowFirstColumn="0" w:firstRowLastColumn="0" w:lastRowFirstColumn="0" w:lastRowLastColumn="0"/>
            <w:tcW w:w="1800" w:type="dxa"/>
            <w:tcBorders>
              <w:top w:val="nil"/>
              <w:bottom w:val="single" w:sz="4" w:space="0" w:color="auto"/>
            </w:tcBorders>
            <w:vAlign w:val="center"/>
          </w:tcPr>
          <w:p w14:paraId="400CAB6E" w14:textId="77777777" w:rsidR="00106EC7" w:rsidRPr="00447599" w:rsidRDefault="00106EC7" w:rsidP="00C01B03">
            <w:pPr>
              <w:spacing w:line="276" w:lineRule="auto"/>
              <w:jc w:val="center"/>
              <w:rPr>
                <w:rFonts w:asciiTheme="majorBidi" w:hAnsiTheme="majorBidi" w:cstheme="majorBidi"/>
              </w:rPr>
            </w:pPr>
            <w:r w:rsidRPr="00447599">
              <w:rPr>
                <w:rFonts w:asciiTheme="majorBidi" w:hAnsiTheme="majorBidi" w:cstheme="majorBidi"/>
              </w:rPr>
              <w:t>11</w:t>
            </w:r>
          </w:p>
        </w:tc>
        <w:tc>
          <w:tcPr>
            <w:tcW w:w="1886" w:type="dxa"/>
            <w:vMerge/>
            <w:tcBorders>
              <w:top w:val="nil"/>
              <w:bottom w:val="single" w:sz="4" w:space="0" w:color="auto"/>
            </w:tcBorders>
            <w:vAlign w:val="center"/>
          </w:tcPr>
          <w:p w14:paraId="411969B6"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c>
          <w:tcPr>
            <w:tcW w:w="2974" w:type="dxa"/>
            <w:tcBorders>
              <w:bottom w:val="single" w:sz="4" w:space="0" w:color="auto"/>
            </w:tcBorders>
            <w:vAlign w:val="center"/>
          </w:tcPr>
          <w:p w14:paraId="06F9414A"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r w:rsidRPr="00447599">
              <w:rPr>
                <w:rFonts w:asciiTheme="majorBidi" w:hAnsiTheme="majorBidi" w:cstheme="majorBidi"/>
              </w:rPr>
              <w:t>6 weeks (with an enzyme injection after 3 weeks)</w:t>
            </w:r>
          </w:p>
        </w:tc>
        <w:tc>
          <w:tcPr>
            <w:tcW w:w="7650" w:type="dxa"/>
            <w:vMerge/>
            <w:tcBorders>
              <w:bottom w:val="single" w:sz="4" w:space="0" w:color="auto"/>
            </w:tcBorders>
            <w:vAlign w:val="center"/>
          </w:tcPr>
          <w:p w14:paraId="234A6304" w14:textId="77777777" w:rsidR="00106EC7" w:rsidRPr="00447599" w:rsidRDefault="00106EC7" w:rsidP="00C01B03">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rPr>
            </w:pPr>
          </w:p>
        </w:tc>
      </w:tr>
      <w:bookmarkEnd w:id="3"/>
    </w:tbl>
    <w:p w14:paraId="673EA273" w14:textId="77777777" w:rsidR="00106EC7" w:rsidRPr="00447599" w:rsidRDefault="00106EC7" w:rsidP="00106EC7">
      <w:pPr>
        <w:spacing w:line="276" w:lineRule="auto"/>
        <w:rPr>
          <w:rFonts w:asciiTheme="minorBidi" w:hAnsiTheme="minorBidi" w:cstheme="minorBidi"/>
        </w:rPr>
      </w:pPr>
    </w:p>
    <w:p w14:paraId="3E86D27D" w14:textId="77777777" w:rsidR="006379C4" w:rsidRPr="00447599" w:rsidRDefault="006379C4" w:rsidP="003340EF">
      <w:pPr>
        <w:spacing w:line="276" w:lineRule="auto"/>
        <w:jc w:val="both"/>
        <w:rPr>
          <w:rFonts w:asciiTheme="majorBidi" w:hAnsiTheme="majorBidi" w:cstheme="majorBidi"/>
          <w:b/>
          <w:bCs/>
        </w:rPr>
      </w:pPr>
    </w:p>
    <w:p w14:paraId="0B5EC4C6" w14:textId="65F2D4B7" w:rsidR="00FA30FA" w:rsidRPr="00447599" w:rsidRDefault="00FA30FA" w:rsidP="003340EF">
      <w:pPr>
        <w:spacing w:line="276" w:lineRule="auto"/>
        <w:jc w:val="both"/>
        <w:rPr>
          <w:rFonts w:ascii="Times" w:hAnsi="Times" w:cstheme="majorBidi"/>
          <w:b/>
          <w:bCs/>
          <w:color w:val="000000" w:themeColor="text1"/>
          <w:lang w:val="en-CA"/>
        </w:rPr>
      </w:pPr>
      <w:r w:rsidRPr="00447599">
        <w:rPr>
          <w:rFonts w:cstheme="minorHAnsi"/>
          <w:b/>
          <w:bCs/>
          <w:color w:val="000000" w:themeColor="text1"/>
        </w:rPr>
        <w:t>S11</w:t>
      </w:r>
      <w:r w:rsidRPr="00447599">
        <w:rPr>
          <w:rFonts w:asciiTheme="majorBidi" w:hAnsiTheme="majorBidi" w:cstheme="majorBidi"/>
          <w:b/>
          <w:bCs/>
          <w:i/>
          <w:iCs/>
          <w:color w:val="000000" w:themeColor="text1"/>
        </w:rPr>
        <w:t xml:space="preserve"> Mass distribution of pyrene in soil</w:t>
      </w:r>
    </w:p>
    <w:p w14:paraId="2BEE4ABA" w14:textId="4DAFA251" w:rsidR="00186397" w:rsidRPr="00447599" w:rsidRDefault="00186397" w:rsidP="003340EF">
      <w:pPr>
        <w:spacing w:line="276" w:lineRule="auto"/>
        <w:jc w:val="both"/>
        <w:rPr>
          <w:rFonts w:cstheme="minorHAnsi"/>
          <w:color w:val="000000" w:themeColor="text1"/>
        </w:rPr>
      </w:pPr>
    </w:p>
    <w:p w14:paraId="2FA765A0" w14:textId="77777777" w:rsidR="00FA30FA" w:rsidRPr="00447599" w:rsidRDefault="00FA30FA" w:rsidP="003340EF">
      <w:pPr>
        <w:spacing w:line="276" w:lineRule="auto"/>
        <w:jc w:val="both"/>
        <w:rPr>
          <w:rFonts w:ascii="Times" w:hAnsi="Times" w:cs="Arial"/>
          <w:color w:val="000000"/>
          <w:lang w:val="en-CA"/>
        </w:rPr>
      </w:pPr>
      <w:r w:rsidRPr="00447599">
        <w:rPr>
          <w:rFonts w:ascii="Times" w:hAnsi="Times" w:cs="Arial"/>
          <w:color w:val="000000"/>
          <w:lang w:val="en-CA"/>
        </w:rPr>
        <w:t>A set of equilibrium isotherm equations has been developed to explain how pyrene is fixed from a solution to the surface of soil particles.  The adsorption process was described in linear form using three adsorption models: Langmuir (Eq. (1)), Freundlich (Eq. (2)), and Distributed reactivity model (DRM) (Eq. (7)).</w:t>
      </w:r>
    </w:p>
    <w:p w14:paraId="43F28111" w14:textId="77777777" w:rsidR="00FA30FA" w:rsidRPr="00447599" w:rsidRDefault="00FA30FA" w:rsidP="003340EF">
      <w:pPr>
        <w:shd w:val="clear" w:color="auto" w:fill="FFFFFF"/>
        <w:spacing w:line="276" w:lineRule="auto"/>
        <w:jc w:val="both"/>
        <w:rPr>
          <w:rFonts w:ascii="Times" w:hAnsi="Times" w:cs="Arial"/>
          <w:color w:val="000000"/>
          <w:lang w:val="en-CA"/>
        </w:rPr>
      </w:pPr>
    </w:p>
    <w:p w14:paraId="494E5021" w14:textId="77777777" w:rsidR="00FA30FA" w:rsidRPr="00447599" w:rsidRDefault="00F24CA7" w:rsidP="003340EF">
      <w:pPr>
        <w:shd w:val="clear" w:color="auto" w:fill="FFFFFF"/>
        <w:spacing w:line="276" w:lineRule="auto"/>
        <w:jc w:val="both"/>
        <w:rPr>
          <w:rFonts w:ascii="Times" w:hAnsi="Times" w:cs="Arial"/>
          <w:color w:val="000000"/>
          <w:lang w:val="en-CA"/>
        </w:rPr>
      </w:pPr>
      <m:oMath>
        <m:f>
          <m:fPr>
            <m:ctrlPr>
              <w:rPr>
                <w:rFonts w:ascii="Cambria Math" w:hAnsi="Cambria Math" w:cs="Arial"/>
                <w:i/>
                <w:color w:val="000000"/>
                <w:lang w:val="en-CA"/>
              </w:rPr>
            </m:ctrlPr>
          </m:fPr>
          <m:num>
            <m:sSub>
              <m:sSubPr>
                <m:ctrlPr>
                  <w:rPr>
                    <w:rFonts w:ascii="Cambria Math" w:hAnsi="Cambria Math" w:cs="Arial"/>
                    <w:i/>
                    <w:color w:val="000000"/>
                    <w:lang w:val="en-CA"/>
                  </w:rPr>
                </m:ctrlPr>
              </m:sSubPr>
              <m:e>
                <m:r>
                  <w:rPr>
                    <w:rFonts w:ascii="Cambria Math" w:hAnsi="Cambria Math" w:cs="Arial"/>
                    <w:color w:val="000000"/>
                    <w:lang w:val="en-CA"/>
                  </w:rPr>
                  <m:t>C</m:t>
                </m:r>
              </m:e>
              <m:sub>
                <m:r>
                  <w:rPr>
                    <w:rFonts w:ascii="Cambria Math" w:hAnsi="Cambria Math" w:cs="Arial"/>
                    <w:color w:val="000000"/>
                    <w:lang w:val="en-CA"/>
                  </w:rPr>
                  <m:t>e</m:t>
                </m:r>
              </m:sub>
            </m:sSub>
          </m:num>
          <m:den>
            <m:sSub>
              <m:sSubPr>
                <m:ctrlPr>
                  <w:rPr>
                    <w:rFonts w:ascii="Cambria Math" w:hAnsi="Cambria Math" w:cs="Arial"/>
                    <w:i/>
                    <w:color w:val="000000"/>
                    <w:lang w:val="en-CA"/>
                  </w:rPr>
                </m:ctrlPr>
              </m:sSubPr>
              <m:e>
                <m:r>
                  <w:rPr>
                    <w:rFonts w:ascii="Cambria Math" w:hAnsi="Cambria Math" w:cs="Arial"/>
                    <w:color w:val="000000"/>
                    <w:lang w:val="en-CA"/>
                  </w:rPr>
                  <m:t>q</m:t>
                </m:r>
              </m:e>
              <m:sub>
                <m:r>
                  <w:rPr>
                    <w:rFonts w:ascii="Cambria Math" w:hAnsi="Cambria Math" w:cs="Arial"/>
                    <w:color w:val="000000"/>
                    <w:lang w:val="en-CA"/>
                  </w:rPr>
                  <m:t>e</m:t>
                </m:r>
              </m:sub>
            </m:sSub>
          </m:den>
        </m:f>
        <m:r>
          <w:rPr>
            <w:rFonts w:ascii="Cambria Math" w:hAnsi="Cambria Math" w:cs="Arial"/>
            <w:color w:val="000000"/>
            <w:lang w:val="en-CA"/>
          </w:rPr>
          <m:t>=</m:t>
        </m:r>
        <m:f>
          <m:fPr>
            <m:ctrlPr>
              <w:rPr>
                <w:rFonts w:ascii="Cambria Math" w:hAnsi="Cambria Math" w:cs="Arial"/>
                <w:i/>
                <w:color w:val="000000"/>
                <w:lang w:val="en-CA"/>
              </w:rPr>
            </m:ctrlPr>
          </m:fPr>
          <m:num>
            <m:r>
              <w:rPr>
                <w:rFonts w:ascii="Cambria Math" w:hAnsi="Cambria Math" w:cs="Arial"/>
                <w:color w:val="000000"/>
                <w:lang w:val="en-CA"/>
              </w:rPr>
              <m:t>1</m:t>
            </m:r>
          </m:num>
          <m:den>
            <m:sSub>
              <m:sSubPr>
                <m:ctrlPr>
                  <w:rPr>
                    <w:rFonts w:ascii="Cambria Math" w:hAnsi="Cambria Math" w:cs="Arial"/>
                    <w:i/>
                    <w:color w:val="000000"/>
                    <w:lang w:val="en-CA"/>
                  </w:rPr>
                </m:ctrlPr>
              </m:sSubPr>
              <m:e>
                <m:r>
                  <w:rPr>
                    <w:rFonts w:ascii="Cambria Math" w:hAnsi="Cambria Math" w:cs="Arial"/>
                    <w:color w:val="000000"/>
                    <w:lang w:val="en-CA"/>
                  </w:rPr>
                  <m:t>bQ</m:t>
                </m:r>
              </m:e>
              <m:sub>
                <m:r>
                  <w:rPr>
                    <w:rFonts w:ascii="Cambria Math" w:hAnsi="Cambria Math" w:cs="Arial"/>
                    <w:color w:val="000000"/>
                    <w:lang w:val="en-CA"/>
                  </w:rPr>
                  <m:t>o</m:t>
                </m:r>
              </m:sub>
            </m:sSub>
          </m:den>
        </m:f>
        <m:r>
          <w:rPr>
            <w:rFonts w:ascii="Cambria Math" w:hAnsi="Cambria Math" w:cs="Arial"/>
            <w:color w:val="000000"/>
            <w:lang w:val="en-CA"/>
          </w:rPr>
          <m:t>+</m:t>
        </m:r>
        <m:f>
          <m:fPr>
            <m:ctrlPr>
              <w:rPr>
                <w:rFonts w:ascii="Cambria Math" w:hAnsi="Cambria Math" w:cs="Arial"/>
                <w:i/>
                <w:color w:val="000000"/>
                <w:lang w:val="en-CA"/>
              </w:rPr>
            </m:ctrlPr>
          </m:fPr>
          <m:num>
            <m:sSub>
              <m:sSubPr>
                <m:ctrlPr>
                  <w:rPr>
                    <w:rFonts w:ascii="Cambria Math" w:hAnsi="Cambria Math" w:cs="Arial"/>
                    <w:i/>
                    <w:color w:val="000000"/>
                    <w:lang w:val="en-CA"/>
                  </w:rPr>
                </m:ctrlPr>
              </m:sSubPr>
              <m:e>
                <m:r>
                  <w:rPr>
                    <w:rFonts w:ascii="Cambria Math" w:hAnsi="Cambria Math" w:cs="Arial"/>
                    <w:color w:val="000000"/>
                    <w:lang w:val="en-CA"/>
                  </w:rPr>
                  <m:t>C</m:t>
                </m:r>
              </m:e>
              <m:sub>
                <m:r>
                  <w:rPr>
                    <w:rFonts w:ascii="Cambria Math" w:hAnsi="Cambria Math" w:cs="Arial"/>
                    <w:color w:val="000000"/>
                    <w:lang w:val="en-CA"/>
                  </w:rPr>
                  <m:t>e</m:t>
                </m:r>
              </m:sub>
            </m:sSub>
          </m:num>
          <m:den>
            <m:sSub>
              <m:sSubPr>
                <m:ctrlPr>
                  <w:rPr>
                    <w:rFonts w:ascii="Cambria Math" w:hAnsi="Cambria Math" w:cs="Arial"/>
                    <w:i/>
                    <w:color w:val="000000"/>
                    <w:lang w:val="en-CA"/>
                  </w:rPr>
                </m:ctrlPr>
              </m:sSubPr>
              <m:e>
                <m:r>
                  <w:rPr>
                    <w:rFonts w:ascii="Cambria Math" w:hAnsi="Cambria Math" w:cs="Arial"/>
                    <w:color w:val="000000"/>
                    <w:lang w:val="en-CA"/>
                  </w:rPr>
                  <m:t>Q</m:t>
                </m:r>
              </m:e>
              <m:sub>
                <m:r>
                  <w:rPr>
                    <w:rFonts w:ascii="Cambria Math" w:hAnsi="Cambria Math" w:cs="Arial"/>
                    <w:color w:val="000000"/>
                    <w:lang w:val="en-CA"/>
                  </w:rPr>
                  <m:t>o</m:t>
                </m:r>
              </m:sub>
            </m:sSub>
          </m:den>
        </m:f>
      </m:oMath>
      <w:r w:rsidR="00FA30FA" w:rsidRPr="00447599">
        <w:rPr>
          <w:rFonts w:ascii="Times" w:hAnsi="Times" w:cs="Arial"/>
          <w:color w:val="000000"/>
          <w:lang w:val="en-CA"/>
        </w:rPr>
        <w:t xml:space="preserve"> (1)</w:t>
      </w:r>
    </w:p>
    <w:p w14:paraId="5C64CB7E" w14:textId="77777777" w:rsidR="00FA30FA" w:rsidRPr="00447599" w:rsidRDefault="00FA30FA" w:rsidP="003340EF">
      <w:pPr>
        <w:shd w:val="clear" w:color="auto" w:fill="FFFFFF"/>
        <w:spacing w:line="276" w:lineRule="auto"/>
        <w:jc w:val="both"/>
        <w:rPr>
          <w:rFonts w:ascii="Times" w:hAnsi="Times" w:cs="Arial"/>
          <w:color w:val="000000"/>
          <w:lang w:val="en-CA"/>
        </w:rPr>
      </w:pPr>
    </w:p>
    <w:p w14:paraId="21DF81E2" w14:textId="77777777" w:rsidR="00FA30FA" w:rsidRPr="00447599" w:rsidRDefault="00F24CA7" w:rsidP="003340EF">
      <w:pPr>
        <w:shd w:val="clear" w:color="auto" w:fill="FFFFFF"/>
        <w:spacing w:line="276" w:lineRule="auto"/>
        <w:jc w:val="both"/>
        <w:rPr>
          <w:rFonts w:ascii="Times" w:hAnsi="Times" w:cs="Arial"/>
          <w:color w:val="000000"/>
          <w:lang w:val="en-CA"/>
        </w:rPr>
      </w:pPr>
      <m:oMath>
        <m:func>
          <m:funcPr>
            <m:ctrlPr>
              <w:rPr>
                <w:rFonts w:ascii="Cambria Math" w:hAnsi="Cambria Math" w:cs="Arial"/>
                <w:i/>
                <w:color w:val="000000"/>
                <w:lang w:val="en-CA"/>
              </w:rPr>
            </m:ctrlPr>
          </m:funcPr>
          <m:fName>
            <m:r>
              <m:rPr>
                <m:sty m:val="p"/>
              </m:rPr>
              <w:rPr>
                <w:rFonts w:ascii="Cambria Math" w:hAnsi="Cambria Math" w:cs="Arial"/>
                <w:color w:val="000000"/>
                <w:lang w:val="en-CA"/>
              </w:rPr>
              <m:t>log</m:t>
            </m:r>
          </m:fName>
          <m:e>
            <m:r>
              <w:rPr>
                <w:rStyle w:val="Emphasis"/>
                <w:rFonts w:ascii="Cambria Math" w:hAnsi="Cambria Math"/>
                <w:color w:val="2E2E2E"/>
                <w:sz w:val="27"/>
                <w:szCs w:val="27"/>
              </w:rPr>
              <m:t>M</m:t>
            </m:r>
            <m:r>
              <w:rPr>
                <w:rStyle w:val="Emphasis"/>
                <w:rFonts w:ascii="Cambria Math" w:hAnsi="Cambria Math"/>
                <w:color w:val="2E2E2E"/>
                <w:sz w:val="20"/>
                <w:szCs w:val="20"/>
                <w:vertAlign w:val="subscript"/>
              </w:rPr>
              <m:t>soil</m:t>
            </m:r>
          </m:e>
        </m:func>
        <m:r>
          <w:rPr>
            <w:rFonts w:ascii="Cambria Math" w:hAnsi="Cambria Math" w:cs="Arial"/>
            <w:color w:val="000000"/>
            <w:lang w:val="en-CA"/>
          </w:rPr>
          <m:t>=</m:t>
        </m:r>
        <m:f>
          <m:fPr>
            <m:ctrlPr>
              <w:rPr>
                <w:rFonts w:ascii="Cambria Math" w:hAnsi="Cambria Math" w:cs="Arial"/>
                <w:i/>
                <w:color w:val="000000"/>
                <w:lang w:val="en-CA"/>
              </w:rPr>
            </m:ctrlPr>
          </m:fPr>
          <m:num>
            <m:r>
              <w:rPr>
                <w:rFonts w:ascii="Cambria Math" w:hAnsi="Cambria Math" w:cs="Arial"/>
                <w:color w:val="000000"/>
                <w:lang w:val="en-CA"/>
              </w:rPr>
              <m:t>1</m:t>
            </m:r>
          </m:num>
          <m:den>
            <m:r>
              <w:rPr>
                <w:rFonts w:ascii="Cambria Math" w:hAnsi="Cambria Math" w:cs="Arial"/>
                <w:color w:val="000000"/>
                <w:lang w:val="en-CA"/>
              </w:rPr>
              <m:t>n</m:t>
            </m:r>
          </m:den>
        </m:f>
        <m:func>
          <m:funcPr>
            <m:ctrlPr>
              <w:rPr>
                <w:rFonts w:ascii="Cambria Math" w:hAnsi="Cambria Math" w:cs="Arial"/>
                <w:i/>
                <w:color w:val="000000"/>
                <w:lang w:val="en-CA"/>
              </w:rPr>
            </m:ctrlPr>
          </m:funcPr>
          <m:fName>
            <m:r>
              <m:rPr>
                <m:sty m:val="p"/>
              </m:rPr>
              <w:rPr>
                <w:rFonts w:ascii="Cambria Math" w:hAnsi="Cambria Math" w:cs="Arial"/>
                <w:color w:val="000000"/>
                <w:lang w:val="en-CA"/>
              </w:rPr>
              <m:t>log</m:t>
            </m:r>
          </m:fName>
          <m:e>
            <m:sSub>
              <m:sSubPr>
                <m:ctrlPr>
                  <w:rPr>
                    <w:rFonts w:ascii="Cambria Math" w:hAnsi="Cambria Math" w:cs="Arial"/>
                    <w:i/>
                    <w:color w:val="000000"/>
                    <w:lang w:val="en-CA"/>
                  </w:rPr>
                </m:ctrlPr>
              </m:sSubPr>
              <m:e>
                <m:r>
                  <w:rPr>
                    <w:rFonts w:ascii="Cambria Math" w:hAnsi="Cambria Math" w:cs="Arial"/>
                    <w:color w:val="000000"/>
                    <w:lang w:val="en-CA"/>
                  </w:rPr>
                  <m:t>C</m:t>
                </m:r>
              </m:e>
              <m:sub>
                <m:r>
                  <w:rPr>
                    <w:rFonts w:ascii="Cambria Math" w:hAnsi="Cambria Math" w:cs="Arial"/>
                    <w:color w:val="000000"/>
                    <w:lang w:val="en-CA"/>
                  </w:rPr>
                  <m:t>e</m:t>
                </m:r>
              </m:sub>
            </m:sSub>
          </m:e>
        </m:func>
        <m:r>
          <w:rPr>
            <w:rFonts w:ascii="Cambria Math" w:hAnsi="Cambria Math" w:cs="Arial"/>
            <w:color w:val="000000"/>
            <w:lang w:val="en-CA"/>
          </w:rPr>
          <m:t>+</m:t>
        </m:r>
        <m:func>
          <m:funcPr>
            <m:ctrlPr>
              <w:rPr>
                <w:rFonts w:ascii="Cambria Math" w:hAnsi="Cambria Math" w:cs="Arial"/>
                <w:i/>
                <w:color w:val="000000"/>
                <w:lang w:val="en-CA"/>
              </w:rPr>
            </m:ctrlPr>
          </m:funcPr>
          <m:fName>
            <m:r>
              <m:rPr>
                <m:sty m:val="p"/>
              </m:rPr>
              <w:rPr>
                <w:rFonts w:ascii="Cambria Math" w:hAnsi="Cambria Math" w:cs="Arial"/>
                <w:color w:val="000000"/>
                <w:lang w:val="en-CA"/>
              </w:rPr>
              <m:t>log</m:t>
            </m:r>
          </m:fName>
          <m:e>
            <m:sSub>
              <m:sSubPr>
                <m:ctrlPr>
                  <w:rPr>
                    <w:rFonts w:ascii="Cambria Math" w:hAnsi="Cambria Math" w:cs="Arial"/>
                    <w:i/>
                    <w:color w:val="000000"/>
                    <w:lang w:val="en-CA"/>
                  </w:rPr>
                </m:ctrlPr>
              </m:sSubPr>
              <m:e>
                <m:r>
                  <w:rPr>
                    <w:rFonts w:ascii="Cambria Math" w:hAnsi="Cambria Math" w:cs="Arial"/>
                    <w:color w:val="000000"/>
                    <w:lang w:val="en-CA"/>
                  </w:rPr>
                  <m:t>K</m:t>
                </m:r>
              </m:e>
              <m:sub>
                <m:r>
                  <w:rPr>
                    <w:rFonts w:ascii="Cambria Math" w:hAnsi="Cambria Math" w:cs="Arial"/>
                    <w:color w:val="000000"/>
                    <w:lang w:val="en-CA"/>
                  </w:rPr>
                  <m:t>f</m:t>
                </m:r>
              </m:sub>
            </m:sSub>
          </m:e>
        </m:func>
      </m:oMath>
      <w:r w:rsidR="00FA30FA" w:rsidRPr="00447599">
        <w:rPr>
          <w:rFonts w:ascii="Times" w:hAnsi="Times" w:cs="Arial"/>
          <w:color w:val="000000"/>
          <w:lang w:val="en-CA"/>
        </w:rPr>
        <w:t xml:space="preserve"> (2)</w:t>
      </w:r>
    </w:p>
    <w:p w14:paraId="16867E2A" w14:textId="77777777" w:rsidR="00FA30FA" w:rsidRPr="00447599" w:rsidRDefault="00FA30FA" w:rsidP="003340EF">
      <w:pPr>
        <w:shd w:val="clear" w:color="auto" w:fill="FFFFFF"/>
        <w:spacing w:line="276" w:lineRule="auto"/>
        <w:jc w:val="both"/>
        <w:rPr>
          <w:rFonts w:ascii="Times" w:hAnsi="Times" w:cs="Arial"/>
          <w:color w:val="000000"/>
          <w:lang w:val="en-CA"/>
        </w:rPr>
      </w:pPr>
    </w:p>
    <w:p w14:paraId="40A2DA8A" w14:textId="77777777" w:rsidR="00FA30FA" w:rsidRPr="00447599" w:rsidRDefault="00FA30FA" w:rsidP="003340EF">
      <w:pPr>
        <w:shd w:val="clear" w:color="auto" w:fill="FFFFFF"/>
        <w:spacing w:line="276" w:lineRule="auto"/>
        <w:jc w:val="both"/>
        <w:rPr>
          <w:rFonts w:ascii="Times" w:hAnsi="Times" w:cstheme="majorBidi"/>
          <w:color w:val="000000" w:themeColor="text1"/>
          <w:lang w:val="en-CA"/>
        </w:rPr>
      </w:pPr>
      <w:r w:rsidRPr="00447599">
        <w:rPr>
          <w:rFonts w:ascii="Times" w:hAnsi="Times" w:cstheme="majorBidi"/>
          <w:color w:val="000000" w:themeColor="text1"/>
          <w:lang w:val="en-CA"/>
        </w:rPr>
        <w:t>Here, Q</w:t>
      </w:r>
      <w:r w:rsidRPr="00447599">
        <w:rPr>
          <w:rFonts w:ascii="Times" w:hAnsi="Times" w:cstheme="majorBidi"/>
          <w:color w:val="000000" w:themeColor="text1"/>
          <w:vertAlign w:val="subscript"/>
          <w:lang w:val="en-CA"/>
        </w:rPr>
        <w:t>o</w:t>
      </w:r>
      <w:r w:rsidRPr="00447599">
        <w:rPr>
          <w:rFonts w:ascii="Times" w:hAnsi="Times" w:cstheme="majorBidi"/>
          <w:color w:val="000000" w:themeColor="text1"/>
          <w:lang w:val="en-CA"/>
        </w:rPr>
        <w:t xml:space="preserve"> (mg/g) represents the maximum adsorption capacity of the soil;</w:t>
      </w:r>
      <w:r w:rsidRPr="00447599">
        <w:rPr>
          <w:rFonts w:ascii="Cambria Math" w:hAnsi="Cambria Math" w:cstheme="majorBidi"/>
          <w:i/>
          <w:color w:val="000000" w:themeColor="text1"/>
          <w:lang w:val="en-CA"/>
        </w:rPr>
        <w:t xml:space="preserve"> </w:t>
      </w:r>
      <m:oMath>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C</m:t>
            </m:r>
          </m:e>
          <m:sub>
            <m:r>
              <w:rPr>
                <w:rFonts w:ascii="Cambria Math" w:hAnsi="Cambria Math" w:cstheme="majorBidi"/>
                <w:color w:val="000000" w:themeColor="text1"/>
                <w:lang w:val="en-CA"/>
              </w:rPr>
              <m:t>e</m:t>
            </m:r>
          </m:sub>
        </m:sSub>
      </m:oMath>
      <w:r w:rsidRPr="00447599">
        <w:rPr>
          <w:rFonts w:ascii="Times" w:hAnsi="Times" w:cstheme="majorBidi"/>
          <w:color w:val="000000" w:themeColor="text1"/>
          <w:lang w:val="en-CA"/>
        </w:rPr>
        <w:t xml:space="preserve"> the concentration of pyrene at equilibrium after sorption (mgl</w:t>
      </w:r>
      <w:r w:rsidRPr="00447599">
        <w:rPr>
          <w:rFonts w:ascii="Times" w:hAnsi="Times" w:cstheme="majorBidi"/>
          <w:color w:val="000000" w:themeColor="text1"/>
          <w:vertAlign w:val="superscript"/>
          <w:lang w:val="en-CA"/>
        </w:rPr>
        <w:t>-1</w:t>
      </w:r>
      <w:r w:rsidRPr="00447599">
        <w:rPr>
          <w:rFonts w:ascii="Times" w:hAnsi="Times" w:cstheme="majorBidi"/>
          <w:color w:val="000000" w:themeColor="text1"/>
          <w:lang w:val="en-CA"/>
        </w:rPr>
        <w:t xml:space="preserve">); b represents the binding energy constant; </w:t>
      </w:r>
      <w:r w:rsidRPr="00447599">
        <w:rPr>
          <w:rFonts w:ascii="Times" w:hAnsi="Times" w:cstheme="majorBidi"/>
          <w:i/>
          <w:iCs/>
          <w:color w:val="000000" w:themeColor="text1"/>
          <w:lang w:val="en-CA"/>
        </w:rPr>
        <w:t>K</w:t>
      </w:r>
      <w:r w:rsidRPr="00447599">
        <w:rPr>
          <w:rFonts w:ascii="Times" w:hAnsi="Times" w:cstheme="majorBidi"/>
          <w:i/>
          <w:iCs/>
          <w:color w:val="000000" w:themeColor="text1"/>
          <w:vertAlign w:val="subscript"/>
          <w:lang w:val="en-CA"/>
        </w:rPr>
        <w:t>f</w:t>
      </w:r>
      <w:r w:rsidRPr="00447599">
        <w:rPr>
          <w:rFonts w:ascii="Times" w:hAnsi="Times" w:cstheme="majorBidi"/>
          <w:color w:val="000000" w:themeColor="text1"/>
          <w:vertAlign w:val="subscript"/>
          <w:lang w:val="en-CA"/>
        </w:rPr>
        <w:t xml:space="preserve">  </w:t>
      </w:r>
      <w:r w:rsidRPr="00447599">
        <w:rPr>
          <w:rFonts w:ascii="Times" w:hAnsi="Times" w:cstheme="majorBidi"/>
          <w:color w:val="000000" w:themeColor="text1"/>
          <w:lang w:val="en-CA"/>
        </w:rPr>
        <w:t>and n represent Freundlich isotherm constant (the capacity of the sorbent); and constant indicative of sorption intensity.</w:t>
      </w:r>
      <w:r w:rsidRPr="00447599">
        <w:rPr>
          <w:rFonts w:ascii="Times" w:hAnsi="Times" w:cstheme="majorBidi"/>
          <w:color w:val="000000" w:themeColor="text1"/>
          <w:lang w:bidi="fa-IR"/>
        </w:rPr>
        <w:t xml:space="preserve"> </w:t>
      </w:r>
      <w:r w:rsidRPr="00447599">
        <w:rPr>
          <w:rFonts w:ascii="Times" w:hAnsi="Times" w:cstheme="majorBidi"/>
          <w:color w:val="000000" w:themeColor="text1"/>
          <w:lang w:val="en-CA"/>
        </w:rPr>
        <w:t>These constants are calculated by regressing logarithms of the sorbed mass on soil particles (</w:t>
      </w:r>
      <m:oMath>
        <m:r>
          <w:rPr>
            <w:rStyle w:val="Emphasis"/>
            <w:rFonts w:ascii="Cambria Math" w:hAnsi="Cambria Math"/>
            <w:color w:val="2E2E2E"/>
            <w:sz w:val="27"/>
            <w:szCs w:val="27"/>
          </w:rPr>
          <m:t>M</m:t>
        </m:r>
        <m:r>
          <w:rPr>
            <w:rStyle w:val="Emphasis"/>
            <w:rFonts w:ascii="Cambria Math" w:hAnsi="Cambria Math"/>
            <w:color w:val="2E2E2E"/>
            <w:sz w:val="20"/>
            <w:szCs w:val="20"/>
            <w:vertAlign w:val="subscript"/>
          </w:rPr>
          <m:t>soil</m:t>
        </m:r>
      </m:oMath>
      <w:r w:rsidRPr="00447599">
        <w:rPr>
          <w:rFonts w:ascii="Times" w:hAnsi="Times" w:cstheme="majorBidi"/>
          <w:color w:val="000000" w:themeColor="text1"/>
          <w:lang w:val="en-CA"/>
        </w:rPr>
        <w:t>) and logarithms of the equilibrium pyrene concentration in the liquid phase (Ce).</w:t>
      </w:r>
    </w:p>
    <w:p w14:paraId="42A6AC56" w14:textId="77777777" w:rsidR="00FA30FA" w:rsidRPr="00447599" w:rsidRDefault="00FA30FA" w:rsidP="003340EF">
      <w:pPr>
        <w:shd w:val="clear" w:color="auto" w:fill="FFFFFF"/>
        <w:spacing w:line="276" w:lineRule="auto"/>
        <w:jc w:val="both"/>
        <w:rPr>
          <w:rFonts w:ascii="Times" w:hAnsi="Times" w:cstheme="majorBidi"/>
          <w:color w:val="000000" w:themeColor="text1"/>
          <w:lang w:val="en-CA"/>
        </w:rPr>
      </w:pPr>
      <w:r w:rsidRPr="00447599">
        <w:rPr>
          <w:rFonts w:ascii="Times" w:hAnsi="Times" w:cstheme="majorBidi"/>
          <w:color w:val="000000" w:themeColor="text1"/>
          <w:lang w:val="en-CA"/>
        </w:rPr>
        <w:t>The DRM describes sorption as a function of both linear and nonlinear isotherms. In this case, the linear isotherm is represented by Eqs. (1) and (2), and the non-linear isotherm by Eq. (3). The DRM in Eq. (3) can be calculated by combining Eqs. (4) and (6). (7).</w:t>
      </w:r>
    </w:p>
    <w:p w14:paraId="0F2E2EAB" w14:textId="77777777" w:rsidR="00FA30FA" w:rsidRPr="00447599" w:rsidRDefault="00FA30FA" w:rsidP="003340EF">
      <w:pPr>
        <w:shd w:val="clear" w:color="auto" w:fill="FFFFFF"/>
        <w:spacing w:line="276" w:lineRule="auto"/>
        <w:jc w:val="both"/>
        <w:textAlignment w:val="baseline"/>
        <w:rPr>
          <w:rFonts w:ascii="Times" w:hAnsi="Times" w:cstheme="majorBidi"/>
          <w:color w:val="000000" w:themeColor="text1"/>
          <w:lang w:val="en-CA"/>
        </w:rPr>
      </w:pPr>
      <m:oMath>
        <m:r>
          <w:rPr>
            <w:rStyle w:val="Emphasis"/>
            <w:rFonts w:ascii="Cambria Math" w:hAnsi="Cambria Math"/>
            <w:color w:val="2E2E2E"/>
            <w:sz w:val="27"/>
            <w:szCs w:val="27"/>
          </w:rPr>
          <m:t>M</m:t>
        </m:r>
        <m:r>
          <w:rPr>
            <w:rStyle w:val="Emphasis"/>
            <w:rFonts w:ascii="Cambria Math" w:hAnsi="Cambria Math"/>
            <w:color w:val="2E2E2E"/>
            <w:sz w:val="20"/>
            <w:szCs w:val="20"/>
            <w:vertAlign w:val="subscript"/>
          </w:rPr>
          <m:t>soil</m:t>
        </m:r>
        <m:r>
          <w:rPr>
            <w:rFonts w:ascii="Cambria Math" w:hAnsi="Cambria Math" w:cstheme="majorBidi"/>
            <w:color w:val="000000" w:themeColor="text1"/>
            <w:lang w:val="en-CA"/>
          </w:rPr>
          <m:t>=</m:t>
        </m:r>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x</m:t>
            </m:r>
          </m:e>
          <m:sub>
            <m:r>
              <w:rPr>
                <w:rFonts w:ascii="Cambria Math" w:hAnsi="Cambria Math" w:cstheme="majorBidi"/>
                <w:color w:val="000000" w:themeColor="text1"/>
                <w:lang w:val="en-CA"/>
              </w:rPr>
              <m:t>i</m:t>
            </m:r>
          </m:sub>
        </m:sSub>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K</m:t>
            </m:r>
          </m:e>
          <m:sub>
            <m:r>
              <w:rPr>
                <w:rFonts w:ascii="Cambria Math" w:hAnsi="Cambria Math" w:cstheme="majorBidi"/>
                <w:color w:val="000000" w:themeColor="text1"/>
                <w:lang w:val="en-CA"/>
              </w:rPr>
              <m:t>D</m:t>
            </m:r>
          </m:sub>
        </m:sSub>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C</m:t>
            </m:r>
          </m:e>
          <m:sub>
            <m:r>
              <w:rPr>
                <w:rFonts w:ascii="Cambria Math" w:hAnsi="Cambria Math" w:cstheme="majorBidi"/>
                <w:color w:val="000000" w:themeColor="text1"/>
                <w:lang w:val="en-CA"/>
              </w:rPr>
              <m:t>e</m:t>
            </m:r>
          </m:sub>
        </m:sSub>
        <m:r>
          <w:rPr>
            <w:rFonts w:ascii="Cambria Math" w:hAnsi="Cambria Math" w:cstheme="majorBidi"/>
            <w:color w:val="000000" w:themeColor="text1"/>
            <w:lang w:val="en-CA"/>
          </w:rPr>
          <m:t>+</m:t>
        </m:r>
        <m:nary>
          <m:naryPr>
            <m:chr m:val="∑"/>
            <m:limLoc m:val="undOvr"/>
            <m:ctrlPr>
              <w:rPr>
                <w:rFonts w:ascii="Cambria Math" w:hAnsi="Cambria Math" w:cstheme="majorBidi"/>
                <w:i/>
                <w:color w:val="000000" w:themeColor="text1"/>
                <w:lang w:val="en-CA"/>
              </w:rPr>
            </m:ctrlPr>
          </m:naryPr>
          <m:sub>
            <m:r>
              <w:rPr>
                <w:rFonts w:ascii="Cambria Math" w:hAnsi="Cambria Math" w:cstheme="majorBidi"/>
                <w:color w:val="000000" w:themeColor="text1"/>
                <w:lang w:val="en-CA"/>
              </w:rPr>
              <m:t>i=1</m:t>
            </m:r>
          </m:sub>
          <m:sup>
            <m:r>
              <w:rPr>
                <w:rFonts w:ascii="Cambria Math" w:hAnsi="Cambria Math" w:cstheme="majorBidi"/>
                <w:color w:val="000000" w:themeColor="text1"/>
                <w:lang w:val="en-CA"/>
              </w:rPr>
              <m:t>m</m:t>
            </m:r>
          </m:sup>
          <m:e>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m:t>
                </m:r>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x</m:t>
                    </m:r>
                  </m:e>
                  <m:sub>
                    <m:r>
                      <w:rPr>
                        <w:rFonts w:ascii="Cambria Math" w:hAnsi="Cambria Math" w:cstheme="majorBidi"/>
                        <w:color w:val="000000" w:themeColor="text1"/>
                        <w:lang w:val="en-CA"/>
                      </w:rPr>
                      <m:t>nl</m:t>
                    </m:r>
                  </m:sub>
                </m:sSub>
                <m:r>
                  <w:rPr>
                    <w:rFonts w:ascii="Cambria Math" w:hAnsi="Cambria Math" w:cstheme="majorBidi"/>
                    <w:color w:val="000000" w:themeColor="text1"/>
                    <w:lang w:val="en-CA"/>
                  </w:rPr>
                  <m:t>)</m:t>
                </m:r>
              </m:e>
              <m:sub>
                <m:r>
                  <w:rPr>
                    <w:rFonts w:ascii="Cambria Math" w:hAnsi="Cambria Math" w:cstheme="majorBidi"/>
                    <w:color w:val="000000" w:themeColor="text1"/>
                    <w:lang w:val="en-CA"/>
                  </w:rPr>
                  <m:t>i</m:t>
                </m:r>
              </m:sub>
            </m:sSub>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K</m:t>
                </m:r>
              </m:e>
              <m:sub>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F</m:t>
                    </m:r>
                  </m:e>
                  <m:sub>
                    <m:r>
                      <w:rPr>
                        <w:rFonts w:ascii="Cambria Math" w:hAnsi="Cambria Math" w:cstheme="majorBidi"/>
                        <w:color w:val="000000" w:themeColor="text1"/>
                        <w:lang w:val="en-CA"/>
                      </w:rPr>
                      <m:t>i</m:t>
                    </m:r>
                  </m:sub>
                </m:sSub>
              </m:sub>
            </m:sSub>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C</m:t>
                </m:r>
              </m:e>
              <m:sub>
                <m:r>
                  <w:rPr>
                    <w:rFonts w:ascii="Cambria Math" w:hAnsi="Cambria Math" w:cstheme="majorBidi"/>
                    <w:color w:val="000000" w:themeColor="text1"/>
                    <w:lang w:val="en-CA"/>
                  </w:rPr>
                  <m:t>e</m:t>
                </m:r>
              </m:sub>
            </m:sSub>
          </m:e>
        </m:nary>
      </m:oMath>
      <w:r w:rsidRPr="00447599">
        <w:rPr>
          <w:rFonts w:ascii="Times" w:hAnsi="Times" w:cstheme="majorBidi"/>
          <w:color w:val="000000" w:themeColor="text1"/>
          <w:lang w:val="en-CA"/>
        </w:rPr>
        <w:t xml:space="preserve"> (3)</w:t>
      </w:r>
    </w:p>
    <w:p w14:paraId="79C11E46" w14:textId="21C1BDF4" w:rsidR="00FA30FA" w:rsidRPr="00447599" w:rsidRDefault="00F24CA7" w:rsidP="003340EF">
      <w:pPr>
        <w:spacing w:line="276" w:lineRule="auto"/>
        <w:jc w:val="both"/>
        <w:rPr>
          <w:rFonts w:ascii="Times" w:hAnsi="Times"/>
          <w:color w:val="000000"/>
          <w:shd w:val="clear" w:color="auto" w:fill="FFFFFF"/>
        </w:rPr>
      </w:pPr>
      <m:oMath>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x</m:t>
            </m:r>
          </m:e>
          <m:sub>
            <m:r>
              <w:rPr>
                <w:rFonts w:ascii="Cambria Math" w:hAnsi="Cambria Math" w:cstheme="majorBidi"/>
                <w:color w:val="000000" w:themeColor="text1"/>
                <w:lang w:val="en-CA"/>
              </w:rPr>
              <m:t>i</m:t>
            </m:r>
          </m:sub>
        </m:sSub>
      </m:oMath>
      <w:r w:rsidR="00FA30FA" w:rsidRPr="00447599">
        <w:rPr>
          <w:rFonts w:ascii="Times" w:hAnsi="Times" w:cstheme="majorBidi"/>
          <w:color w:val="000000" w:themeColor="text1"/>
          <w:lang w:val="en-CA"/>
        </w:rPr>
        <w:t xml:space="preserve"> represents the summed mass fraction of a solid phase exhibiting linear sorptions, and </w:t>
      </w:r>
      <m:oMath>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m:t>
            </m:r>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x</m:t>
                </m:r>
              </m:e>
              <m:sub>
                <m:r>
                  <w:rPr>
                    <w:rFonts w:ascii="Cambria Math" w:hAnsi="Cambria Math" w:cstheme="majorBidi"/>
                    <w:color w:val="000000" w:themeColor="text1"/>
                    <w:lang w:val="en-CA"/>
                  </w:rPr>
                  <m:t>nl</m:t>
                </m:r>
              </m:sub>
            </m:sSub>
            <m:r>
              <w:rPr>
                <w:rFonts w:ascii="Cambria Math" w:hAnsi="Cambria Math" w:cstheme="majorBidi"/>
                <w:color w:val="000000" w:themeColor="text1"/>
                <w:lang w:val="en-CA"/>
              </w:rPr>
              <m:t>)</m:t>
            </m:r>
          </m:e>
          <m:sub>
            <m:r>
              <w:rPr>
                <w:rFonts w:ascii="Cambria Math" w:hAnsi="Cambria Math" w:cstheme="majorBidi"/>
                <w:color w:val="000000" w:themeColor="text1"/>
                <w:lang w:val="en-CA"/>
              </w:rPr>
              <m:t>i</m:t>
            </m:r>
          </m:sub>
        </m:sSub>
      </m:oMath>
      <w:r w:rsidR="00FA30FA" w:rsidRPr="00447599">
        <w:rPr>
          <w:rFonts w:ascii="Times" w:hAnsi="Times" w:cstheme="majorBidi"/>
          <w:color w:val="000000" w:themeColor="text1"/>
          <w:lang w:val="en-CA"/>
        </w:rPr>
        <w:t xml:space="preserve"> represents the mass fraction of a solid phase that exhibits nonlinear sorptions, </w:t>
      </w:r>
      <m:oMath>
        <m:sSub>
          <m:sSubPr>
            <m:ctrlPr>
              <w:rPr>
                <w:rFonts w:ascii="Cambria Math" w:hAnsi="Cambria Math" w:cstheme="majorBidi"/>
                <w:i/>
                <w:color w:val="000000" w:themeColor="text1"/>
                <w:lang w:val="en-CA"/>
              </w:rPr>
            </m:ctrlPr>
          </m:sSubPr>
          <m:e>
            <m:r>
              <w:rPr>
                <w:rFonts w:ascii="Cambria Math" w:hAnsi="Cambria Math" w:cstheme="majorBidi"/>
                <w:color w:val="000000" w:themeColor="text1"/>
                <w:lang w:val="en-CA"/>
              </w:rPr>
              <m:t>K</m:t>
            </m:r>
          </m:e>
          <m:sub>
            <m:r>
              <w:rPr>
                <w:rFonts w:ascii="Cambria Math" w:hAnsi="Cambria Math" w:cstheme="majorBidi"/>
                <w:color w:val="000000" w:themeColor="text1"/>
                <w:lang w:val="en-CA"/>
              </w:rPr>
              <m:t>D</m:t>
            </m:r>
          </m:sub>
        </m:sSub>
      </m:oMath>
      <w:r w:rsidR="00FA30FA" w:rsidRPr="00447599">
        <w:rPr>
          <w:rFonts w:ascii="Times" w:hAnsi="Times" w:cstheme="majorBidi"/>
          <w:color w:val="000000" w:themeColor="text1"/>
          <w:lang w:val="en-CA"/>
        </w:rPr>
        <w:t xml:space="preserve">is </w:t>
      </w:r>
      <w:r w:rsidR="00FA30FA" w:rsidRPr="00447599">
        <w:rPr>
          <w:rFonts w:ascii="Calibri" w:hAnsi="Calibri" w:cs="Calibri"/>
          <w:color w:val="000000" w:themeColor="text1"/>
          <w:lang w:val="en-CA"/>
        </w:rPr>
        <w:t>﻿</w:t>
      </w:r>
      <w:r w:rsidR="00FA30FA" w:rsidRPr="00447599">
        <w:rPr>
          <w:rFonts w:ascii="Times" w:hAnsi="Times" w:cstheme="majorBidi"/>
          <w:color w:val="000000" w:themeColor="text1"/>
          <w:lang w:val="en-CA"/>
        </w:rPr>
        <w:t xml:space="preserve">the mass-averaged partition coefficient for the summed linear components. A Freundlich isotherm model was used for multi-component adsorption systems to investigate the effect of the presence of enzymes in the solution on the adsorption of pyrene and subsequently the distribution of pyrene in soil as described in our previous work. </w:t>
      </w:r>
      <w:r w:rsidR="00FA30FA" w:rsidRPr="00447599">
        <w:rPr>
          <w:rFonts w:ascii="Times" w:hAnsi="Times" w:cstheme="majorBidi"/>
          <w:color w:val="000000" w:themeColor="text1"/>
          <w:lang w:val="en-CA"/>
        </w:rPr>
        <w:fldChar w:fldCharType="begin"/>
      </w:r>
      <w:r w:rsidR="00017A0C" w:rsidRPr="00447599">
        <w:rPr>
          <w:rFonts w:ascii="Times" w:hAnsi="Times" w:cstheme="majorBidi"/>
          <w:color w:val="000000" w:themeColor="text1"/>
          <w:lang w:val="en-CA"/>
        </w:rPr>
        <w:instrText xml:space="preserve"> ADDIN EN.CITE &lt;EndNote&gt;&lt;Cite&gt;&lt;Author&gt;Miri&lt;/Author&gt;&lt;Year&gt;2022&lt;/Year&gt;&lt;RecNum&gt;201&lt;/RecNum&gt;&lt;DisplayText&gt;&lt;style face="superscript"&gt;19&lt;/style&gt;&lt;/DisplayText&gt;&lt;record&gt;&lt;rec-number&gt;201&lt;/rec-number&gt;&lt;foreign-keys&gt;&lt;key app="EN" db-id="e29dz2seoxz0a5es2wbveszlv0aaex2r2sra" timestamp="1659989090"&gt;201&lt;/key&gt;&lt;/foreign-keys&gt;&lt;ref-type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Materials&lt;/full-title&gt;&lt;/periodical&gt;&lt;pages&gt;127099&lt;/pages&gt;&lt;volume&gt;423&lt;/volume&gt;&lt;dates&gt;&lt;year&gt;2022&lt;/year&gt;&lt;/dates&gt;&lt;isbn&gt;0304-3894&lt;/isbn&gt;&lt;urls&gt;&lt;/urls&gt;&lt;/record&gt;&lt;/Cite&gt;&lt;/EndNote&gt;</w:instrText>
      </w:r>
      <w:r w:rsidR="00FA30FA" w:rsidRPr="00447599">
        <w:rPr>
          <w:rFonts w:ascii="Times" w:hAnsi="Times" w:cstheme="majorBidi"/>
          <w:color w:val="000000" w:themeColor="text1"/>
          <w:lang w:val="en-CA"/>
        </w:rPr>
        <w:fldChar w:fldCharType="separate"/>
      </w:r>
      <w:r w:rsidR="00017A0C" w:rsidRPr="00447599">
        <w:rPr>
          <w:rFonts w:ascii="Times" w:hAnsi="Times" w:cstheme="majorBidi"/>
          <w:noProof/>
          <w:color w:val="000000" w:themeColor="text1"/>
          <w:vertAlign w:val="superscript"/>
          <w:lang w:val="en-CA"/>
        </w:rPr>
        <w:t>19</w:t>
      </w:r>
      <w:r w:rsidR="00FA30FA" w:rsidRPr="00447599">
        <w:rPr>
          <w:rFonts w:ascii="Times" w:hAnsi="Times" w:cstheme="majorBidi"/>
          <w:color w:val="000000" w:themeColor="text1"/>
          <w:lang w:val="en-CA"/>
        </w:rPr>
        <w:fldChar w:fldCharType="end"/>
      </w:r>
      <w:r w:rsidR="00FA30FA" w:rsidRPr="00447599">
        <w:rPr>
          <w:rFonts w:ascii="Times" w:hAnsi="Times"/>
          <w:color w:val="000000"/>
          <w:shd w:val="clear" w:color="auto" w:fill="FFFFFF"/>
        </w:rPr>
        <w:t xml:space="preserve"> Based on the definition of the error function (standard deviation of relative errors) described in our previous work, we calculated the minimum error distribution between the predicted isotherm and experimental data using a non-linear regression method as described in our previous work. To investigate the effect of enzyme content on pyrene adsorption, the experimental data were analyzed statistically by hypothesis testing using the Chi-square test (</w:t>
      </w:r>
      <m:oMath>
        <m:r>
          <w:rPr>
            <w:rFonts w:ascii="Cambria Math" w:hAnsi="Cambria Math"/>
            <w:color w:val="000000"/>
            <w:shd w:val="clear" w:color="auto" w:fill="FFFFFF"/>
          </w:rPr>
          <m:t>χ</m:t>
        </m:r>
      </m:oMath>
      <w:r w:rsidR="00FA30FA" w:rsidRPr="00447599">
        <w:rPr>
          <w:rFonts w:ascii="Times" w:hAnsi="Times"/>
          <w:color w:val="000000"/>
          <w:shd w:val="clear" w:color="auto" w:fill="FFFFFF"/>
        </w:rPr>
        <w:t xml:space="preserve">). The null hypothesis Ho is that pyrene adsorption increases with increasing enzyme content. Alternative hypothesis Ha: enzymes decrease pyrene adsorption (Kaushal and Singh, 2017). </w:t>
      </w:r>
    </w:p>
    <w:p w14:paraId="00B36090" w14:textId="77777777" w:rsidR="00FA30FA" w:rsidRPr="00447599" w:rsidRDefault="00F24CA7" w:rsidP="003340EF">
      <w:pPr>
        <w:spacing w:line="276" w:lineRule="auto"/>
        <w:jc w:val="both"/>
        <w:rPr>
          <w:rFonts w:ascii="Times" w:hAnsi="Times"/>
          <w:color w:val="000000"/>
          <w:shd w:val="clear" w:color="auto" w:fill="FFFFFF"/>
        </w:rPr>
      </w:pPr>
      <m:oMath>
        <m:sSup>
          <m:sSupPr>
            <m:ctrlPr>
              <w:rPr>
                <w:rFonts w:ascii="Cambria Math" w:hAnsi="Cambria Math"/>
                <w:i/>
                <w:color w:val="000000"/>
                <w:shd w:val="clear" w:color="auto" w:fill="FFFFFF"/>
              </w:rPr>
            </m:ctrlPr>
          </m:sSupPr>
          <m:e>
            <m:r>
              <w:rPr>
                <w:rFonts w:ascii="Cambria Math" w:hAnsi="Cambria Math"/>
                <w:color w:val="000000"/>
                <w:shd w:val="clear" w:color="auto" w:fill="FFFFFF"/>
              </w:rPr>
              <m:t>χ</m:t>
            </m:r>
          </m:e>
          <m:sup>
            <m:r>
              <w:rPr>
                <w:rFonts w:ascii="Cambria Math" w:hAnsi="Cambria Math"/>
                <w:color w:val="000000"/>
                <w:shd w:val="clear" w:color="auto" w:fill="FFFFFF"/>
              </w:rPr>
              <m:t>2</m:t>
            </m:r>
          </m:sup>
        </m:sSup>
        <m:r>
          <w:rPr>
            <w:rFonts w:ascii="Cambria Math" w:hAnsi="Cambria Math"/>
            <w:color w:val="000000"/>
            <w:shd w:val="clear" w:color="auto" w:fill="FFFFFF"/>
          </w:rPr>
          <m:t xml:space="preserve">= </m:t>
        </m:r>
        <m:nary>
          <m:naryPr>
            <m:chr m:val="∑"/>
            <m:limLoc m:val="undOvr"/>
            <m:ctrlPr>
              <w:rPr>
                <w:rFonts w:ascii="Cambria Math" w:hAnsi="Cambria Math"/>
                <w:i/>
                <w:color w:val="000000"/>
                <w:shd w:val="clear" w:color="auto" w:fill="FFFFFF"/>
              </w:rPr>
            </m:ctrlPr>
          </m:naryPr>
          <m:sub>
            <m:r>
              <w:rPr>
                <w:rFonts w:ascii="Cambria Math" w:hAnsi="Cambria Math"/>
                <w:color w:val="000000"/>
                <w:shd w:val="clear" w:color="auto" w:fill="FFFFFF"/>
              </w:rPr>
              <m:t>i=1</m:t>
            </m:r>
          </m:sub>
          <m:sup>
            <m:r>
              <w:rPr>
                <w:rFonts w:ascii="Cambria Math" w:hAnsi="Cambria Math"/>
                <w:color w:val="000000"/>
                <w:shd w:val="clear" w:color="auto" w:fill="FFFFFF"/>
              </w:rPr>
              <m:t>n</m:t>
            </m:r>
          </m:sup>
          <m:e>
            <m:f>
              <m:fPr>
                <m:ctrlPr>
                  <w:rPr>
                    <w:rFonts w:ascii="Cambria Math" w:hAnsi="Cambria Math"/>
                    <w:i/>
                    <w:color w:val="000000"/>
                    <w:shd w:val="clear" w:color="auto" w:fill="FFFFFF"/>
                  </w:rPr>
                </m:ctrlPr>
              </m:fPr>
              <m:num>
                <m:nary>
                  <m:naryPr>
                    <m:chr m:val="∑"/>
                    <m:limLoc m:val="undOvr"/>
                    <m:subHide m:val="1"/>
                    <m:supHide m:val="1"/>
                    <m:ctrlPr>
                      <w:rPr>
                        <w:rFonts w:ascii="Cambria Math" w:hAnsi="Cambria Math"/>
                        <w:i/>
                        <w:color w:val="000000"/>
                        <w:shd w:val="clear" w:color="auto" w:fill="FFFFFF"/>
                      </w:rPr>
                    </m:ctrlPr>
                  </m:naryPr>
                  <m:sub/>
                  <m:sup/>
                  <m:e>
                    <m:sSup>
                      <m:sSupPr>
                        <m:ctrlPr>
                          <w:rPr>
                            <w:rFonts w:ascii="Cambria Math" w:hAnsi="Cambria Math"/>
                            <w:i/>
                            <w:color w:val="000000"/>
                            <w:shd w:val="clear" w:color="auto" w:fill="FFFFFF"/>
                          </w:rPr>
                        </m:ctrlPr>
                      </m:sSupPr>
                      <m:e>
                        <m:d>
                          <m:dPr>
                            <m:ctrlPr>
                              <w:rPr>
                                <w:rFonts w:ascii="Cambria Math" w:hAnsi="Cambria Math"/>
                                <w:i/>
                                <w:color w:val="000000"/>
                                <w:shd w:val="clear" w:color="auto" w:fill="FFFFFF"/>
                              </w:rPr>
                            </m:ctrlPr>
                          </m:dPr>
                          <m:e>
                            <m:sSub>
                              <m:sSubPr>
                                <m:ctrlPr>
                                  <w:rPr>
                                    <w:rFonts w:ascii="Cambria Math" w:hAnsi="Cambria Math"/>
                                    <w:i/>
                                    <w:color w:val="000000"/>
                                    <w:shd w:val="clear" w:color="auto" w:fill="FFFFFF"/>
                                  </w:rPr>
                                </m:ctrlPr>
                              </m:sSubPr>
                              <m:e>
                                <m:r>
                                  <w:rPr>
                                    <w:rFonts w:ascii="Cambria Math" w:hAnsi="Cambria Math"/>
                                    <w:color w:val="000000"/>
                                    <w:shd w:val="clear" w:color="auto" w:fill="FFFFFF"/>
                                  </w:rPr>
                                  <m:t>q</m:t>
                                </m:r>
                              </m:e>
                              <m:sub>
                                <m:r>
                                  <w:rPr>
                                    <w:rFonts w:ascii="Cambria Math" w:hAnsi="Cambria Math"/>
                                    <w:color w:val="000000"/>
                                    <w:shd w:val="clear" w:color="auto" w:fill="FFFFFF"/>
                                  </w:rPr>
                                  <m:t>calc</m:t>
                                </m:r>
                              </m:sub>
                            </m:sSub>
                            <m:r>
                              <w:rPr>
                                <w:rFonts w:ascii="Cambria Math" w:hAnsi="Cambria Math"/>
                                <w:color w:val="000000"/>
                                <w:shd w:val="clear" w:color="auto" w:fill="FFFFFF"/>
                              </w:rPr>
                              <m:t>-</m:t>
                            </m:r>
                            <m:sSub>
                              <m:sSubPr>
                                <m:ctrlPr>
                                  <w:rPr>
                                    <w:rFonts w:ascii="Cambria Math" w:hAnsi="Cambria Math"/>
                                    <w:i/>
                                    <w:color w:val="000000"/>
                                    <w:shd w:val="clear" w:color="auto" w:fill="FFFFFF"/>
                                  </w:rPr>
                                </m:ctrlPr>
                              </m:sSubPr>
                              <m:e>
                                <m:r>
                                  <w:rPr>
                                    <w:rFonts w:ascii="Cambria Math" w:hAnsi="Cambria Math"/>
                                    <w:color w:val="000000"/>
                                    <w:shd w:val="clear" w:color="auto" w:fill="FFFFFF"/>
                                  </w:rPr>
                                  <m:t>q</m:t>
                                </m:r>
                              </m:e>
                              <m:sub>
                                <m:r>
                                  <w:rPr>
                                    <w:rFonts w:ascii="Cambria Math" w:hAnsi="Cambria Math"/>
                                    <w:color w:val="000000"/>
                                    <w:shd w:val="clear" w:color="auto" w:fill="FFFFFF"/>
                                  </w:rPr>
                                  <m:t>exp</m:t>
                                </m:r>
                              </m:sub>
                            </m:sSub>
                          </m:e>
                        </m:d>
                      </m:e>
                      <m:sup>
                        <m:r>
                          <w:rPr>
                            <w:rFonts w:ascii="Cambria Math" w:hAnsi="Cambria Math"/>
                            <w:color w:val="000000"/>
                            <w:shd w:val="clear" w:color="auto" w:fill="FFFFFF"/>
                          </w:rPr>
                          <m:t>2</m:t>
                        </m:r>
                      </m:sup>
                    </m:sSup>
                  </m:e>
                </m:nary>
              </m:num>
              <m:den>
                <m:sSub>
                  <m:sSubPr>
                    <m:ctrlPr>
                      <w:rPr>
                        <w:rFonts w:ascii="Cambria Math" w:hAnsi="Cambria Math"/>
                        <w:i/>
                        <w:color w:val="000000"/>
                        <w:shd w:val="clear" w:color="auto" w:fill="FFFFFF"/>
                      </w:rPr>
                    </m:ctrlPr>
                  </m:sSubPr>
                  <m:e>
                    <m:r>
                      <w:rPr>
                        <w:rFonts w:ascii="Cambria Math" w:hAnsi="Cambria Math"/>
                        <w:color w:val="000000"/>
                        <w:shd w:val="clear" w:color="auto" w:fill="FFFFFF"/>
                      </w:rPr>
                      <m:t>q</m:t>
                    </m:r>
                  </m:e>
                  <m:sub>
                    <m:r>
                      <w:rPr>
                        <w:rFonts w:ascii="Cambria Math" w:hAnsi="Cambria Math"/>
                        <w:color w:val="000000"/>
                        <w:shd w:val="clear" w:color="auto" w:fill="FFFFFF"/>
                      </w:rPr>
                      <m:t>exp</m:t>
                    </m:r>
                  </m:sub>
                </m:sSub>
              </m:den>
            </m:f>
          </m:e>
        </m:nary>
      </m:oMath>
      <w:r w:rsidR="00FA30FA" w:rsidRPr="00447599">
        <w:rPr>
          <w:rFonts w:ascii="Times" w:hAnsi="Times"/>
          <w:color w:val="000000"/>
          <w:shd w:val="clear" w:color="auto" w:fill="FFFFFF"/>
        </w:rPr>
        <w:t xml:space="preserve">  (10)</w:t>
      </w:r>
    </w:p>
    <w:p w14:paraId="7C8C34F9" w14:textId="77777777" w:rsidR="00FA30FA" w:rsidRPr="00447599" w:rsidRDefault="00FA30FA" w:rsidP="003340EF">
      <w:pPr>
        <w:spacing w:line="276" w:lineRule="auto"/>
        <w:jc w:val="both"/>
        <w:rPr>
          <w:rFonts w:ascii="Times" w:hAnsi="Times"/>
          <w:color w:val="000000"/>
          <w:shd w:val="clear" w:color="auto" w:fill="FFFFFF"/>
        </w:rPr>
      </w:pPr>
      <w:r w:rsidRPr="00447599">
        <w:rPr>
          <w:rFonts w:ascii="Times" w:hAnsi="Times"/>
          <w:color w:val="000000"/>
          <w:shd w:val="clear" w:color="auto" w:fill="FFFFFF"/>
        </w:rPr>
        <w:t xml:space="preserve">Where n is the number of observations in the experimental data; </w:t>
      </w:r>
      <m:oMath>
        <m:sSub>
          <m:sSubPr>
            <m:ctrlPr>
              <w:rPr>
                <w:rFonts w:ascii="Cambria Math" w:hAnsi="Cambria Math"/>
                <w:i/>
                <w:color w:val="000000"/>
                <w:shd w:val="clear" w:color="auto" w:fill="FFFFFF"/>
              </w:rPr>
            </m:ctrlPr>
          </m:sSubPr>
          <m:e>
            <m:r>
              <w:rPr>
                <w:rFonts w:ascii="Cambria Math" w:hAnsi="Cambria Math"/>
                <w:color w:val="000000"/>
                <w:shd w:val="clear" w:color="auto" w:fill="FFFFFF"/>
              </w:rPr>
              <m:t>q</m:t>
            </m:r>
          </m:e>
          <m:sub>
            <m:r>
              <w:rPr>
                <w:rFonts w:ascii="Cambria Math" w:hAnsi="Cambria Math"/>
                <w:color w:val="000000"/>
                <w:shd w:val="clear" w:color="auto" w:fill="FFFFFF"/>
              </w:rPr>
              <m:t>calc</m:t>
            </m:r>
          </m:sub>
        </m:sSub>
      </m:oMath>
      <w:r w:rsidRPr="00447599">
        <w:rPr>
          <w:rFonts w:ascii="Times" w:hAnsi="Times"/>
          <w:color w:val="000000"/>
          <w:shd w:val="clear" w:color="auto" w:fill="FFFFFF"/>
        </w:rPr>
        <w:t xml:space="preserve"> (mg/g) and </w:t>
      </w:r>
      <m:oMath>
        <m:sSub>
          <m:sSubPr>
            <m:ctrlPr>
              <w:rPr>
                <w:rFonts w:ascii="Cambria Math" w:hAnsi="Cambria Math"/>
                <w:i/>
                <w:color w:val="000000"/>
                <w:shd w:val="clear" w:color="auto" w:fill="FFFFFF"/>
              </w:rPr>
            </m:ctrlPr>
          </m:sSubPr>
          <m:e>
            <m:r>
              <w:rPr>
                <w:rFonts w:ascii="Cambria Math" w:hAnsi="Cambria Math"/>
                <w:color w:val="000000"/>
                <w:shd w:val="clear" w:color="auto" w:fill="FFFFFF"/>
              </w:rPr>
              <m:t>q</m:t>
            </m:r>
          </m:e>
          <m:sub>
            <m:r>
              <w:rPr>
                <w:rFonts w:ascii="Cambria Math" w:hAnsi="Cambria Math"/>
                <w:color w:val="000000"/>
                <w:shd w:val="clear" w:color="auto" w:fill="FFFFFF"/>
              </w:rPr>
              <m:t>exp</m:t>
            </m:r>
          </m:sub>
        </m:sSub>
      </m:oMath>
      <w:r w:rsidRPr="00447599">
        <w:rPr>
          <w:rFonts w:ascii="Times" w:hAnsi="Times"/>
          <w:color w:val="000000"/>
          <w:shd w:val="clear" w:color="auto" w:fill="FFFFFF"/>
        </w:rPr>
        <w:t xml:space="preserve"> (mg/g)  are, theoretically calculated and experimental adsorption capacity at equilibrium, respectively.</w:t>
      </w:r>
    </w:p>
    <w:p w14:paraId="7D93F192" w14:textId="77777777" w:rsidR="00FA30FA" w:rsidRPr="00447599" w:rsidRDefault="00FA30FA" w:rsidP="003340EF">
      <w:pPr>
        <w:spacing w:line="276" w:lineRule="auto"/>
        <w:jc w:val="both"/>
        <w:rPr>
          <w:rFonts w:cstheme="minorHAnsi"/>
          <w:color w:val="000000" w:themeColor="text1"/>
        </w:rPr>
      </w:pPr>
    </w:p>
    <w:p w14:paraId="24CA404F" w14:textId="77777777" w:rsidR="00186397" w:rsidRPr="00447599" w:rsidRDefault="00186397" w:rsidP="003340EF">
      <w:pPr>
        <w:spacing w:line="276" w:lineRule="auto"/>
        <w:jc w:val="both"/>
        <w:rPr>
          <w:rFonts w:cstheme="minorHAnsi"/>
          <w:color w:val="000000" w:themeColor="text1"/>
        </w:rPr>
      </w:pPr>
    </w:p>
    <w:p w14:paraId="10A4B70D" w14:textId="77777777" w:rsidR="00186397" w:rsidRPr="00447599" w:rsidRDefault="00186397" w:rsidP="003340EF">
      <w:pPr>
        <w:spacing w:line="276" w:lineRule="auto"/>
        <w:jc w:val="both"/>
        <w:rPr>
          <w:rFonts w:cstheme="minorHAnsi"/>
          <w:color w:val="000000" w:themeColor="text1"/>
        </w:rPr>
      </w:pPr>
    </w:p>
    <w:p w14:paraId="2157ACC4" w14:textId="7837ED1D" w:rsidR="00186397" w:rsidRPr="00447599" w:rsidRDefault="00186397" w:rsidP="003340EF">
      <w:pPr>
        <w:spacing w:line="276" w:lineRule="auto"/>
        <w:jc w:val="both"/>
        <w:rPr>
          <w:rFonts w:ascii="Times" w:hAnsi="Times" w:cstheme="majorBidi"/>
          <w:b/>
          <w:bCs/>
          <w:color w:val="000000" w:themeColor="text1"/>
        </w:rPr>
      </w:pPr>
      <w:r w:rsidRPr="00447599">
        <w:rPr>
          <w:rFonts w:cstheme="minorHAnsi"/>
          <w:b/>
          <w:bCs/>
          <w:color w:val="000000" w:themeColor="text1"/>
        </w:rPr>
        <w:t xml:space="preserve">S11 Effect of </w:t>
      </w:r>
      <w:r w:rsidR="00F91909" w:rsidRPr="00447599">
        <w:rPr>
          <w:rFonts w:cstheme="minorHAnsi"/>
          <w:b/>
          <w:bCs/>
          <w:color w:val="000000" w:themeColor="text1"/>
        </w:rPr>
        <w:t>inducers and consortia on enzyme activity</w:t>
      </w:r>
    </w:p>
    <w:p w14:paraId="7DE25227" w14:textId="65770069"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Naphthalene dioxygenase activity (ND)</w:t>
      </w:r>
    </w:p>
    <w:p w14:paraId="6E7693FB" w14:textId="77777777" w:rsidR="008D3CCE" w:rsidRPr="00447599" w:rsidRDefault="008D3CCE" w:rsidP="003340EF">
      <w:pPr>
        <w:tabs>
          <w:tab w:val="left" w:pos="2573"/>
        </w:tabs>
        <w:spacing w:line="276" w:lineRule="auto"/>
        <w:jc w:val="both"/>
        <w:rPr>
          <w:rFonts w:ascii="Times" w:hAnsi="Times" w:cstheme="majorBidi"/>
          <w:color w:val="000000" w:themeColor="text1"/>
        </w:rPr>
      </w:pPr>
      <w:r w:rsidRPr="00447599">
        <w:rPr>
          <w:rFonts w:ascii="Times" w:hAnsi="Times" w:cstheme="majorBidi"/>
          <w:color w:val="000000" w:themeColor="text1"/>
        </w:rPr>
        <w:tab/>
      </w:r>
    </w:p>
    <w:p w14:paraId="56180117" w14:textId="7B22EA5E" w:rsidR="008D3CCE" w:rsidRPr="00447599" w:rsidRDefault="008D3CCE" w:rsidP="003340EF">
      <w:pPr>
        <w:spacing w:line="276" w:lineRule="auto"/>
        <w:jc w:val="both"/>
        <w:rPr>
          <w:rFonts w:ascii="Times" w:hAnsi="Times" w:cstheme="majorBidi"/>
          <w:color w:val="000000" w:themeColor="text1"/>
        </w:rPr>
      </w:pPr>
      <w:r w:rsidRPr="00447599">
        <w:rPr>
          <w:rFonts w:asciiTheme="majorBidi" w:hAnsiTheme="majorBidi" w:cstheme="majorBidi"/>
          <w:color w:val="000000" w:themeColor="text1"/>
        </w:rPr>
        <w:t xml:space="preserve">The cell lysate from cultured </w:t>
      </w:r>
      <w:r w:rsidRPr="00447599">
        <w:rPr>
          <w:rFonts w:asciiTheme="majorBidi" w:hAnsiTheme="majorBidi" w:cstheme="majorBidi"/>
          <w:i/>
          <w:iCs/>
          <w:color w:val="000000" w:themeColor="text1"/>
        </w:rPr>
        <w:t>Pseudomonas</w:t>
      </w:r>
      <w:r w:rsidRPr="00447599">
        <w:rPr>
          <w:rFonts w:asciiTheme="majorBidi" w:hAnsiTheme="majorBidi" w:cstheme="majorBidi"/>
          <w:color w:val="000000" w:themeColor="text1"/>
        </w:rPr>
        <w:t xml:space="preserve"> sp. URS-6, in the presence of 50 mg l</w:t>
      </w:r>
      <w:r w:rsidRPr="00447599">
        <w:rPr>
          <w:rFonts w:asciiTheme="majorBidi" w:hAnsiTheme="majorBidi" w:cstheme="majorBidi"/>
          <w:color w:val="000000" w:themeColor="text1"/>
          <w:vertAlign w:val="superscript"/>
        </w:rPr>
        <w:t>-1</w:t>
      </w:r>
      <w:r w:rsidRPr="00447599">
        <w:rPr>
          <w:rFonts w:asciiTheme="majorBidi" w:hAnsiTheme="majorBidi" w:cstheme="majorBidi"/>
          <w:color w:val="000000" w:themeColor="text1"/>
        </w:rPr>
        <w:t xml:space="preserve"> of 3PAHs solution showed high activity for naphthalene dioxygenase (34.7 </w:t>
      </w:r>
      <w:r w:rsidRPr="00447599">
        <w:rPr>
          <w:rFonts w:ascii="Times" w:hAnsi="Times" w:cstheme="majorBidi"/>
          <w:color w:val="000000" w:themeColor="text1"/>
        </w:rPr>
        <w:t>U/mg protein</w:t>
      </w:r>
      <w:r w:rsidRPr="00447599">
        <w:rPr>
          <w:rFonts w:asciiTheme="majorBidi" w:hAnsiTheme="majorBidi" w:cstheme="majorBidi"/>
          <w:color w:val="000000" w:themeColor="text1"/>
        </w:rPr>
        <w:t xml:space="preserve">) measured compared to other strains after 8 hours of incubation. </w:t>
      </w:r>
      <w:r w:rsidRPr="00447599">
        <w:rPr>
          <w:rFonts w:ascii="Times" w:hAnsi="Times" w:cstheme="majorBidi"/>
          <w:color w:val="000000" w:themeColor="text1"/>
        </w:rPr>
        <w:t xml:space="preserve">The results from enzyme activity for different consortia and inducer showed that the highest of 43.1 and 33.5 U/mg protein naphthalene dioxygenase activity (U/mg protein) were exhibited by the consortium Mix1-3PAHs  after 8 hours of incubation at 15 </w:t>
      </w:r>
      <w:r w:rsidRPr="00447599">
        <w:rPr>
          <w:color w:val="000000" w:themeColor="text1"/>
          <w:vertAlign w:val="superscript"/>
        </w:rPr>
        <w:t>◦</w:t>
      </w:r>
      <w:r w:rsidRPr="00447599">
        <w:rPr>
          <w:rFonts w:ascii="Times" w:hAnsi="Times" w:cstheme="majorBidi"/>
          <w:color w:val="000000" w:themeColor="text1"/>
        </w:rPr>
        <w:t>C (Fig</w:t>
      </w:r>
      <w:r w:rsidR="006940A9" w:rsidRPr="00447599">
        <w:rPr>
          <w:rFonts w:ascii="Times" w:hAnsi="Times" w:cstheme="majorBidi"/>
          <w:color w:val="000000" w:themeColor="text1"/>
        </w:rPr>
        <w:t>ure</w:t>
      </w:r>
      <w:r w:rsidRPr="00447599">
        <w:rPr>
          <w:rFonts w:ascii="Times" w:hAnsi="Times" w:cstheme="majorBidi"/>
          <w:color w:val="000000" w:themeColor="text1"/>
        </w:rPr>
        <w:t>.S</w:t>
      </w:r>
      <w:r w:rsidR="00FD5CB2" w:rsidRPr="00447599">
        <w:rPr>
          <w:rFonts w:ascii="Times" w:hAnsi="Times" w:cstheme="majorBidi"/>
          <w:color w:val="000000" w:themeColor="text1"/>
        </w:rPr>
        <w:t>3</w:t>
      </w:r>
      <w:r w:rsidRPr="00447599">
        <w:rPr>
          <w:rFonts w:ascii="Times" w:hAnsi="Times" w:cstheme="majorBidi"/>
          <w:color w:val="000000" w:themeColor="text1"/>
        </w:rPr>
        <w:t>.). Thus, results showed that Mix1 when incubated on PAHs had a better effect than any single bacteria, suggesting the strains worked synergistically to enhance the degradation efficiency.</w:t>
      </w:r>
    </w:p>
    <w:p w14:paraId="71EEA166" w14:textId="77777777" w:rsidR="008D3CCE" w:rsidRPr="00447599" w:rsidRDefault="008D3CCE" w:rsidP="003340EF">
      <w:pPr>
        <w:spacing w:line="276" w:lineRule="auto"/>
        <w:jc w:val="both"/>
        <w:rPr>
          <w:rFonts w:ascii="Times" w:hAnsi="Times" w:cstheme="majorBidi"/>
          <w:color w:val="000000" w:themeColor="text1"/>
        </w:rPr>
      </w:pPr>
    </w:p>
    <w:p w14:paraId="6AB2C249" w14:textId="77777777"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 xml:space="preserve">Naphthalene dioxygenase activity for consortium incubated on dilbit ranged from 7.5 to 33.5 and 5.4 to 9.5 U/mg protein after 12 hours of incubation in consortium with/without </w:t>
      </w:r>
      <w:r w:rsidRPr="00447599">
        <w:rPr>
          <w:rFonts w:ascii="Times" w:hAnsi="Times" w:cstheme="majorBidi"/>
          <w:i/>
          <w:iCs/>
          <w:color w:val="000000" w:themeColor="text1"/>
        </w:rPr>
        <w:t>Alcanovorax</w:t>
      </w:r>
      <w:r w:rsidRPr="00447599">
        <w:rPr>
          <w:rFonts w:ascii="Times" w:hAnsi="Times" w:cstheme="majorBidi"/>
          <w:color w:val="000000" w:themeColor="text1"/>
        </w:rPr>
        <w:t xml:space="preserve">, respectively. Thus, the addition of </w:t>
      </w:r>
      <w:r w:rsidRPr="00447599">
        <w:rPr>
          <w:rFonts w:ascii="Times" w:hAnsi="Times" w:cstheme="majorBidi"/>
          <w:i/>
          <w:iCs/>
          <w:color w:val="000000" w:themeColor="text1"/>
        </w:rPr>
        <w:t>Alcanovorax</w:t>
      </w:r>
      <w:r w:rsidRPr="00447599">
        <w:rPr>
          <w:rFonts w:ascii="Times" w:hAnsi="Times" w:cstheme="majorBidi"/>
          <w:color w:val="000000" w:themeColor="text1"/>
        </w:rPr>
        <w:t xml:space="preserve"> to PAH degrading consortium enhanced the activity of ND and it reached to its optimal value after 12 hours of incubation. However, mixture of 3 PAHs proved to be the most advantageous inducer for most of the consortiums. In other words, in terms of </w:t>
      </w:r>
      <w:r w:rsidRPr="00447599">
        <w:rPr>
          <w:rFonts w:asciiTheme="majorBidi" w:hAnsiTheme="majorBidi" w:cstheme="majorBidi"/>
          <w:color w:val="000000" w:themeColor="text1"/>
        </w:rPr>
        <w:t xml:space="preserve">naphthalene dioxygenase </w:t>
      </w:r>
      <w:r w:rsidRPr="00447599">
        <w:rPr>
          <w:rFonts w:ascii="Times" w:hAnsi="Times" w:cstheme="majorBidi"/>
          <w:color w:val="000000" w:themeColor="text1"/>
        </w:rPr>
        <w:t>activity on tested inducers for consortiums there was a trend that 3PAHs &gt; dilbit.</w:t>
      </w:r>
    </w:p>
    <w:p w14:paraId="66D44AA7" w14:textId="77777777" w:rsidR="008D3CCE" w:rsidRPr="00447599" w:rsidRDefault="008D3CCE" w:rsidP="003340EF">
      <w:pPr>
        <w:spacing w:line="276" w:lineRule="auto"/>
        <w:jc w:val="both"/>
        <w:rPr>
          <w:rFonts w:ascii="Times" w:hAnsi="Times" w:cstheme="majorBidi"/>
          <w:color w:val="000000" w:themeColor="text1"/>
        </w:rPr>
      </w:pPr>
    </w:p>
    <w:p w14:paraId="7940C43A" w14:textId="77777777"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Pyrene dioxygenase activity (PD)</w:t>
      </w:r>
    </w:p>
    <w:p w14:paraId="44B4E3ED" w14:textId="77777777" w:rsidR="008D3CCE" w:rsidRPr="00447599" w:rsidRDefault="008D3CCE" w:rsidP="003340EF">
      <w:pPr>
        <w:tabs>
          <w:tab w:val="left" w:pos="4086"/>
        </w:tabs>
        <w:spacing w:line="276" w:lineRule="auto"/>
        <w:jc w:val="both"/>
        <w:rPr>
          <w:rFonts w:ascii="Times" w:hAnsi="Times" w:cstheme="majorBidi"/>
          <w:color w:val="000000" w:themeColor="text1"/>
        </w:rPr>
      </w:pPr>
      <w:r w:rsidRPr="00447599">
        <w:rPr>
          <w:rFonts w:ascii="Times" w:hAnsi="Times" w:cstheme="majorBidi"/>
          <w:color w:val="000000" w:themeColor="text1"/>
        </w:rPr>
        <w:tab/>
      </w:r>
    </w:p>
    <w:p w14:paraId="6A98C281" w14:textId="77777777" w:rsidR="008D3CCE" w:rsidRPr="00447599" w:rsidRDefault="008D3CCE" w:rsidP="003340EF">
      <w:pPr>
        <w:spacing w:line="276" w:lineRule="auto"/>
        <w:jc w:val="both"/>
        <w:rPr>
          <w:rFonts w:ascii="Times" w:hAnsi="Times" w:cstheme="majorBidi"/>
          <w:color w:val="000000" w:themeColor="text1"/>
        </w:rPr>
      </w:pPr>
      <w:r w:rsidRPr="00447599">
        <w:rPr>
          <w:rFonts w:asciiTheme="majorBidi" w:hAnsiTheme="majorBidi" w:cstheme="majorBidi"/>
          <w:color w:val="000000" w:themeColor="text1"/>
        </w:rPr>
        <w:t xml:space="preserve">Only the cell lysate from </w:t>
      </w:r>
      <w:r w:rsidRPr="00447599">
        <w:rPr>
          <w:rFonts w:asciiTheme="majorBidi" w:hAnsiTheme="majorBidi" w:cstheme="majorBidi"/>
          <w:i/>
          <w:iCs/>
          <w:color w:val="000000" w:themeColor="text1"/>
        </w:rPr>
        <w:t>Rhodococus</w:t>
      </w:r>
      <w:r w:rsidRPr="00447599">
        <w:rPr>
          <w:rFonts w:asciiTheme="majorBidi" w:hAnsiTheme="majorBidi" w:cstheme="majorBidi"/>
          <w:color w:val="000000" w:themeColor="text1"/>
        </w:rPr>
        <w:t xml:space="preserve"> showed activity (17.4 </w:t>
      </w:r>
      <w:r w:rsidRPr="00447599">
        <w:rPr>
          <w:rFonts w:ascii="Times" w:hAnsi="Times" w:cstheme="majorBidi"/>
          <w:color w:val="000000" w:themeColor="text1"/>
        </w:rPr>
        <w:t>U/mg protein</w:t>
      </w:r>
      <w:r w:rsidRPr="00447599">
        <w:rPr>
          <w:rFonts w:asciiTheme="majorBidi" w:hAnsiTheme="majorBidi" w:cstheme="majorBidi"/>
          <w:color w:val="000000" w:themeColor="text1"/>
        </w:rPr>
        <w:t>) for pyrene dioxygenase after 12 hours of incubation on 3 PAHs. </w:t>
      </w:r>
      <w:r w:rsidRPr="00447599">
        <w:rPr>
          <w:rFonts w:ascii="Times" w:hAnsi="Times" w:cstheme="majorBidi"/>
          <w:color w:val="000000" w:themeColor="text1"/>
        </w:rPr>
        <w:t xml:space="preserve">The pyrene dioxygenase activities by the bacteria consortia included </w:t>
      </w:r>
      <w:r w:rsidRPr="00447599">
        <w:rPr>
          <w:rFonts w:asciiTheme="majorBidi" w:hAnsiTheme="majorBidi" w:cstheme="majorBidi"/>
          <w:color w:val="000000" w:themeColor="text1"/>
        </w:rPr>
        <w:t xml:space="preserve">URS-10 </w:t>
      </w:r>
      <w:r w:rsidRPr="00447599">
        <w:rPr>
          <w:rFonts w:ascii="Times" w:hAnsi="Times" w:cstheme="majorBidi"/>
          <w:color w:val="000000" w:themeColor="text1"/>
        </w:rPr>
        <w:t>incubated on 3 PAHs, and dilbit ranges from 4.1 (Mix5) to 18.3 (Mix 3) U/mg protein after 12 hour of incubation, 4.8 (Mix 5) to 24.1 (Mix 4) U/mg protein after 8 hours of incubation, respectively. T</w:t>
      </w:r>
      <w:r w:rsidRPr="00447599">
        <w:rPr>
          <w:rFonts w:asciiTheme="majorBidi" w:hAnsiTheme="majorBidi" w:cstheme="majorBidi"/>
          <w:color w:val="000000" w:themeColor="text1"/>
        </w:rPr>
        <w:t xml:space="preserve">he highest of 24.1 and 19.7 </w:t>
      </w:r>
      <w:r w:rsidRPr="00447599">
        <w:rPr>
          <w:rFonts w:ascii="Times" w:hAnsi="Times" w:cstheme="majorBidi"/>
          <w:color w:val="000000" w:themeColor="text1"/>
        </w:rPr>
        <w:t xml:space="preserve">U/mg protein activity was estimated on 8 hours of incubation for Mix4-D and Mix8-D. Thus, in order to obtain a consortium with high activity of pyrene dioxygenase, it will be necessary to include dilbit and </w:t>
      </w:r>
      <w:r w:rsidRPr="00447599">
        <w:rPr>
          <w:rFonts w:ascii="Times" w:hAnsi="Times" w:cstheme="majorBidi"/>
          <w:i/>
          <w:iCs/>
          <w:color w:val="000000" w:themeColor="text1"/>
        </w:rPr>
        <w:t>Alcanovorax</w:t>
      </w:r>
      <w:r w:rsidRPr="00447599">
        <w:rPr>
          <w:rFonts w:ascii="Times" w:hAnsi="Times" w:cstheme="majorBidi"/>
          <w:color w:val="000000" w:themeColor="text1"/>
        </w:rPr>
        <w:t>.     </w:t>
      </w:r>
    </w:p>
    <w:p w14:paraId="016AACAD" w14:textId="77777777" w:rsidR="008D3CCE" w:rsidRPr="00447599" w:rsidRDefault="008D3CCE" w:rsidP="003340EF">
      <w:pPr>
        <w:spacing w:line="276" w:lineRule="auto"/>
        <w:jc w:val="both"/>
        <w:rPr>
          <w:rFonts w:ascii="Times" w:hAnsi="Times" w:cstheme="majorBidi"/>
          <w:color w:val="000000" w:themeColor="text1"/>
        </w:rPr>
      </w:pPr>
    </w:p>
    <w:p w14:paraId="746F2C35" w14:textId="77777777"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Catechol 2,3 dioxygenase (C2,3D)</w:t>
      </w:r>
    </w:p>
    <w:p w14:paraId="67FFD268" w14:textId="77777777" w:rsidR="008D3CCE" w:rsidRPr="00447599" w:rsidRDefault="008D3CCE" w:rsidP="003340EF">
      <w:pPr>
        <w:spacing w:line="276" w:lineRule="auto"/>
        <w:jc w:val="both"/>
        <w:rPr>
          <w:rFonts w:ascii="Times" w:hAnsi="Times" w:cstheme="majorBidi"/>
          <w:color w:val="000000" w:themeColor="text1"/>
        </w:rPr>
      </w:pPr>
    </w:p>
    <w:p w14:paraId="5C37CD66" w14:textId="77777777"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In the environment, catechol 2,3 dioxygenase is one of the important enzymes involved in the degradation of aromatic molecules by soil bacteria. It catalyzes the incorporation of dioxygen into catechol (and its derivatives), and the cleavage of the extradiol ring to form 2-hydroxymuconate semialdehyde.</w:t>
      </w:r>
      <w:r w:rsidRPr="00447599">
        <w:rPr>
          <w:rFonts w:asciiTheme="majorBidi" w:hAnsiTheme="majorBidi" w:cstheme="majorBidi"/>
          <w:color w:val="000000" w:themeColor="text1"/>
        </w:rPr>
        <w:t xml:space="preserve"> The cell lysate from cultured </w:t>
      </w:r>
      <w:r w:rsidRPr="00447599">
        <w:rPr>
          <w:rFonts w:asciiTheme="majorBidi" w:hAnsiTheme="majorBidi" w:cstheme="majorBidi"/>
          <w:i/>
          <w:iCs/>
          <w:color w:val="000000" w:themeColor="text1"/>
        </w:rPr>
        <w:t>Pseudomonas</w:t>
      </w:r>
      <w:r w:rsidRPr="00447599">
        <w:rPr>
          <w:rFonts w:asciiTheme="majorBidi" w:hAnsiTheme="majorBidi" w:cstheme="majorBidi"/>
          <w:color w:val="000000" w:themeColor="text1"/>
        </w:rPr>
        <w:t xml:space="preserve"> sp. URS-5 (30.3 </w:t>
      </w:r>
      <w:r w:rsidRPr="00447599">
        <w:rPr>
          <w:rFonts w:ascii="Times" w:hAnsi="Times" w:cstheme="majorBidi"/>
          <w:color w:val="000000" w:themeColor="text1"/>
        </w:rPr>
        <w:t>U/mg protein</w:t>
      </w:r>
      <w:r w:rsidRPr="00447599">
        <w:rPr>
          <w:rFonts w:asciiTheme="majorBidi" w:hAnsiTheme="majorBidi" w:cstheme="majorBidi"/>
          <w:color w:val="000000" w:themeColor="text1"/>
        </w:rPr>
        <w:t xml:space="preserve">) and URS-6 (33.1 </w:t>
      </w:r>
      <w:r w:rsidRPr="00447599">
        <w:rPr>
          <w:rFonts w:ascii="Times" w:hAnsi="Times" w:cstheme="majorBidi"/>
          <w:color w:val="000000" w:themeColor="text1"/>
        </w:rPr>
        <w:t>U/mg protein</w:t>
      </w:r>
      <w:r w:rsidRPr="00447599">
        <w:rPr>
          <w:rFonts w:asciiTheme="majorBidi" w:hAnsiTheme="majorBidi" w:cstheme="majorBidi"/>
          <w:color w:val="000000" w:themeColor="text1"/>
        </w:rPr>
        <w:t>), in the presence of 50 mg l</w:t>
      </w:r>
      <w:r w:rsidRPr="00447599">
        <w:rPr>
          <w:rFonts w:asciiTheme="majorBidi" w:hAnsiTheme="majorBidi" w:cstheme="majorBidi"/>
          <w:color w:val="000000" w:themeColor="text1"/>
          <w:vertAlign w:val="superscript"/>
        </w:rPr>
        <w:t>-1</w:t>
      </w:r>
      <w:r w:rsidRPr="00447599">
        <w:rPr>
          <w:rFonts w:asciiTheme="majorBidi" w:hAnsiTheme="majorBidi" w:cstheme="majorBidi"/>
          <w:color w:val="000000" w:themeColor="text1"/>
        </w:rPr>
        <w:t xml:space="preserve"> of 3 PAHs showed high activity </w:t>
      </w:r>
      <w:r w:rsidRPr="00447599">
        <w:rPr>
          <w:rFonts w:ascii="Times" w:hAnsi="Times" w:cstheme="majorBidi"/>
          <w:color w:val="000000" w:themeColor="text1"/>
        </w:rPr>
        <w:t xml:space="preserve">catechol 2,3 </w:t>
      </w:r>
      <w:r w:rsidRPr="00447599">
        <w:rPr>
          <w:rFonts w:ascii="Times" w:hAnsi="Times" w:cstheme="majorBidi"/>
          <w:color w:val="000000" w:themeColor="text1"/>
        </w:rPr>
        <w:lastRenderedPageBreak/>
        <w:t xml:space="preserve">dioxygenase </w:t>
      </w:r>
      <w:r w:rsidRPr="00447599">
        <w:rPr>
          <w:rFonts w:asciiTheme="majorBidi" w:hAnsiTheme="majorBidi" w:cstheme="majorBidi"/>
          <w:color w:val="000000" w:themeColor="text1"/>
        </w:rPr>
        <w:t>measured compared to other strains after 12 hours of incubation (P-value &lt;0.05).</w:t>
      </w:r>
      <w:r w:rsidRPr="00447599">
        <w:rPr>
          <w:rFonts w:ascii="Times" w:hAnsi="Times" w:cstheme="majorBidi"/>
          <w:color w:val="000000" w:themeColor="text1"/>
        </w:rPr>
        <w:t xml:space="preserve"> The highest of 35 U/mg protein extract catechol 2,3 dioxygenase activity for Mix1-3PAHs, showed that the activity of catechol 2,3 dioxygenase did not increase significantly (P-value&lt;0.05) in consortia compared to pure cultures. Moreover,</w:t>
      </w:r>
      <w:r w:rsidRPr="00447599">
        <w:rPr>
          <w:rFonts w:asciiTheme="majorBidi" w:hAnsiTheme="majorBidi" w:cstheme="majorBidi"/>
          <w:color w:val="000000" w:themeColor="text1"/>
        </w:rPr>
        <w:t xml:space="preserve"> the cell lysate from pure cultures incubated on 3 PAHs showed higher activity for catechol dioxygenase (ranges from 10.2 to 33.1</w:t>
      </w:r>
      <w:r w:rsidRPr="00447599">
        <w:rPr>
          <w:rFonts w:ascii="Times" w:hAnsi="Times" w:cstheme="majorBidi"/>
          <w:color w:val="000000" w:themeColor="text1"/>
        </w:rPr>
        <w:t xml:space="preserve"> U/mg protein) </w:t>
      </w:r>
      <w:r w:rsidRPr="00447599">
        <w:rPr>
          <w:rFonts w:asciiTheme="majorBidi" w:hAnsiTheme="majorBidi" w:cstheme="majorBidi"/>
          <w:color w:val="000000" w:themeColor="text1"/>
        </w:rPr>
        <w:t>compared to those strains incubated on dilbit (ranges from 6.6 to 17.4</w:t>
      </w:r>
      <w:r w:rsidRPr="00447599">
        <w:rPr>
          <w:rFonts w:ascii="Times" w:hAnsi="Times" w:cstheme="majorBidi"/>
          <w:color w:val="000000" w:themeColor="text1"/>
        </w:rPr>
        <w:t xml:space="preserve"> U/mg protein)</w:t>
      </w:r>
      <w:r w:rsidRPr="00447599">
        <w:rPr>
          <w:rFonts w:asciiTheme="majorBidi" w:hAnsiTheme="majorBidi" w:cstheme="majorBidi"/>
          <w:color w:val="000000" w:themeColor="text1"/>
        </w:rPr>
        <w:t xml:space="preserve">. However, </w:t>
      </w:r>
      <w:r w:rsidRPr="00447599">
        <w:rPr>
          <w:rFonts w:ascii="Times" w:hAnsi="Times" w:cstheme="majorBidi"/>
          <w:color w:val="000000" w:themeColor="text1"/>
        </w:rPr>
        <w:t xml:space="preserve">catechol dioxygenase activities by the bacteria consortia, Mix8-D, reached to 29.7 U/mg protein due to the synergistic effect of bacteria on the promotion of enzyme production after 12 hours of incubation. </w:t>
      </w:r>
    </w:p>
    <w:p w14:paraId="63CFB84A" w14:textId="77777777" w:rsidR="008D3CCE" w:rsidRPr="00447599" w:rsidRDefault="008D3CCE" w:rsidP="003340EF">
      <w:pPr>
        <w:spacing w:line="276" w:lineRule="auto"/>
        <w:jc w:val="both"/>
        <w:rPr>
          <w:rFonts w:ascii="Times" w:hAnsi="Times" w:cstheme="majorBidi"/>
          <w:color w:val="000000" w:themeColor="text1"/>
        </w:rPr>
      </w:pPr>
    </w:p>
    <w:p w14:paraId="32DDE0DA" w14:textId="77777777" w:rsidR="008D3CCE" w:rsidRPr="00447599" w:rsidRDefault="008D3CCE" w:rsidP="003340EF">
      <w:pPr>
        <w:spacing w:line="276" w:lineRule="auto"/>
        <w:jc w:val="both"/>
        <w:rPr>
          <w:rFonts w:asciiTheme="majorBidi" w:eastAsia="Arial" w:hAnsiTheme="majorBidi" w:cstheme="majorBidi"/>
          <w:color w:val="000000" w:themeColor="text1"/>
          <w:lang w:bidi="fa-IR"/>
        </w:rPr>
      </w:pPr>
      <w:r w:rsidRPr="00447599">
        <w:rPr>
          <w:rFonts w:asciiTheme="majorBidi" w:eastAsia="Arial" w:hAnsiTheme="majorBidi" w:cstheme="majorBidi"/>
          <w:color w:val="000000" w:themeColor="text1"/>
          <w:lang w:bidi="fa-IR"/>
        </w:rPr>
        <w:t>1-hydroxy-2-naphthoate hydroxylase (HY)</w:t>
      </w:r>
    </w:p>
    <w:p w14:paraId="0507C93D" w14:textId="77777777" w:rsidR="008D3CCE" w:rsidRPr="00447599" w:rsidRDefault="008D3CCE" w:rsidP="003340EF">
      <w:pPr>
        <w:spacing w:line="276" w:lineRule="auto"/>
        <w:jc w:val="both"/>
        <w:rPr>
          <w:rFonts w:ascii="Times" w:hAnsi="Times" w:cstheme="majorBidi"/>
          <w:color w:val="000000" w:themeColor="text1"/>
        </w:rPr>
      </w:pPr>
    </w:p>
    <w:p w14:paraId="16BFEBED" w14:textId="54BDFD76" w:rsidR="008D3CCE" w:rsidRPr="00447599" w:rsidRDefault="008D3CCE" w:rsidP="003340EF">
      <w:pPr>
        <w:spacing w:line="276" w:lineRule="auto"/>
        <w:jc w:val="both"/>
        <w:rPr>
          <w:rFonts w:ascii="Times" w:hAnsi="Times" w:cstheme="majorBidi"/>
          <w:color w:val="000000" w:themeColor="text1"/>
        </w:rPr>
      </w:pPr>
      <w:r w:rsidRPr="00447599">
        <w:rPr>
          <w:rFonts w:ascii="Times" w:hAnsi="Times" w:cstheme="majorBidi"/>
          <w:color w:val="000000" w:themeColor="text1"/>
        </w:rPr>
        <w:t>Since the enzymes of the naphthalene pathway are important to catalyze the mineralization of phenanthrene and pyrene, it is apparent to test the 1-hydroxy-2-naphthoate hydroxylase activity of the consortia in order to attain the maximum degree of degradation of the pyrene.</w:t>
      </w:r>
      <w:r w:rsidRPr="00447599">
        <w:rPr>
          <w:rFonts w:asciiTheme="majorBidi" w:hAnsiTheme="majorBidi" w:cstheme="majorBidi"/>
          <w:color w:val="000000" w:themeColor="text1"/>
        </w:rPr>
        <w:t xml:space="preserve"> Only the cell lysate from </w:t>
      </w:r>
      <w:r w:rsidRPr="00447599">
        <w:rPr>
          <w:rFonts w:asciiTheme="majorBidi" w:hAnsiTheme="majorBidi" w:cstheme="majorBidi"/>
          <w:i/>
          <w:iCs/>
          <w:color w:val="000000" w:themeColor="text1"/>
        </w:rPr>
        <w:t>Pseudomonas</w:t>
      </w:r>
      <w:r w:rsidRPr="00447599">
        <w:rPr>
          <w:rFonts w:asciiTheme="majorBidi" w:hAnsiTheme="majorBidi" w:cstheme="majorBidi"/>
          <w:color w:val="000000" w:themeColor="text1"/>
        </w:rPr>
        <w:t xml:space="preserve"> sp. URS-5 and URS-6 showed activity </w:t>
      </w:r>
      <w:r w:rsidRPr="00447599">
        <w:rPr>
          <w:rFonts w:asciiTheme="majorBidi" w:eastAsia="Arial" w:hAnsiTheme="majorBidi" w:cstheme="majorBidi"/>
          <w:color w:val="000000" w:themeColor="text1"/>
          <w:lang w:bidi="fa-IR"/>
        </w:rPr>
        <w:t xml:space="preserve">1-hydroxy-2-naphthoate hydroxylase </w:t>
      </w:r>
      <w:r w:rsidRPr="00447599">
        <w:rPr>
          <w:rFonts w:asciiTheme="majorBidi" w:hAnsiTheme="majorBidi" w:cstheme="majorBidi"/>
          <w:color w:val="000000" w:themeColor="text1"/>
        </w:rPr>
        <w:t>after 12 hours of incubation on 3PAHs. </w:t>
      </w:r>
      <w:r w:rsidRPr="00447599">
        <w:rPr>
          <w:rFonts w:ascii="Times" w:hAnsi="Times" w:cstheme="majorBidi"/>
          <w:color w:val="000000" w:themeColor="text1"/>
        </w:rPr>
        <w:t xml:space="preserve">In this study, of all the tested consortia, Mix8-D  produced the highest </w:t>
      </w:r>
      <w:r w:rsidRPr="00447599">
        <w:rPr>
          <w:rFonts w:asciiTheme="majorBidi" w:eastAsia="Arial" w:hAnsiTheme="majorBidi" w:cstheme="majorBidi"/>
          <w:color w:val="000000" w:themeColor="text1"/>
          <w:lang w:bidi="fa-IR"/>
        </w:rPr>
        <w:t xml:space="preserve">1-hydroxy-2-naphthoate hydroxylase </w:t>
      </w:r>
      <w:r w:rsidRPr="00447599">
        <w:rPr>
          <w:rFonts w:ascii="Times" w:hAnsi="Times" w:cstheme="majorBidi"/>
          <w:color w:val="000000" w:themeColor="text1"/>
        </w:rPr>
        <w:t xml:space="preserve">activity (15.3 U/mg protein) after12 hours. Whereas Mix1-D produced the lowest activity (3.2 U/mg protein) after 12 hours of culture conditions </w:t>
      </w:r>
      <w:r w:rsidRPr="00447599">
        <w:rPr>
          <w:rFonts w:asciiTheme="majorBidi" w:hAnsiTheme="majorBidi" w:cstheme="majorBidi"/>
          <w:color w:val="000000" w:themeColor="text1"/>
        </w:rPr>
        <w:t xml:space="preserve">compared to other consortia </w:t>
      </w:r>
      <w:r w:rsidRPr="00447599">
        <w:rPr>
          <w:rFonts w:ascii="Times" w:hAnsi="Times" w:cstheme="majorBidi"/>
          <w:color w:val="000000" w:themeColor="text1"/>
        </w:rPr>
        <w:t>(Fig</w:t>
      </w:r>
      <w:r w:rsidR="006940A9" w:rsidRPr="00447599">
        <w:rPr>
          <w:rFonts w:ascii="Times" w:hAnsi="Times" w:cstheme="majorBidi"/>
          <w:color w:val="000000" w:themeColor="text1"/>
        </w:rPr>
        <w:t>ure</w:t>
      </w:r>
      <w:r w:rsidRPr="00447599">
        <w:rPr>
          <w:rFonts w:ascii="Times" w:hAnsi="Times" w:cstheme="majorBidi"/>
          <w:color w:val="000000" w:themeColor="text1"/>
        </w:rPr>
        <w:t xml:space="preserve">. S3a). In the case of 3 PAHs mixture, the highest of 11.9 and 14.4 U/mg protein activities were shown by Mix1 and Mix3 after 12 and 14 hours of incubation, respectively. </w:t>
      </w:r>
    </w:p>
    <w:p w14:paraId="5BCA9081" w14:textId="77777777" w:rsidR="008D3CCE" w:rsidRPr="00447599" w:rsidRDefault="008D3CCE" w:rsidP="003340EF">
      <w:pPr>
        <w:spacing w:line="276" w:lineRule="auto"/>
        <w:jc w:val="both"/>
        <w:rPr>
          <w:rFonts w:ascii="Times" w:hAnsi="Times" w:cstheme="majorBidi"/>
          <w:color w:val="000000" w:themeColor="text1"/>
        </w:rPr>
      </w:pPr>
    </w:p>
    <w:p w14:paraId="0516818E" w14:textId="77777777" w:rsidR="008D3CCE" w:rsidRPr="00447599" w:rsidRDefault="008D3CCE" w:rsidP="003340EF">
      <w:pPr>
        <w:spacing w:line="276" w:lineRule="auto"/>
        <w:jc w:val="both"/>
        <w:rPr>
          <w:rFonts w:asciiTheme="majorBidi" w:eastAsia="Arial" w:hAnsiTheme="majorBidi" w:cstheme="majorBidi"/>
          <w:color w:val="000000" w:themeColor="text1"/>
          <w:lang w:val="en-CA" w:bidi="fa-IR"/>
        </w:rPr>
      </w:pPr>
      <w:r w:rsidRPr="00447599">
        <w:rPr>
          <w:rFonts w:asciiTheme="majorBidi" w:eastAsia="Arial" w:hAnsiTheme="majorBidi" w:cstheme="majorBidi"/>
          <w:color w:val="000000" w:themeColor="text1"/>
          <w:lang w:val="en-CA" w:bidi="fa-IR"/>
        </w:rPr>
        <w:t>Protocatechuic acid 3,4-dioxygenase (PCAD)</w:t>
      </w:r>
    </w:p>
    <w:p w14:paraId="4B74CC26" w14:textId="77777777" w:rsidR="008D3CCE" w:rsidRPr="00447599" w:rsidRDefault="008D3CCE" w:rsidP="003340EF">
      <w:pPr>
        <w:spacing w:line="276" w:lineRule="auto"/>
        <w:jc w:val="both"/>
        <w:rPr>
          <w:rFonts w:asciiTheme="majorBidi" w:eastAsia="Arial" w:hAnsiTheme="majorBidi" w:cstheme="majorBidi"/>
          <w:color w:val="000000" w:themeColor="text1"/>
          <w:lang w:val="en-CA" w:bidi="fa-IR"/>
        </w:rPr>
      </w:pPr>
    </w:p>
    <w:p w14:paraId="5AC8A40C" w14:textId="77777777" w:rsidR="008D3CCE" w:rsidRPr="00447599" w:rsidRDefault="008D3CCE" w:rsidP="003340EF">
      <w:pPr>
        <w:spacing w:line="276" w:lineRule="auto"/>
        <w:jc w:val="both"/>
        <w:rPr>
          <w:rFonts w:ascii="Times" w:hAnsi="Times"/>
          <w:color w:val="000000"/>
          <w:shd w:val="clear" w:color="auto" w:fill="FFFFFF"/>
        </w:rPr>
      </w:pPr>
      <w:r w:rsidRPr="00447599">
        <w:rPr>
          <w:rFonts w:ascii="Times" w:hAnsi="Times"/>
          <w:color w:val="000000"/>
          <w:shd w:val="clear" w:color="auto" w:fill="FFFFFF"/>
        </w:rPr>
        <w:t xml:space="preserve">Aerobic biodegradation of aromatic compounds generally occurs via the catabolic intermediate’s catechol (1,2-dihydroxybenzene) or protocatechuate (3,4-dihydroxybenzoate) and is mediated by metabolite-specific pathways (lower pathways). Most of the metabolites, dicarboxylic aromatic acids and partially oxidized compounds, formed as a result of the utilization of growth substrates (phenanthrene, pyrene, or fluoranthene) by multibranched pathways including meta and ortho-ring-cleavage reactions, can be degraded by other strains. Thus, the enhancement of biodegradation of high-molecular-weight PAHs in the environment usually achieved by applying consortia of PAH degrading isolates or gathering enzymes responsible for PAH metabolism. </w:t>
      </w:r>
    </w:p>
    <w:p w14:paraId="5E4A3CD2" w14:textId="77777777" w:rsidR="008D3CCE" w:rsidRPr="00447599" w:rsidRDefault="008D3CCE" w:rsidP="003340EF">
      <w:pPr>
        <w:spacing w:line="276" w:lineRule="auto"/>
        <w:jc w:val="both"/>
        <w:rPr>
          <w:rFonts w:ascii="Times" w:hAnsi="Times"/>
          <w:color w:val="000000"/>
          <w:shd w:val="clear" w:color="auto" w:fill="FFFFFF"/>
        </w:rPr>
      </w:pPr>
    </w:p>
    <w:p w14:paraId="610C23AC" w14:textId="77777777" w:rsidR="008D3CCE" w:rsidRPr="00447599" w:rsidRDefault="008D3CCE" w:rsidP="003340EF">
      <w:pPr>
        <w:spacing w:line="276" w:lineRule="auto"/>
        <w:jc w:val="both"/>
        <w:rPr>
          <w:rFonts w:ascii="Times" w:hAnsi="Times" w:cstheme="majorBidi"/>
          <w:color w:val="000000" w:themeColor="text1"/>
        </w:rPr>
      </w:pPr>
      <w:r w:rsidRPr="00447599">
        <w:rPr>
          <w:rFonts w:ascii="Times" w:hAnsi="Times"/>
          <w:color w:val="000000"/>
          <w:shd w:val="clear" w:color="auto" w:fill="FFFFFF"/>
        </w:rPr>
        <w:t>Phthalate is generally considered as a partially oxidized dead-end product if the enzymatic pathway for phthalate metabolism is not available in the system. These metabolic pathways (e.g., phthalate metabolism) can be induced by metabolites in consortiums, or the catabolic pathways for target dead-end products and metabolites of other metabolisms share some enzymatic steps that are induced by metabolites. In this study, the activity of phthalic acid dioxygenase (protocatechuic acid (3,4, dioxygenase)) was assessed.</w:t>
      </w:r>
      <w:r w:rsidRPr="00447599">
        <w:rPr>
          <w:rFonts w:ascii="Times" w:hAnsi="Times" w:cstheme="majorBidi"/>
          <w:color w:val="000000" w:themeColor="text1"/>
        </w:rPr>
        <w:t xml:space="preserve"> </w:t>
      </w:r>
      <w:r w:rsidRPr="00447599">
        <w:rPr>
          <w:rFonts w:asciiTheme="majorBidi" w:hAnsiTheme="majorBidi" w:cstheme="majorBidi"/>
          <w:color w:val="000000" w:themeColor="text1"/>
        </w:rPr>
        <w:t xml:space="preserve">Only the cell lysate from </w:t>
      </w:r>
      <w:r w:rsidRPr="00447599">
        <w:rPr>
          <w:rFonts w:asciiTheme="majorBidi" w:hAnsiTheme="majorBidi" w:cstheme="majorBidi"/>
          <w:i/>
          <w:iCs/>
          <w:color w:val="000000" w:themeColor="text1"/>
        </w:rPr>
        <w:t>Pseudomonas</w:t>
      </w:r>
      <w:r w:rsidRPr="00447599">
        <w:rPr>
          <w:rFonts w:asciiTheme="majorBidi" w:hAnsiTheme="majorBidi" w:cstheme="majorBidi"/>
          <w:color w:val="000000" w:themeColor="text1"/>
        </w:rPr>
        <w:t xml:space="preserve"> sp. URS-8 showed activity </w:t>
      </w:r>
      <w:r w:rsidRPr="00447599">
        <w:rPr>
          <w:rFonts w:ascii="Times" w:hAnsi="Times"/>
          <w:color w:val="000000"/>
          <w:shd w:val="clear" w:color="auto" w:fill="FFFFFF"/>
        </w:rPr>
        <w:t xml:space="preserve">protocatechuic acid (3,4, dioxygenase) </w:t>
      </w:r>
      <w:r w:rsidRPr="00447599">
        <w:rPr>
          <w:rFonts w:asciiTheme="majorBidi" w:hAnsiTheme="majorBidi" w:cstheme="majorBidi"/>
          <w:color w:val="000000" w:themeColor="text1"/>
        </w:rPr>
        <w:t>after 14 hours of incubation on 3 PAHs</w:t>
      </w:r>
      <w:r w:rsidRPr="00447599">
        <w:rPr>
          <w:rFonts w:ascii="Times" w:hAnsi="Times" w:cstheme="majorBidi"/>
          <w:color w:val="000000" w:themeColor="text1"/>
        </w:rPr>
        <w:t xml:space="preserve">. The highest of 59.7 U/mg protein </w:t>
      </w:r>
      <w:r w:rsidRPr="00447599">
        <w:rPr>
          <w:rFonts w:ascii="Times" w:hAnsi="Times"/>
          <w:color w:val="000000"/>
          <w:shd w:val="clear" w:color="auto" w:fill="FFFFFF"/>
        </w:rPr>
        <w:t>protocatechuic acid (3,4, dioxygenase)</w:t>
      </w:r>
      <w:r w:rsidRPr="00447599">
        <w:rPr>
          <w:rFonts w:ascii="Times" w:hAnsi="Times" w:cstheme="majorBidi"/>
          <w:color w:val="000000" w:themeColor="text1"/>
        </w:rPr>
        <w:t xml:space="preserve"> activity for Mix5-3PAHs, showed that the activity of </w:t>
      </w:r>
      <w:r w:rsidRPr="00447599">
        <w:rPr>
          <w:rFonts w:ascii="Times" w:hAnsi="Times"/>
          <w:color w:val="000000"/>
          <w:shd w:val="clear" w:color="auto" w:fill="FFFFFF"/>
        </w:rPr>
        <w:t>protocatechuic acid (3,4, dioxygenase)</w:t>
      </w:r>
      <w:r w:rsidRPr="00447599">
        <w:rPr>
          <w:rFonts w:ascii="Times" w:hAnsi="Times" w:cstheme="majorBidi"/>
          <w:color w:val="000000" w:themeColor="text1"/>
        </w:rPr>
        <w:t xml:space="preserve"> increased significantly (P-value &gt; 0.05) in consortia compared to pure cultures URS-8 (44.5 U/mg protein).  </w:t>
      </w:r>
      <w:r w:rsidRPr="00447599">
        <w:rPr>
          <w:rFonts w:ascii="Times" w:hAnsi="Times"/>
          <w:color w:val="000000"/>
          <w:shd w:val="clear" w:color="auto" w:fill="FFFFFF"/>
        </w:rPr>
        <w:t xml:space="preserve">Mix6-D produced the highest activity (61.4 </w:t>
      </w:r>
      <w:r w:rsidRPr="00447599">
        <w:rPr>
          <w:rFonts w:ascii="Times" w:hAnsi="Times" w:cstheme="majorBidi"/>
          <w:color w:val="000000" w:themeColor="text1"/>
        </w:rPr>
        <w:lastRenderedPageBreak/>
        <w:t>U/mg protein</w:t>
      </w:r>
      <w:r w:rsidRPr="00447599">
        <w:rPr>
          <w:rFonts w:ascii="Times" w:hAnsi="Times"/>
          <w:color w:val="000000"/>
          <w:shd w:val="clear" w:color="auto" w:fill="FFFFFF"/>
        </w:rPr>
        <w:t xml:space="preserve">) of </w:t>
      </w:r>
      <w:r w:rsidRPr="00447599">
        <w:rPr>
          <w:rFonts w:asciiTheme="majorBidi" w:eastAsia="Arial" w:hAnsiTheme="majorBidi" w:cstheme="majorBidi"/>
          <w:color w:val="000000" w:themeColor="text1"/>
          <w:lang w:val="en-CA" w:bidi="fa-IR"/>
        </w:rPr>
        <w:t>PCA 3,4-dioxygenase</w:t>
      </w:r>
      <w:r w:rsidRPr="00447599">
        <w:rPr>
          <w:rFonts w:ascii="Times" w:hAnsi="Times"/>
          <w:color w:val="000000"/>
          <w:shd w:val="clear" w:color="auto" w:fill="FFFFFF"/>
        </w:rPr>
        <w:t xml:space="preserve"> after 14 hours. As a result of the use of dilbit for enrichment of these bacterial strains and their subsequent culture in these inducers containing NB media with</w:t>
      </w:r>
      <w:r w:rsidRPr="00447599">
        <w:rPr>
          <w:i/>
          <w:iCs/>
          <w:noProof/>
        </w:rPr>
        <w:t xml:space="preserve"> Alcanivorax</w:t>
      </w:r>
      <w:r w:rsidRPr="00447599">
        <w:rPr>
          <w:noProof/>
        </w:rPr>
        <w:t xml:space="preserve"> borkumensis</w:t>
      </w:r>
      <w:r w:rsidRPr="00447599">
        <w:rPr>
          <w:rFonts w:ascii="Times" w:hAnsi="Times"/>
          <w:color w:val="000000"/>
          <w:shd w:val="clear" w:color="auto" w:fill="FFFFFF"/>
        </w:rPr>
        <w:t xml:space="preserve">, the highest </w:t>
      </w:r>
      <w:r w:rsidRPr="00447599">
        <w:rPr>
          <w:rFonts w:asciiTheme="majorBidi" w:eastAsia="Arial" w:hAnsiTheme="majorBidi" w:cstheme="majorBidi"/>
          <w:color w:val="000000" w:themeColor="text1"/>
          <w:lang w:val="en-CA" w:bidi="fa-IR"/>
        </w:rPr>
        <w:t>PCA 3,4-dioxygenase</w:t>
      </w:r>
      <w:r w:rsidRPr="00447599">
        <w:rPr>
          <w:rFonts w:ascii="Times" w:hAnsi="Times"/>
          <w:color w:val="000000"/>
          <w:shd w:val="clear" w:color="auto" w:fill="FFFFFF"/>
        </w:rPr>
        <w:t xml:space="preserve"> activity may have been observed. </w:t>
      </w:r>
    </w:p>
    <w:p w14:paraId="29C16017" w14:textId="77777777" w:rsidR="008D3CCE" w:rsidRPr="00447599" w:rsidRDefault="008D3CCE" w:rsidP="003340EF">
      <w:pPr>
        <w:spacing w:line="276" w:lineRule="auto"/>
        <w:jc w:val="both"/>
        <w:rPr>
          <w:rFonts w:ascii="Times" w:hAnsi="Times"/>
          <w:color w:val="000000"/>
          <w:shd w:val="clear" w:color="auto" w:fill="FFFFFF"/>
        </w:rPr>
      </w:pPr>
    </w:p>
    <w:p w14:paraId="7A902DB1" w14:textId="45721F08" w:rsidR="008D3CCE" w:rsidRPr="00447599" w:rsidRDefault="008D3CCE" w:rsidP="003340EF">
      <w:pPr>
        <w:spacing w:line="276" w:lineRule="auto"/>
        <w:jc w:val="both"/>
        <w:rPr>
          <w:rFonts w:asciiTheme="majorBidi" w:hAnsiTheme="majorBidi" w:cstheme="majorBidi"/>
          <w:color w:val="000000" w:themeColor="text1"/>
        </w:rPr>
      </w:pPr>
      <w:r w:rsidRPr="00447599">
        <w:rPr>
          <w:rFonts w:asciiTheme="majorBidi" w:hAnsiTheme="majorBidi" w:cstheme="majorBidi"/>
          <w:color w:val="000000" w:themeColor="text1"/>
        </w:rPr>
        <w:t>The results of this study also showed that the enzyme production increased in the multi-culture of selected strains. Genetically engineered microbes have been suggested for achieving preferable biodegradation pathways within a single strain of bacteria. However, it is possible to combine enzymes from different bacteria and devise multi-step catalysis for the degradation of PAHs. In addition, environmental risks associated with the release of genetically engineered organisms in the environment must be considered.</w:t>
      </w:r>
      <w:r w:rsidRPr="00447599">
        <w:rPr>
          <w:rFonts w:asciiTheme="majorBidi" w:hAnsiTheme="majorBidi" w:cstheme="majorBidi"/>
          <w:color w:val="000000" w:themeColor="text1"/>
        </w:rPr>
        <w:fldChar w:fldCharType="begin"/>
      </w:r>
      <w:r w:rsidR="00017A0C" w:rsidRPr="00447599">
        <w:rPr>
          <w:rFonts w:asciiTheme="majorBidi" w:hAnsiTheme="majorBidi" w:cstheme="majorBidi"/>
          <w:color w:val="000000" w:themeColor="text1"/>
        </w:rPr>
        <w:instrText xml:space="preserve"> ADDIN EN.CITE &lt;EndNote&gt;&lt;Cite&gt;&lt;Author&gt;Miri&lt;/Author&gt;&lt;Year&gt;2019&lt;/Year&gt;&lt;RecNum&gt;238&lt;/RecNum&gt;&lt;DisplayText&gt;&lt;style face="superscript"&gt;34&lt;/style&gt;&lt;/DisplayText&gt;&lt;record&gt;&lt;rec-number&gt;238&lt;/rec-number&gt;&lt;foreign-keys&gt;&lt;key app="EN" db-id="e29dz2seoxz0a5es2wbveszlv0aaex2r2sra" timestamp="1659989091"&gt;238&lt;/key&gt;&lt;/foreign-keys&gt;&lt;ref-type name="Journal Article"&gt;17&lt;/ref-type&gt;&lt;contributors&gt;&lt;authors&gt;&lt;author&gt;Miri, Saba&lt;/author&gt;&lt;author&gt;Naghdi, Mitra&lt;/author&gt;&lt;author&gt;Rouissi, Tarek&lt;/author&gt;&lt;author&gt;Kaur Brar, Satinder&lt;/author&gt;&lt;author&gt;Martel, Richard&lt;/author&gt;&lt;/authors&gt;&lt;/contributors&gt;&lt;titles&gt;&lt;title&gt;Recent biotechnological advances in petroleum hydrocarbons degradation under cold climate conditions: A review&lt;/title&gt;&lt;secondary-title&gt;Critical Reviews in Environmental Science and Technology&lt;/secondary-title&gt;&lt;/titles&gt;&lt;periodical&gt;&lt;full-title&gt;Critical Reviews in Environmental Science and Technology&lt;/full-title&gt;&lt;/periodical&gt;&lt;pages&gt;553-586&lt;/pages&gt;&lt;volume&gt;49&lt;/volume&gt;&lt;number&gt;7&lt;/number&gt;&lt;dates&gt;&lt;year&gt;2019&lt;/year&gt;&lt;/dates&gt;&lt;isbn&gt;1064-3389&lt;/isbn&gt;&lt;urls&gt;&lt;/urls&gt;&lt;/record&gt;&lt;/Cite&gt;&lt;/EndNote&gt;</w:instrText>
      </w:r>
      <w:r w:rsidRPr="00447599">
        <w:rPr>
          <w:rFonts w:asciiTheme="majorBidi" w:hAnsiTheme="majorBidi" w:cstheme="majorBidi"/>
          <w:color w:val="000000" w:themeColor="text1"/>
        </w:rPr>
        <w:fldChar w:fldCharType="separate"/>
      </w:r>
      <w:r w:rsidR="00017A0C" w:rsidRPr="00447599">
        <w:rPr>
          <w:rFonts w:asciiTheme="majorBidi" w:hAnsiTheme="majorBidi" w:cstheme="majorBidi"/>
          <w:noProof/>
          <w:color w:val="000000" w:themeColor="text1"/>
          <w:vertAlign w:val="superscript"/>
        </w:rPr>
        <w:t>34</w:t>
      </w:r>
      <w:r w:rsidRPr="00447599">
        <w:rPr>
          <w:rFonts w:asciiTheme="majorBidi" w:hAnsiTheme="majorBidi" w:cstheme="majorBidi"/>
          <w:color w:val="000000" w:themeColor="text1"/>
        </w:rPr>
        <w:fldChar w:fldCharType="end"/>
      </w:r>
    </w:p>
    <w:p w14:paraId="30209DFE" w14:textId="0AF1299B" w:rsidR="00B23D1D" w:rsidRPr="00447599" w:rsidRDefault="00B23D1D" w:rsidP="003340EF">
      <w:pPr>
        <w:spacing w:line="276" w:lineRule="auto"/>
        <w:jc w:val="both"/>
        <w:rPr>
          <w:rFonts w:cstheme="minorHAnsi"/>
          <w:color w:val="000000" w:themeColor="text1"/>
        </w:rPr>
      </w:pPr>
    </w:p>
    <w:p w14:paraId="427941AF" w14:textId="40D9C060" w:rsidR="00B23D1D" w:rsidRPr="00447599" w:rsidRDefault="00B23D1D" w:rsidP="003340EF">
      <w:pPr>
        <w:spacing w:line="276" w:lineRule="auto"/>
        <w:jc w:val="both"/>
        <w:rPr>
          <w:rFonts w:cstheme="minorHAnsi"/>
          <w:color w:val="000000" w:themeColor="text1"/>
        </w:rPr>
      </w:pPr>
    </w:p>
    <w:p w14:paraId="7CB5E8A1" w14:textId="38CC04A4" w:rsidR="00254BD0" w:rsidRPr="00447599" w:rsidRDefault="007F2899" w:rsidP="003340EF">
      <w:pPr>
        <w:spacing w:line="276" w:lineRule="auto"/>
        <w:jc w:val="center"/>
        <w:rPr>
          <w:rFonts w:ascii="Times" w:hAnsi="Times" w:cs="Arial"/>
          <w:color w:val="000000" w:themeColor="text1"/>
        </w:rPr>
      </w:pPr>
      <w:r w:rsidRPr="00447599">
        <w:rPr>
          <w:rFonts w:ascii="Times" w:hAnsi="Times" w:cs="Arial"/>
          <w:noProof/>
          <w:color w:val="000000" w:themeColor="text1"/>
        </w:rPr>
        <w:drawing>
          <wp:inline distT="0" distB="0" distL="0" distR="0" wp14:anchorId="05DAE5D7" wp14:editId="082FA379">
            <wp:extent cx="9500881" cy="39485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9609856" cy="399384"/>
                    </a:xfrm>
                    <a:prstGeom prst="rect">
                      <a:avLst/>
                    </a:prstGeom>
                  </pic:spPr>
                </pic:pic>
              </a:graphicData>
            </a:graphic>
          </wp:inline>
        </w:drawing>
      </w:r>
    </w:p>
    <w:p w14:paraId="71F9339D" w14:textId="77777777" w:rsidR="00B83ED6" w:rsidRPr="00447599" w:rsidRDefault="00B83ED6" w:rsidP="003340EF">
      <w:pPr>
        <w:spacing w:line="276" w:lineRule="auto"/>
        <w:rPr>
          <w:noProof/>
        </w:rPr>
      </w:pPr>
      <w:r w:rsidRPr="00447599">
        <w:rPr>
          <w:noProof/>
          <w:sz w:val="21"/>
          <w:szCs w:val="21"/>
        </w:rPr>
        <w:drawing>
          <wp:inline distT="0" distB="0" distL="0" distR="0" wp14:anchorId="7FFA34E1" wp14:editId="2031B812">
            <wp:extent cx="4957445" cy="3494315"/>
            <wp:effectExtent l="0" t="0" r="0" b="0"/>
            <wp:docPr id="5" name="Chart 5">
              <a:extLst xmlns:a="http://schemas.openxmlformats.org/drawingml/2006/main">
                <a:ext uri="{FF2B5EF4-FFF2-40B4-BE49-F238E27FC236}">
                  <a16:creationId xmlns:a16="http://schemas.microsoft.com/office/drawing/2014/main" id="{23DDC676-3454-8647-B2EF-7A4F7D5EACE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447599">
        <w:rPr>
          <w:noProof/>
        </w:rPr>
        <w:t xml:space="preserve"> </w:t>
      </w:r>
      <w:r w:rsidRPr="00447599">
        <w:rPr>
          <w:noProof/>
          <w:sz w:val="28"/>
          <w:szCs w:val="28"/>
        </w:rPr>
        <w:drawing>
          <wp:inline distT="0" distB="0" distL="0" distR="0" wp14:anchorId="1A4CE7C4" wp14:editId="275A76D7">
            <wp:extent cx="4900295" cy="3496583"/>
            <wp:effectExtent l="0" t="0" r="1905" b="0"/>
            <wp:docPr id="6" name="Chart 6">
              <a:extLst xmlns:a="http://schemas.openxmlformats.org/drawingml/2006/main">
                <a:ext uri="{FF2B5EF4-FFF2-40B4-BE49-F238E27FC236}">
                  <a16:creationId xmlns:a16="http://schemas.microsoft.com/office/drawing/2014/main" id="{A1ADC50E-8563-9F41-A613-AA8FD553377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3A19AC7" w14:textId="77777777" w:rsidR="00B83ED6" w:rsidRPr="00447599" w:rsidRDefault="00B83ED6" w:rsidP="003340EF">
      <w:pPr>
        <w:spacing w:line="276" w:lineRule="auto"/>
        <w:rPr>
          <w:noProof/>
        </w:rPr>
      </w:pPr>
    </w:p>
    <w:p w14:paraId="34C2B2D4" w14:textId="77777777" w:rsidR="00B83ED6" w:rsidRPr="00447599" w:rsidRDefault="00592D90" w:rsidP="003340EF">
      <w:pPr>
        <w:spacing w:line="276" w:lineRule="auto"/>
        <w:rPr>
          <w:b/>
        </w:rPr>
      </w:pPr>
      <w:r w:rsidRPr="00447599">
        <w:rPr>
          <w:noProof/>
        </w:rPr>
        <w:drawing>
          <wp:inline distT="0" distB="0" distL="0" distR="0" wp14:anchorId="61586123" wp14:editId="09DCA961">
            <wp:extent cx="4914900" cy="3281680"/>
            <wp:effectExtent l="0" t="0" r="0" b="0"/>
            <wp:docPr id="7" name="Chart 7">
              <a:extLst xmlns:a="http://schemas.openxmlformats.org/drawingml/2006/main">
                <a:ext uri="{FF2B5EF4-FFF2-40B4-BE49-F238E27FC236}">
                  <a16:creationId xmlns:a16="http://schemas.microsoft.com/office/drawing/2014/main" id="{699532D0-4704-5145-98AA-7670744869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447599">
        <w:rPr>
          <w:noProof/>
        </w:rPr>
        <w:drawing>
          <wp:inline distT="0" distB="0" distL="0" distR="0" wp14:anchorId="4911B500" wp14:editId="4724219E">
            <wp:extent cx="5057775" cy="3278142"/>
            <wp:effectExtent l="0" t="0" r="0" b="0"/>
            <wp:docPr id="9" name="Chart 9">
              <a:extLst xmlns:a="http://schemas.openxmlformats.org/drawingml/2006/main">
                <a:ext uri="{FF2B5EF4-FFF2-40B4-BE49-F238E27FC236}">
                  <a16:creationId xmlns:a16="http://schemas.microsoft.com/office/drawing/2014/main" id="{735E3B46-3111-014F-98A5-7F4BB220B9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FE884B6" w14:textId="77777777" w:rsidR="00592D90" w:rsidRPr="00447599" w:rsidRDefault="00592D90" w:rsidP="003340EF">
      <w:pPr>
        <w:spacing w:line="276" w:lineRule="auto"/>
        <w:rPr>
          <w:b/>
        </w:rPr>
      </w:pPr>
    </w:p>
    <w:p w14:paraId="4F6811EA" w14:textId="77777777" w:rsidR="00592D90" w:rsidRPr="00447599" w:rsidRDefault="00592D90" w:rsidP="003340EF">
      <w:pPr>
        <w:spacing w:line="276" w:lineRule="auto"/>
        <w:rPr>
          <w:b/>
        </w:rPr>
      </w:pPr>
      <w:r w:rsidRPr="00447599">
        <w:rPr>
          <w:noProof/>
        </w:rPr>
        <w:lastRenderedPageBreak/>
        <w:drawing>
          <wp:inline distT="0" distB="0" distL="0" distR="0" wp14:anchorId="2CEF567D" wp14:editId="2BF086CE">
            <wp:extent cx="5082268" cy="3607435"/>
            <wp:effectExtent l="0" t="0" r="0" b="0"/>
            <wp:docPr id="10" name="Chart 10">
              <a:extLst xmlns:a="http://schemas.openxmlformats.org/drawingml/2006/main">
                <a:ext uri="{FF2B5EF4-FFF2-40B4-BE49-F238E27FC236}">
                  <a16:creationId xmlns:a16="http://schemas.microsoft.com/office/drawing/2014/main" id="{DD4FACA0-7B1B-0B44-8D9F-89DC243BC8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447599">
        <w:rPr>
          <w:noProof/>
        </w:rPr>
        <w:drawing>
          <wp:inline distT="0" distB="0" distL="0" distR="0" wp14:anchorId="3E3E5384" wp14:editId="07B3FC61">
            <wp:extent cx="4751070" cy="3596005"/>
            <wp:effectExtent l="0" t="0" r="11430" b="0"/>
            <wp:docPr id="11" name="Chart 11">
              <a:extLst xmlns:a="http://schemas.openxmlformats.org/drawingml/2006/main">
                <a:ext uri="{FF2B5EF4-FFF2-40B4-BE49-F238E27FC236}">
                  <a16:creationId xmlns:a16="http://schemas.microsoft.com/office/drawing/2014/main" id="{FB3EA679-4A03-2E40-8AC6-FD1A7F5AA1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5236B09" w14:textId="77777777" w:rsidR="005A38A8" w:rsidRPr="00447599" w:rsidRDefault="005A38A8" w:rsidP="003340EF">
      <w:pPr>
        <w:spacing w:line="276" w:lineRule="auto"/>
        <w:rPr>
          <w:b/>
        </w:rPr>
      </w:pPr>
    </w:p>
    <w:p w14:paraId="76606B58" w14:textId="77777777" w:rsidR="005A38A8" w:rsidRPr="00447599" w:rsidRDefault="005A38A8" w:rsidP="003340EF">
      <w:pPr>
        <w:spacing w:line="276" w:lineRule="auto"/>
        <w:rPr>
          <w:b/>
        </w:rPr>
      </w:pPr>
      <w:r w:rsidRPr="00447599">
        <w:rPr>
          <w:noProof/>
        </w:rPr>
        <w:lastRenderedPageBreak/>
        <w:drawing>
          <wp:inline distT="0" distB="0" distL="0" distR="0" wp14:anchorId="5587CBB1" wp14:editId="626D335B">
            <wp:extent cx="4987636" cy="3671570"/>
            <wp:effectExtent l="0" t="0" r="3810" b="0"/>
            <wp:docPr id="12" name="Chart 12">
              <a:extLst xmlns:a="http://schemas.openxmlformats.org/drawingml/2006/main">
                <a:ext uri="{FF2B5EF4-FFF2-40B4-BE49-F238E27FC236}">
                  <a16:creationId xmlns:a16="http://schemas.microsoft.com/office/drawing/2014/main" id="{492E101D-83F0-AB4C-9380-8731032AB3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447599">
        <w:rPr>
          <w:noProof/>
        </w:rPr>
        <w:drawing>
          <wp:inline distT="0" distB="0" distL="0" distR="0" wp14:anchorId="3F4A8955" wp14:editId="767D19B6">
            <wp:extent cx="4979670" cy="3673566"/>
            <wp:effectExtent l="0" t="0" r="0" b="0"/>
            <wp:docPr id="13" name="Chart 13">
              <a:extLst xmlns:a="http://schemas.openxmlformats.org/drawingml/2006/main">
                <a:ext uri="{FF2B5EF4-FFF2-40B4-BE49-F238E27FC236}">
                  <a16:creationId xmlns:a16="http://schemas.microsoft.com/office/drawing/2014/main" id="{2578FA1F-68A3-B844-BF71-AA236DA70F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9677F64" w14:textId="77777777" w:rsidR="005A38A8" w:rsidRPr="00447599" w:rsidRDefault="005A38A8" w:rsidP="003340EF">
      <w:pPr>
        <w:spacing w:line="276" w:lineRule="auto"/>
        <w:rPr>
          <w:b/>
        </w:rPr>
      </w:pPr>
    </w:p>
    <w:p w14:paraId="248B99A3" w14:textId="4E411042" w:rsidR="005A38A8" w:rsidRPr="00447599" w:rsidRDefault="005A38A8" w:rsidP="003340EF">
      <w:pPr>
        <w:spacing w:line="276" w:lineRule="auto"/>
        <w:rPr>
          <w:b/>
        </w:rPr>
      </w:pPr>
      <w:r w:rsidRPr="00447599">
        <w:rPr>
          <w:noProof/>
        </w:rPr>
        <w:lastRenderedPageBreak/>
        <w:drawing>
          <wp:inline distT="0" distB="0" distL="0" distR="0" wp14:anchorId="5247D497" wp14:editId="5D9F1EBC">
            <wp:extent cx="4816929" cy="3477895"/>
            <wp:effectExtent l="0" t="0" r="9525" b="1905"/>
            <wp:docPr id="14" name="Chart 14">
              <a:extLst xmlns:a="http://schemas.openxmlformats.org/drawingml/2006/main">
                <a:ext uri="{FF2B5EF4-FFF2-40B4-BE49-F238E27FC236}">
                  <a16:creationId xmlns:a16="http://schemas.microsoft.com/office/drawing/2014/main" id="{48622596-7D97-9B4E-9359-408B2501FD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447599">
        <w:rPr>
          <w:noProof/>
        </w:rPr>
        <w:drawing>
          <wp:inline distT="0" distB="0" distL="0" distR="0" wp14:anchorId="311980EE" wp14:editId="017EC118">
            <wp:extent cx="4963705" cy="3477895"/>
            <wp:effectExtent l="0" t="0" r="2540" b="1905"/>
            <wp:docPr id="15" name="Chart 15">
              <a:extLst xmlns:a="http://schemas.openxmlformats.org/drawingml/2006/main">
                <a:ext uri="{FF2B5EF4-FFF2-40B4-BE49-F238E27FC236}">
                  <a16:creationId xmlns:a16="http://schemas.microsoft.com/office/drawing/2014/main" id="{560DE16A-4BBA-C24B-B870-482CD80328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93EC16" w14:textId="09C2E0EF" w:rsidR="005A38A8" w:rsidRPr="00447599" w:rsidRDefault="005A38A8" w:rsidP="003340EF">
      <w:pPr>
        <w:spacing w:line="276" w:lineRule="auto"/>
        <w:rPr>
          <w:b/>
        </w:rPr>
        <w:sectPr w:rsidR="005A38A8" w:rsidRPr="00447599" w:rsidSect="00B83ED6">
          <w:pgSz w:w="18720" w:h="12240" w:orient="landscape"/>
          <w:pgMar w:top="1440" w:right="1440" w:bottom="1440" w:left="1440" w:header="708" w:footer="708" w:gutter="0"/>
          <w:cols w:space="708"/>
          <w:docGrid w:linePitch="360"/>
        </w:sectPr>
      </w:pPr>
    </w:p>
    <w:p w14:paraId="510A8456" w14:textId="43D5B950" w:rsidR="0051152A" w:rsidRPr="00447599" w:rsidRDefault="0051152A" w:rsidP="003340EF">
      <w:pPr>
        <w:spacing w:line="276" w:lineRule="auto"/>
      </w:pPr>
      <w:r w:rsidRPr="00447599">
        <w:rPr>
          <w:b/>
        </w:rPr>
        <w:lastRenderedPageBreak/>
        <w:t>Fig</w:t>
      </w:r>
      <w:r w:rsidR="00250E1C" w:rsidRPr="00447599">
        <w:rPr>
          <w:b/>
        </w:rPr>
        <w:t xml:space="preserve"> </w:t>
      </w:r>
      <w:r w:rsidRPr="00447599">
        <w:rPr>
          <w:b/>
        </w:rPr>
        <w:t>S</w:t>
      </w:r>
      <w:r w:rsidR="00250E1C" w:rsidRPr="00447599">
        <w:rPr>
          <w:b/>
        </w:rPr>
        <w:t>3</w:t>
      </w:r>
      <w:r w:rsidRPr="00447599">
        <w:t xml:space="preserve"> Enzyme activity of different cultures </w:t>
      </w:r>
      <w:r w:rsidR="00A5137C" w:rsidRPr="00447599">
        <w:t xml:space="preserve">inoculated on </w:t>
      </w:r>
      <w:r w:rsidR="0070614B" w:rsidRPr="00447599">
        <w:t>a and b)</w:t>
      </w:r>
      <w:r w:rsidRPr="00447599">
        <w:t xml:space="preserve"> </w:t>
      </w:r>
      <w:r w:rsidR="0070614B" w:rsidRPr="00447599">
        <w:t xml:space="preserve">NDH, c and d) PDH, e and f) C2,3D, g and h ) HY, i and J) PCAD </w:t>
      </w:r>
    </w:p>
    <w:p w14:paraId="45C0E186" w14:textId="058483D8" w:rsidR="00B23D1D" w:rsidRPr="00447599" w:rsidRDefault="00B23D1D" w:rsidP="003340EF">
      <w:pPr>
        <w:spacing w:line="276" w:lineRule="auto"/>
        <w:jc w:val="both"/>
        <w:rPr>
          <w:rFonts w:ascii="Times" w:hAnsi="Times" w:cs="Arial"/>
          <w:color w:val="000000" w:themeColor="text1"/>
        </w:rPr>
      </w:pPr>
    </w:p>
    <w:p w14:paraId="2AF678A6" w14:textId="37770C2F" w:rsidR="00AE42DF" w:rsidRPr="00447599" w:rsidRDefault="00AE42DF" w:rsidP="003340EF">
      <w:pPr>
        <w:spacing w:line="276" w:lineRule="auto"/>
        <w:jc w:val="both"/>
        <w:rPr>
          <w:rFonts w:asciiTheme="majorBidi" w:hAnsiTheme="majorBidi" w:cstheme="majorBidi"/>
        </w:rPr>
      </w:pPr>
    </w:p>
    <w:p w14:paraId="43B80A7E" w14:textId="6549E3E2" w:rsidR="00114116" w:rsidRPr="00447599" w:rsidRDefault="00114116" w:rsidP="00114116">
      <w:pPr>
        <w:spacing w:line="360" w:lineRule="auto"/>
        <w:jc w:val="both"/>
        <w:rPr>
          <w:rFonts w:ascii="Times" w:hAnsi="Times"/>
        </w:rPr>
      </w:pPr>
      <w:r w:rsidRPr="00447599">
        <w:rPr>
          <w:rFonts w:ascii="Times" w:hAnsi="Times" w:cstheme="majorBidi"/>
          <w:color w:val="000000" w:themeColor="text1"/>
        </w:rPr>
        <w:t>We hypothesized that by incorporating each of the above-mentioned isolated strains, benefits would be gained from enzymes produced by each strain and toxic intermediates produced during incomplete removal of pyrene would be eliminated.</w:t>
      </w:r>
      <w:r w:rsidRPr="00447599">
        <w:rPr>
          <w:rFonts w:ascii="Times" w:hAnsi="Times"/>
        </w:rPr>
        <w:t xml:space="preserve"> </w:t>
      </w:r>
      <w:r w:rsidRPr="00447599">
        <w:rPr>
          <w:rFonts w:ascii="Times" w:hAnsi="Times" w:cstheme="majorBidi"/>
          <w:color w:val="000000" w:themeColor="text1"/>
        </w:rPr>
        <w:t xml:space="preserve">Miri et.al reported that the complete biodegradation of monoaromatic compounds such as p-xylene requires a mixture of different bacterial by two bacteria strains, </w:t>
      </w:r>
      <w:r w:rsidRPr="00447599">
        <w:rPr>
          <w:rFonts w:ascii="Times" w:hAnsi="Times" w:cstheme="majorBidi"/>
          <w:i/>
          <w:iCs/>
          <w:color w:val="000000" w:themeColor="text1"/>
        </w:rPr>
        <w:t xml:space="preserve">Pseudomonas synxantha </w:t>
      </w:r>
      <w:r w:rsidRPr="00447599">
        <w:rPr>
          <w:rFonts w:ascii="Times" w:hAnsi="Times" w:cstheme="majorBidi"/>
          <w:color w:val="000000" w:themeColor="text1"/>
        </w:rPr>
        <w:t xml:space="preserve">S2TR-26 and </w:t>
      </w:r>
      <w:r w:rsidRPr="00447599">
        <w:rPr>
          <w:rFonts w:ascii="Times" w:hAnsi="Times" w:cstheme="majorBidi"/>
          <w:i/>
          <w:iCs/>
          <w:color w:val="000000" w:themeColor="text1"/>
        </w:rPr>
        <w:t>Pseudomonas mandelii</w:t>
      </w:r>
      <w:r w:rsidRPr="00447599">
        <w:rPr>
          <w:rFonts w:ascii="Times" w:hAnsi="Times" w:cstheme="majorBidi"/>
          <w:color w:val="000000" w:themeColor="text1"/>
        </w:rPr>
        <w:t xml:space="preserve"> S2TR-08. </w:t>
      </w:r>
      <w:r w:rsidRPr="00447599">
        <w:rPr>
          <w:rFonts w:ascii="Times" w:hAnsi="Times" w:cstheme="majorBidi"/>
          <w:color w:val="000000" w:themeColor="text1"/>
        </w:rPr>
        <w:fldChar w:fldCharType="begin"/>
      </w:r>
      <w:r w:rsidR="00017A0C" w:rsidRPr="00447599">
        <w:rPr>
          <w:rFonts w:ascii="Times" w:hAnsi="Times" w:cstheme="majorBidi"/>
          <w:color w:val="000000" w:themeColor="text1"/>
        </w:rPr>
        <w:instrText xml:space="preserve"> ADDIN EN.CITE &lt;EndNote&gt;&lt;Cite&gt;&lt;Author&gt;Miri&lt;/Author&gt;&lt;Year&gt;2022&lt;/Year&gt;&lt;RecNum&gt;160&lt;/RecNum&gt;&lt;DisplayText&gt;&lt;style face="superscript"&gt;19&lt;/style&gt;&lt;/DisplayText&gt;&lt;record&gt;&lt;rec-number&gt;160&lt;/rec-number&gt;&lt;foreign-keys&gt;&lt;key app="EN" db-id="r2drdew5yssptue5sw0xvaemwvz2e59x0pzr" timestamp="1651016837"&gt;160&lt;/key&gt;&lt;/foreign-keys&gt;&lt;ref-type name="Journal Article"&gt;17&lt;/ref-type&gt;&lt;contributors&gt;&lt;authors&gt;&lt;author&gt;Miri, Saba&lt;/author&gt;&lt;author&gt;Davoodi, Seyyed Mohammadreza&lt;/author&gt;&lt;author&gt;Robert, Thomas&lt;/author&gt;&lt;author&gt;Brar, Satinder Kaur&lt;/author&gt;&lt;author&gt;Martel, Richard&lt;/author&gt;&lt;author&gt;Rouissi, Tarek&lt;/author&gt;&lt;/authors&gt;&lt;/contributors&gt;&lt;titles&gt;&lt;title&gt;Enzymatic biodegradation of highly p-xylene contaminated soil using cold-active enzymes: A soil column study&lt;/title&gt;&lt;secondary-title&gt;Journal of Hazardous Materials&lt;/secondary-title&gt;&lt;/titles&gt;&lt;periodical&gt;&lt;full-title&gt;Journal of Hazardous materials&lt;/full-title&gt;&lt;abbr-1&gt;J. Hazard. Mater.&lt;/abbr-1&gt;&lt;abbr-2&gt;J Hazard Mater&lt;/abbr-2&gt;&lt;/periodical&gt;&lt;pages&gt;127099&lt;/pages&gt;&lt;volume&gt;423&lt;/volume&gt;&lt;dates&gt;&lt;year&gt;2022&lt;/year&gt;&lt;/dates&gt;&lt;isbn&gt;0304-3894&lt;/isbn&gt;&lt;urls&gt;&lt;/urls&gt;&lt;/record&gt;&lt;/Cite&gt;&lt;/EndNote&gt;</w:instrText>
      </w:r>
      <w:r w:rsidRPr="00447599">
        <w:rPr>
          <w:rFonts w:ascii="Times" w:hAnsi="Times" w:cstheme="majorBidi"/>
          <w:color w:val="000000" w:themeColor="text1"/>
        </w:rPr>
        <w:fldChar w:fldCharType="separate"/>
      </w:r>
      <w:r w:rsidR="00017A0C" w:rsidRPr="00447599">
        <w:rPr>
          <w:rFonts w:ascii="Times" w:hAnsi="Times" w:cstheme="majorBidi"/>
          <w:noProof/>
          <w:color w:val="000000" w:themeColor="text1"/>
          <w:vertAlign w:val="superscript"/>
        </w:rPr>
        <w:t>19</w:t>
      </w:r>
      <w:r w:rsidRPr="00447599">
        <w:rPr>
          <w:rFonts w:ascii="Times" w:hAnsi="Times" w:cstheme="majorBidi"/>
          <w:color w:val="000000" w:themeColor="text1"/>
        </w:rPr>
        <w:fldChar w:fldCharType="end"/>
      </w:r>
      <w:r w:rsidRPr="00447599">
        <w:rPr>
          <w:rFonts w:ascii="Times" w:hAnsi="Times" w:cstheme="majorBidi"/>
          <w:color w:val="000000" w:themeColor="text1"/>
        </w:rPr>
        <w:t xml:space="preserve"> The result of this study showed that the multi-culture of strains and their enzymes could degrade pyrene to the inter final product. </w:t>
      </w:r>
      <w:r w:rsidRPr="00447599">
        <w:rPr>
          <w:rFonts w:ascii="Times" w:hAnsi="Times"/>
          <w:color w:val="000000"/>
          <w:shd w:val="clear" w:color="auto" w:fill="FFFFFF"/>
        </w:rPr>
        <w:t xml:space="preserve">This study showed that a multi-culture of strains and their enzymes can degrade pyrene to final products (Fig.4). </w:t>
      </w:r>
    </w:p>
    <w:p w14:paraId="06774BDC" w14:textId="77777777" w:rsidR="00114116" w:rsidRPr="00447599" w:rsidRDefault="00114116" w:rsidP="00114116">
      <w:pPr>
        <w:spacing w:line="360" w:lineRule="auto"/>
        <w:jc w:val="both"/>
        <w:rPr>
          <w:rFonts w:ascii="Times" w:hAnsi="Times" w:cstheme="majorBidi"/>
          <w:color w:val="000000" w:themeColor="text1"/>
        </w:rPr>
      </w:pPr>
    </w:p>
    <w:p w14:paraId="29A5E05C" w14:textId="77777777" w:rsidR="00114116" w:rsidRPr="00447599" w:rsidRDefault="00114116" w:rsidP="00114116">
      <w:pPr>
        <w:spacing w:line="360" w:lineRule="auto"/>
        <w:jc w:val="both"/>
        <w:rPr>
          <w:rFonts w:ascii="Times" w:hAnsi="Times" w:cstheme="majorBidi"/>
          <w:color w:val="000000" w:themeColor="text1"/>
        </w:rPr>
      </w:pPr>
    </w:p>
    <w:p w14:paraId="5B9CEE0E" w14:textId="2D9B3783" w:rsidR="00114116" w:rsidRPr="00447599" w:rsidRDefault="00114116" w:rsidP="00114116">
      <w:pPr>
        <w:spacing w:line="360" w:lineRule="auto"/>
        <w:jc w:val="both"/>
        <w:rPr>
          <w:rFonts w:ascii="Times" w:hAnsi="Times" w:cstheme="majorBidi"/>
          <w:color w:val="000000" w:themeColor="text1"/>
        </w:rPr>
      </w:pPr>
      <w:r w:rsidRPr="00447599">
        <w:rPr>
          <w:rFonts w:ascii="Times" w:hAnsi="Times" w:cstheme="majorBidi"/>
          <w:noProof/>
          <w:color w:val="000000" w:themeColor="text1"/>
        </w:rPr>
        <w:lastRenderedPageBreak/>
        <w:drawing>
          <wp:inline distT="0" distB="0" distL="0" distR="0" wp14:anchorId="2E65779D" wp14:editId="05AA846D">
            <wp:extent cx="6739551" cy="4641011"/>
            <wp:effectExtent l="0" t="0" r="4445" b="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22"/>
                    <a:stretch>
                      <a:fillRect/>
                    </a:stretch>
                  </pic:blipFill>
                  <pic:spPr>
                    <a:xfrm>
                      <a:off x="0" y="0"/>
                      <a:ext cx="6759764" cy="4654930"/>
                    </a:xfrm>
                    <a:prstGeom prst="rect">
                      <a:avLst/>
                    </a:prstGeom>
                  </pic:spPr>
                </pic:pic>
              </a:graphicData>
            </a:graphic>
          </wp:inline>
        </w:drawing>
      </w:r>
      <w:r w:rsidRPr="00447599">
        <w:rPr>
          <w:rFonts w:ascii="Times" w:hAnsi="Times" w:cstheme="majorBidi"/>
          <w:color w:val="000000" w:themeColor="text1"/>
        </w:rPr>
        <w:t xml:space="preserve">Fig.S4. Proposed catabolic pathway of pyrene for pre-selected strains </w:t>
      </w:r>
    </w:p>
    <w:p w14:paraId="40835211" w14:textId="77777777" w:rsidR="002224ED" w:rsidRPr="00447599" w:rsidRDefault="002224ED" w:rsidP="003340EF">
      <w:pPr>
        <w:spacing w:line="276" w:lineRule="auto"/>
        <w:rPr>
          <w:rFonts w:asciiTheme="majorBidi" w:hAnsiTheme="majorBidi" w:cstheme="majorBidi"/>
        </w:rPr>
        <w:sectPr w:rsidR="002224ED" w:rsidRPr="00447599" w:rsidSect="00664CD2">
          <w:pgSz w:w="12240" w:h="15840"/>
          <w:pgMar w:top="1440" w:right="1440" w:bottom="1440" w:left="1440" w:header="708" w:footer="708" w:gutter="0"/>
          <w:cols w:space="708"/>
          <w:docGrid w:linePitch="360"/>
        </w:sectPr>
      </w:pPr>
    </w:p>
    <w:p w14:paraId="3A1F23C1" w14:textId="27EA4591" w:rsidR="002224ED" w:rsidRPr="00447599" w:rsidRDefault="00027609" w:rsidP="003340EF">
      <w:pPr>
        <w:spacing w:line="276" w:lineRule="auto"/>
        <w:rPr>
          <w:rFonts w:asciiTheme="majorBidi" w:hAnsiTheme="majorBidi" w:cstheme="majorBidi"/>
          <w:noProof/>
        </w:rPr>
      </w:pPr>
      <w:r w:rsidRPr="00447599">
        <w:rPr>
          <w:rFonts w:ascii="Calibri" w:hAnsi="Calibri" w:cs="Calibri"/>
          <w:noProof/>
        </w:rPr>
        <w:lastRenderedPageBreak/>
        <w:t>﻿</w:t>
      </w:r>
      <w:r w:rsidRPr="00447599">
        <w:rPr>
          <w:rFonts w:asciiTheme="majorBidi" w:hAnsiTheme="majorBidi" w:cstheme="majorBidi"/>
          <w:noProof/>
        </w:rPr>
        <w:t xml:space="preserve">Table </w:t>
      </w:r>
      <w:r w:rsidR="0037122C" w:rsidRPr="00447599">
        <w:rPr>
          <w:rFonts w:asciiTheme="majorBidi" w:hAnsiTheme="majorBidi" w:cstheme="majorBidi"/>
          <w:noProof/>
        </w:rPr>
        <w:t>S</w:t>
      </w:r>
      <w:r w:rsidR="00106EC7" w:rsidRPr="00447599">
        <w:rPr>
          <w:rFonts w:asciiTheme="majorBidi" w:hAnsiTheme="majorBidi" w:cstheme="majorBidi"/>
          <w:noProof/>
        </w:rPr>
        <w:t>7</w:t>
      </w:r>
      <w:r w:rsidRPr="00447599">
        <w:rPr>
          <w:rFonts w:asciiTheme="majorBidi" w:hAnsiTheme="majorBidi" w:cstheme="majorBidi"/>
          <w:noProof/>
        </w:rPr>
        <w:t xml:space="preserve"> Pyrene sorption isotherm parameters for the Langmuir, Freundlich, and Distributed Reactivity Models (DRM).</w:t>
      </w:r>
    </w:p>
    <w:p w14:paraId="45A5D0BB" w14:textId="77777777" w:rsidR="004F3D7A" w:rsidRPr="00447599" w:rsidRDefault="004F3D7A" w:rsidP="003340EF">
      <w:pPr>
        <w:spacing w:line="276" w:lineRule="auto"/>
        <w:rPr>
          <w:rFonts w:asciiTheme="majorBidi" w:hAnsiTheme="majorBidi" w:cstheme="majorBidi"/>
          <w:noProof/>
        </w:rPr>
      </w:pPr>
    </w:p>
    <w:tbl>
      <w:tblPr>
        <w:tblW w:w="14580" w:type="dxa"/>
        <w:jc w:val="center"/>
        <w:tblLook w:val="04A0" w:firstRow="1" w:lastRow="0" w:firstColumn="1" w:lastColumn="0" w:noHBand="0" w:noVBand="1"/>
      </w:tblPr>
      <w:tblGrid>
        <w:gridCol w:w="1300"/>
        <w:gridCol w:w="380"/>
        <w:gridCol w:w="1680"/>
        <w:gridCol w:w="1300"/>
        <w:gridCol w:w="400"/>
        <w:gridCol w:w="1989"/>
        <w:gridCol w:w="983"/>
        <w:gridCol w:w="983"/>
        <w:gridCol w:w="1245"/>
        <w:gridCol w:w="420"/>
        <w:gridCol w:w="876"/>
        <w:gridCol w:w="1512"/>
        <w:gridCol w:w="1512"/>
      </w:tblGrid>
      <w:tr w:rsidR="00027609" w:rsidRPr="00447599" w14:paraId="22E777F7" w14:textId="77777777" w:rsidTr="00027609">
        <w:trPr>
          <w:trHeight w:val="320"/>
          <w:jc w:val="center"/>
        </w:trPr>
        <w:tc>
          <w:tcPr>
            <w:tcW w:w="1300" w:type="dxa"/>
            <w:tcBorders>
              <w:top w:val="single" w:sz="4" w:space="0" w:color="auto"/>
              <w:left w:val="nil"/>
              <w:bottom w:val="nil"/>
              <w:right w:val="nil"/>
            </w:tcBorders>
            <w:shd w:val="clear" w:color="auto" w:fill="auto"/>
            <w:noWrap/>
            <w:vAlign w:val="center"/>
            <w:hideMark/>
          </w:tcPr>
          <w:p w14:paraId="58DF798E"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Soil</w:t>
            </w:r>
          </w:p>
        </w:tc>
        <w:tc>
          <w:tcPr>
            <w:tcW w:w="380" w:type="dxa"/>
            <w:tcBorders>
              <w:top w:val="single" w:sz="4" w:space="0" w:color="auto"/>
              <w:left w:val="nil"/>
              <w:bottom w:val="nil"/>
              <w:right w:val="nil"/>
            </w:tcBorders>
            <w:shd w:val="clear" w:color="auto" w:fill="auto"/>
            <w:noWrap/>
            <w:vAlign w:val="center"/>
            <w:hideMark/>
          </w:tcPr>
          <w:p w14:paraId="104714DB"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1680" w:type="dxa"/>
            <w:tcBorders>
              <w:top w:val="single" w:sz="4" w:space="0" w:color="auto"/>
              <w:left w:val="nil"/>
              <w:bottom w:val="nil"/>
              <w:right w:val="nil"/>
            </w:tcBorders>
            <w:shd w:val="clear" w:color="auto" w:fill="auto"/>
            <w:noWrap/>
            <w:vAlign w:val="center"/>
            <w:hideMark/>
          </w:tcPr>
          <w:p w14:paraId="11F7C7FD"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DRM</w:t>
            </w:r>
          </w:p>
        </w:tc>
        <w:tc>
          <w:tcPr>
            <w:tcW w:w="1300" w:type="dxa"/>
            <w:tcBorders>
              <w:top w:val="single" w:sz="4" w:space="0" w:color="auto"/>
              <w:left w:val="nil"/>
              <w:bottom w:val="nil"/>
              <w:right w:val="nil"/>
            </w:tcBorders>
            <w:shd w:val="clear" w:color="auto" w:fill="auto"/>
            <w:noWrap/>
            <w:vAlign w:val="center"/>
            <w:hideMark/>
          </w:tcPr>
          <w:p w14:paraId="69BFF1C0"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400" w:type="dxa"/>
            <w:tcBorders>
              <w:top w:val="single" w:sz="4" w:space="0" w:color="auto"/>
              <w:left w:val="nil"/>
              <w:bottom w:val="nil"/>
              <w:right w:val="nil"/>
            </w:tcBorders>
            <w:shd w:val="clear" w:color="auto" w:fill="auto"/>
            <w:noWrap/>
            <w:vAlign w:val="center"/>
            <w:hideMark/>
          </w:tcPr>
          <w:p w14:paraId="03AA3F7A"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5200" w:type="dxa"/>
            <w:gridSpan w:val="4"/>
            <w:tcBorders>
              <w:top w:val="single" w:sz="4" w:space="0" w:color="auto"/>
              <w:left w:val="nil"/>
              <w:bottom w:val="single" w:sz="4" w:space="0" w:color="auto"/>
              <w:right w:val="nil"/>
            </w:tcBorders>
            <w:shd w:val="clear" w:color="auto" w:fill="auto"/>
            <w:noWrap/>
            <w:vAlign w:val="center"/>
            <w:hideMark/>
          </w:tcPr>
          <w:p w14:paraId="3551CDF0"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Freundlich soprtion model</w:t>
            </w:r>
          </w:p>
        </w:tc>
        <w:tc>
          <w:tcPr>
            <w:tcW w:w="420" w:type="dxa"/>
            <w:tcBorders>
              <w:top w:val="single" w:sz="4" w:space="0" w:color="auto"/>
              <w:left w:val="nil"/>
              <w:bottom w:val="nil"/>
              <w:right w:val="nil"/>
            </w:tcBorders>
            <w:shd w:val="clear" w:color="auto" w:fill="auto"/>
            <w:noWrap/>
            <w:vAlign w:val="center"/>
            <w:hideMark/>
          </w:tcPr>
          <w:p w14:paraId="1E5646E2"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3900" w:type="dxa"/>
            <w:gridSpan w:val="3"/>
            <w:tcBorders>
              <w:top w:val="single" w:sz="4" w:space="0" w:color="auto"/>
              <w:left w:val="nil"/>
              <w:bottom w:val="single" w:sz="4" w:space="0" w:color="auto"/>
              <w:right w:val="nil"/>
            </w:tcBorders>
            <w:shd w:val="clear" w:color="auto" w:fill="auto"/>
            <w:noWrap/>
            <w:vAlign w:val="center"/>
            <w:hideMark/>
          </w:tcPr>
          <w:p w14:paraId="6EEA05A5"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Langmuir sorption model</w:t>
            </w:r>
          </w:p>
        </w:tc>
      </w:tr>
      <w:tr w:rsidR="00027609" w:rsidRPr="00447599" w14:paraId="0A6EAA3A" w14:textId="77777777" w:rsidTr="00027609">
        <w:trPr>
          <w:trHeight w:val="580"/>
          <w:jc w:val="center"/>
        </w:trPr>
        <w:tc>
          <w:tcPr>
            <w:tcW w:w="1300" w:type="dxa"/>
            <w:tcBorders>
              <w:top w:val="nil"/>
              <w:left w:val="nil"/>
              <w:bottom w:val="single" w:sz="4" w:space="0" w:color="auto"/>
              <w:right w:val="nil"/>
            </w:tcBorders>
            <w:shd w:val="clear" w:color="auto" w:fill="auto"/>
            <w:noWrap/>
            <w:vAlign w:val="center"/>
            <w:hideMark/>
          </w:tcPr>
          <w:p w14:paraId="24F1FD4C"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380" w:type="dxa"/>
            <w:tcBorders>
              <w:top w:val="nil"/>
              <w:left w:val="nil"/>
              <w:bottom w:val="single" w:sz="4" w:space="0" w:color="auto"/>
              <w:right w:val="nil"/>
            </w:tcBorders>
            <w:shd w:val="clear" w:color="auto" w:fill="auto"/>
            <w:noWrap/>
            <w:vAlign w:val="center"/>
            <w:hideMark/>
          </w:tcPr>
          <w:p w14:paraId="728F19C8"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1680" w:type="dxa"/>
            <w:tcBorders>
              <w:top w:val="single" w:sz="4" w:space="0" w:color="auto"/>
              <w:left w:val="nil"/>
              <w:bottom w:val="single" w:sz="4" w:space="0" w:color="auto"/>
              <w:right w:val="nil"/>
            </w:tcBorders>
            <w:shd w:val="clear" w:color="auto" w:fill="auto"/>
            <w:noWrap/>
            <w:vAlign w:val="center"/>
            <w:hideMark/>
          </w:tcPr>
          <w:p w14:paraId="76DD114D"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qT(1+nl)mg/g)</w:t>
            </w:r>
          </w:p>
        </w:tc>
        <w:tc>
          <w:tcPr>
            <w:tcW w:w="1300" w:type="dxa"/>
            <w:tcBorders>
              <w:top w:val="single" w:sz="4" w:space="0" w:color="auto"/>
              <w:left w:val="nil"/>
              <w:bottom w:val="single" w:sz="4" w:space="0" w:color="auto"/>
              <w:right w:val="nil"/>
            </w:tcBorders>
            <w:shd w:val="clear" w:color="auto" w:fill="auto"/>
            <w:noWrap/>
            <w:vAlign w:val="center"/>
            <w:hideMark/>
          </w:tcPr>
          <w:p w14:paraId="19EDBCB9"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r2</w:t>
            </w:r>
          </w:p>
        </w:tc>
        <w:tc>
          <w:tcPr>
            <w:tcW w:w="400" w:type="dxa"/>
            <w:tcBorders>
              <w:top w:val="nil"/>
              <w:left w:val="nil"/>
              <w:bottom w:val="single" w:sz="4" w:space="0" w:color="auto"/>
              <w:right w:val="nil"/>
            </w:tcBorders>
            <w:shd w:val="clear" w:color="auto" w:fill="auto"/>
            <w:noWrap/>
            <w:vAlign w:val="center"/>
            <w:hideMark/>
          </w:tcPr>
          <w:p w14:paraId="506DC186"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1989" w:type="dxa"/>
            <w:tcBorders>
              <w:top w:val="nil"/>
              <w:left w:val="nil"/>
              <w:bottom w:val="single" w:sz="4" w:space="0" w:color="auto"/>
              <w:right w:val="nil"/>
            </w:tcBorders>
            <w:shd w:val="clear" w:color="auto" w:fill="auto"/>
            <w:noWrap/>
            <w:vAlign w:val="center"/>
            <w:hideMark/>
          </w:tcPr>
          <w:p w14:paraId="1DA613FD"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qe(mg/g)</w:t>
            </w:r>
          </w:p>
        </w:tc>
        <w:tc>
          <w:tcPr>
            <w:tcW w:w="983" w:type="dxa"/>
            <w:tcBorders>
              <w:top w:val="nil"/>
              <w:left w:val="nil"/>
              <w:bottom w:val="single" w:sz="4" w:space="0" w:color="auto"/>
              <w:right w:val="nil"/>
            </w:tcBorders>
            <w:shd w:val="clear" w:color="auto" w:fill="auto"/>
            <w:noWrap/>
            <w:vAlign w:val="center"/>
            <w:hideMark/>
          </w:tcPr>
          <w:p w14:paraId="07599061"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n</w:t>
            </w:r>
          </w:p>
        </w:tc>
        <w:tc>
          <w:tcPr>
            <w:tcW w:w="983" w:type="dxa"/>
            <w:tcBorders>
              <w:top w:val="nil"/>
              <w:left w:val="nil"/>
              <w:bottom w:val="single" w:sz="4" w:space="0" w:color="auto"/>
              <w:right w:val="nil"/>
            </w:tcBorders>
            <w:shd w:val="clear" w:color="auto" w:fill="auto"/>
            <w:noWrap/>
            <w:vAlign w:val="center"/>
            <w:hideMark/>
          </w:tcPr>
          <w:p w14:paraId="120486F3"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kf</w:t>
            </w:r>
          </w:p>
        </w:tc>
        <w:tc>
          <w:tcPr>
            <w:tcW w:w="1245" w:type="dxa"/>
            <w:tcBorders>
              <w:top w:val="nil"/>
              <w:left w:val="nil"/>
              <w:bottom w:val="single" w:sz="4" w:space="0" w:color="auto"/>
              <w:right w:val="nil"/>
            </w:tcBorders>
            <w:shd w:val="clear" w:color="auto" w:fill="auto"/>
            <w:noWrap/>
            <w:vAlign w:val="center"/>
            <w:hideMark/>
          </w:tcPr>
          <w:p w14:paraId="52B9C41C"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r2</w:t>
            </w:r>
          </w:p>
        </w:tc>
        <w:tc>
          <w:tcPr>
            <w:tcW w:w="420" w:type="dxa"/>
            <w:tcBorders>
              <w:top w:val="nil"/>
              <w:left w:val="nil"/>
              <w:bottom w:val="single" w:sz="4" w:space="0" w:color="auto"/>
              <w:right w:val="nil"/>
            </w:tcBorders>
            <w:shd w:val="clear" w:color="auto" w:fill="auto"/>
            <w:noWrap/>
            <w:vAlign w:val="center"/>
            <w:hideMark/>
          </w:tcPr>
          <w:p w14:paraId="3BA549FA"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876" w:type="dxa"/>
            <w:tcBorders>
              <w:top w:val="nil"/>
              <w:left w:val="nil"/>
              <w:bottom w:val="single" w:sz="4" w:space="0" w:color="auto"/>
              <w:right w:val="nil"/>
            </w:tcBorders>
            <w:shd w:val="clear" w:color="auto" w:fill="auto"/>
            <w:noWrap/>
            <w:vAlign w:val="center"/>
            <w:hideMark/>
          </w:tcPr>
          <w:p w14:paraId="4F13D390"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Qo</w:t>
            </w:r>
          </w:p>
        </w:tc>
        <w:tc>
          <w:tcPr>
            <w:tcW w:w="1512" w:type="dxa"/>
            <w:tcBorders>
              <w:top w:val="nil"/>
              <w:left w:val="nil"/>
              <w:bottom w:val="single" w:sz="4" w:space="0" w:color="auto"/>
              <w:right w:val="nil"/>
            </w:tcBorders>
            <w:shd w:val="clear" w:color="auto" w:fill="auto"/>
            <w:noWrap/>
            <w:vAlign w:val="center"/>
            <w:hideMark/>
          </w:tcPr>
          <w:p w14:paraId="46A809B0"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b</w:t>
            </w:r>
          </w:p>
        </w:tc>
        <w:tc>
          <w:tcPr>
            <w:tcW w:w="1512" w:type="dxa"/>
            <w:tcBorders>
              <w:top w:val="nil"/>
              <w:left w:val="nil"/>
              <w:bottom w:val="single" w:sz="4" w:space="0" w:color="auto"/>
              <w:right w:val="nil"/>
            </w:tcBorders>
            <w:shd w:val="clear" w:color="auto" w:fill="auto"/>
            <w:noWrap/>
            <w:vAlign w:val="center"/>
            <w:hideMark/>
          </w:tcPr>
          <w:p w14:paraId="37887EA1"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r2</w:t>
            </w:r>
          </w:p>
        </w:tc>
      </w:tr>
      <w:tr w:rsidR="00027609" w:rsidRPr="00447599" w14:paraId="6B751A2C" w14:textId="77777777" w:rsidTr="000453D6">
        <w:trPr>
          <w:trHeight w:val="404"/>
          <w:jc w:val="center"/>
        </w:trPr>
        <w:tc>
          <w:tcPr>
            <w:tcW w:w="1300" w:type="dxa"/>
            <w:tcBorders>
              <w:top w:val="nil"/>
              <w:left w:val="nil"/>
              <w:bottom w:val="nil"/>
              <w:right w:val="nil"/>
            </w:tcBorders>
            <w:shd w:val="clear" w:color="auto" w:fill="auto"/>
            <w:noWrap/>
            <w:vAlign w:val="center"/>
            <w:hideMark/>
          </w:tcPr>
          <w:p w14:paraId="52852E56" w14:textId="77777777" w:rsidR="00027609" w:rsidRPr="00447599" w:rsidRDefault="00027609" w:rsidP="003340EF">
            <w:pPr>
              <w:spacing w:line="276" w:lineRule="auto"/>
              <w:jc w:val="center"/>
              <w:rPr>
                <w:rFonts w:ascii="Times Roman" w:hAnsi="Times Roman" w:cs="Calibri"/>
                <w:color w:val="000000"/>
              </w:rPr>
            </w:pPr>
          </w:p>
        </w:tc>
        <w:tc>
          <w:tcPr>
            <w:tcW w:w="380" w:type="dxa"/>
            <w:tcBorders>
              <w:top w:val="nil"/>
              <w:left w:val="nil"/>
              <w:bottom w:val="nil"/>
              <w:right w:val="nil"/>
            </w:tcBorders>
            <w:shd w:val="clear" w:color="auto" w:fill="auto"/>
            <w:noWrap/>
            <w:vAlign w:val="center"/>
            <w:hideMark/>
          </w:tcPr>
          <w:p w14:paraId="5A4F8D14" w14:textId="77777777" w:rsidR="00027609" w:rsidRPr="00447599" w:rsidRDefault="00027609" w:rsidP="003340EF">
            <w:pPr>
              <w:spacing w:line="276" w:lineRule="auto"/>
              <w:jc w:val="center"/>
              <w:rPr>
                <w:sz w:val="20"/>
                <w:szCs w:val="20"/>
              </w:rPr>
            </w:pPr>
          </w:p>
        </w:tc>
        <w:tc>
          <w:tcPr>
            <w:tcW w:w="1680" w:type="dxa"/>
            <w:tcBorders>
              <w:top w:val="nil"/>
              <w:left w:val="nil"/>
              <w:bottom w:val="nil"/>
              <w:right w:val="nil"/>
            </w:tcBorders>
            <w:shd w:val="clear" w:color="auto" w:fill="auto"/>
            <w:noWrap/>
            <w:vAlign w:val="center"/>
            <w:hideMark/>
          </w:tcPr>
          <w:p w14:paraId="38E4316D" w14:textId="77777777" w:rsidR="00027609" w:rsidRPr="00447599" w:rsidRDefault="00027609" w:rsidP="003340EF">
            <w:pPr>
              <w:spacing w:line="276" w:lineRule="auto"/>
              <w:jc w:val="center"/>
              <w:rPr>
                <w:sz w:val="20"/>
                <w:szCs w:val="20"/>
              </w:rPr>
            </w:pPr>
          </w:p>
        </w:tc>
        <w:tc>
          <w:tcPr>
            <w:tcW w:w="1300" w:type="dxa"/>
            <w:tcBorders>
              <w:top w:val="nil"/>
              <w:left w:val="nil"/>
              <w:bottom w:val="nil"/>
              <w:right w:val="nil"/>
            </w:tcBorders>
            <w:shd w:val="clear" w:color="auto" w:fill="auto"/>
            <w:noWrap/>
            <w:vAlign w:val="center"/>
            <w:hideMark/>
          </w:tcPr>
          <w:p w14:paraId="2548F16D" w14:textId="77777777" w:rsidR="00027609" w:rsidRPr="00447599" w:rsidRDefault="00027609" w:rsidP="003340EF">
            <w:pPr>
              <w:spacing w:line="276" w:lineRule="auto"/>
              <w:jc w:val="center"/>
              <w:rPr>
                <w:sz w:val="20"/>
                <w:szCs w:val="20"/>
              </w:rPr>
            </w:pPr>
          </w:p>
        </w:tc>
        <w:tc>
          <w:tcPr>
            <w:tcW w:w="400" w:type="dxa"/>
            <w:tcBorders>
              <w:top w:val="nil"/>
              <w:left w:val="nil"/>
              <w:bottom w:val="nil"/>
              <w:right w:val="nil"/>
            </w:tcBorders>
            <w:shd w:val="clear" w:color="auto" w:fill="auto"/>
            <w:noWrap/>
            <w:vAlign w:val="center"/>
            <w:hideMark/>
          </w:tcPr>
          <w:p w14:paraId="7A62995E" w14:textId="77777777" w:rsidR="00027609" w:rsidRPr="00447599" w:rsidRDefault="00027609" w:rsidP="003340EF">
            <w:pPr>
              <w:spacing w:line="276" w:lineRule="auto"/>
              <w:jc w:val="center"/>
              <w:rPr>
                <w:sz w:val="20"/>
                <w:szCs w:val="20"/>
              </w:rPr>
            </w:pPr>
          </w:p>
        </w:tc>
        <w:tc>
          <w:tcPr>
            <w:tcW w:w="1989" w:type="dxa"/>
            <w:tcBorders>
              <w:top w:val="nil"/>
              <w:left w:val="nil"/>
              <w:bottom w:val="nil"/>
              <w:right w:val="nil"/>
            </w:tcBorders>
            <w:shd w:val="clear" w:color="auto" w:fill="auto"/>
            <w:noWrap/>
            <w:vAlign w:val="center"/>
            <w:hideMark/>
          </w:tcPr>
          <w:p w14:paraId="33A2A2E3" w14:textId="77777777" w:rsidR="00027609" w:rsidRPr="00447599" w:rsidRDefault="00027609" w:rsidP="003340EF">
            <w:pPr>
              <w:spacing w:line="276" w:lineRule="auto"/>
              <w:jc w:val="center"/>
              <w:rPr>
                <w:sz w:val="20"/>
                <w:szCs w:val="20"/>
              </w:rPr>
            </w:pPr>
          </w:p>
        </w:tc>
        <w:tc>
          <w:tcPr>
            <w:tcW w:w="983" w:type="dxa"/>
            <w:tcBorders>
              <w:top w:val="nil"/>
              <w:left w:val="nil"/>
              <w:bottom w:val="nil"/>
              <w:right w:val="nil"/>
            </w:tcBorders>
            <w:shd w:val="clear" w:color="auto" w:fill="auto"/>
            <w:noWrap/>
            <w:vAlign w:val="center"/>
            <w:hideMark/>
          </w:tcPr>
          <w:p w14:paraId="014F9C23" w14:textId="77777777" w:rsidR="00027609" w:rsidRPr="00447599" w:rsidRDefault="00027609" w:rsidP="003340EF">
            <w:pPr>
              <w:spacing w:line="276" w:lineRule="auto"/>
              <w:jc w:val="center"/>
              <w:rPr>
                <w:sz w:val="20"/>
                <w:szCs w:val="20"/>
              </w:rPr>
            </w:pPr>
          </w:p>
        </w:tc>
        <w:tc>
          <w:tcPr>
            <w:tcW w:w="983" w:type="dxa"/>
            <w:tcBorders>
              <w:top w:val="nil"/>
              <w:left w:val="nil"/>
              <w:bottom w:val="nil"/>
              <w:right w:val="nil"/>
            </w:tcBorders>
            <w:shd w:val="clear" w:color="auto" w:fill="auto"/>
            <w:noWrap/>
            <w:vAlign w:val="center"/>
            <w:hideMark/>
          </w:tcPr>
          <w:p w14:paraId="66258AA2" w14:textId="77777777" w:rsidR="00027609" w:rsidRPr="00447599" w:rsidRDefault="00027609" w:rsidP="003340EF">
            <w:pPr>
              <w:spacing w:line="276" w:lineRule="auto"/>
              <w:jc w:val="center"/>
              <w:rPr>
                <w:sz w:val="20"/>
                <w:szCs w:val="20"/>
              </w:rPr>
            </w:pPr>
          </w:p>
        </w:tc>
        <w:tc>
          <w:tcPr>
            <w:tcW w:w="1245" w:type="dxa"/>
            <w:tcBorders>
              <w:top w:val="nil"/>
              <w:left w:val="nil"/>
              <w:bottom w:val="nil"/>
              <w:right w:val="nil"/>
            </w:tcBorders>
            <w:shd w:val="clear" w:color="auto" w:fill="auto"/>
            <w:noWrap/>
            <w:vAlign w:val="center"/>
            <w:hideMark/>
          </w:tcPr>
          <w:p w14:paraId="4944513A" w14:textId="77777777" w:rsidR="00027609" w:rsidRPr="00447599" w:rsidRDefault="00027609" w:rsidP="003340EF">
            <w:pPr>
              <w:spacing w:line="276" w:lineRule="auto"/>
              <w:jc w:val="center"/>
              <w:rPr>
                <w:sz w:val="20"/>
                <w:szCs w:val="20"/>
              </w:rPr>
            </w:pPr>
          </w:p>
        </w:tc>
        <w:tc>
          <w:tcPr>
            <w:tcW w:w="420" w:type="dxa"/>
            <w:tcBorders>
              <w:top w:val="nil"/>
              <w:left w:val="nil"/>
              <w:bottom w:val="nil"/>
              <w:right w:val="nil"/>
            </w:tcBorders>
            <w:shd w:val="clear" w:color="auto" w:fill="auto"/>
            <w:noWrap/>
            <w:vAlign w:val="center"/>
            <w:hideMark/>
          </w:tcPr>
          <w:p w14:paraId="5CED0459" w14:textId="77777777" w:rsidR="00027609" w:rsidRPr="00447599" w:rsidRDefault="00027609" w:rsidP="003340EF">
            <w:pPr>
              <w:spacing w:line="276" w:lineRule="auto"/>
              <w:jc w:val="center"/>
              <w:rPr>
                <w:sz w:val="20"/>
                <w:szCs w:val="20"/>
              </w:rPr>
            </w:pPr>
          </w:p>
        </w:tc>
        <w:tc>
          <w:tcPr>
            <w:tcW w:w="876" w:type="dxa"/>
            <w:tcBorders>
              <w:top w:val="nil"/>
              <w:left w:val="nil"/>
              <w:bottom w:val="nil"/>
              <w:right w:val="nil"/>
            </w:tcBorders>
            <w:shd w:val="clear" w:color="auto" w:fill="auto"/>
            <w:noWrap/>
            <w:vAlign w:val="center"/>
            <w:hideMark/>
          </w:tcPr>
          <w:p w14:paraId="0BCCA1DA" w14:textId="77777777" w:rsidR="00027609" w:rsidRPr="00447599" w:rsidRDefault="00027609" w:rsidP="003340EF">
            <w:pPr>
              <w:spacing w:line="276" w:lineRule="auto"/>
              <w:jc w:val="center"/>
              <w:rPr>
                <w:sz w:val="20"/>
                <w:szCs w:val="20"/>
              </w:rPr>
            </w:pPr>
          </w:p>
        </w:tc>
        <w:tc>
          <w:tcPr>
            <w:tcW w:w="1512" w:type="dxa"/>
            <w:tcBorders>
              <w:top w:val="nil"/>
              <w:left w:val="nil"/>
              <w:bottom w:val="nil"/>
              <w:right w:val="nil"/>
            </w:tcBorders>
            <w:shd w:val="clear" w:color="auto" w:fill="auto"/>
            <w:noWrap/>
            <w:vAlign w:val="center"/>
            <w:hideMark/>
          </w:tcPr>
          <w:p w14:paraId="4469E1AA" w14:textId="77777777" w:rsidR="00027609" w:rsidRPr="00447599" w:rsidRDefault="00027609" w:rsidP="003340EF">
            <w:pPr>
              <w:spacing w:line="276" w:lineRule="auto"/>
              <w:jc w:val="center"/>
              <w:rPr>
                <w:sz w:val="20"/>
                <w:szCs w:val="20"/>
              </w:rPr>
            </w:pPr>
          </w:p>
        </w:tc>
        <w:tc>
          <w:tcPr>
            <w:tcW w:w="1512" w:type="dxa"/>
            <w:tcBorders>
              <w:top w:val="nil"/>
              <w:left w:val="nil"/>
              <w:bottom w:val="nil"/>
              <w:right w:val="nil"/>
            </w:tcBorders>
            <w:shd w:val="clear" w:color="auto" w:fill="auto"/>
            <w:noWrap/>
            <w:vAlign w:val="center"/>
            <w:hideMark/>
          </w:tcPr>
          <w:p w14:paraId="2D031CD0" w14:textId="77777777" w:rsidR="00027609" w:rsidRPr="00447599" w:rsidRDefault="00027609" w:rsidP="003340EF">
            <w:pPr>
              <w:spacing w:line="276" w:lineRule="auto"/>
              <w:jc w:val="center"/>
              <w:rPr>
                <w:sz w:val="20"/>
                <w:szCs w:val="20"/>
              </w:rPr>
            </w:pPr>
          </w:p>
        </w:tc>
      </w:tr>
      <w:tr w:rsidR="00027609" w:rsidRPr="00447599" w14:paraId="66A1DA31" w14:textId="77777777" w:rsidTr="00027609">
        <w:trPr>
          <w:trHeight w:val="320"/>
          <w:jc w:val="center"/>
        </w:trPr>
        <w:tc>
          <w:tcPr>
            <w:tcW w:w="1300" w:type="dxa"/>
            <w:tcBorders>
              <w:top w:val="nil"/>
              <w:left w:val="nil"/>
              <w:bottom w:val="single" w:sz="4" w:space="0" w:color="auto"/>
              <w:right w:val="nil"/>
            </w:tcBorders>
            <w:shd w:val="clear" w:color="auto" w:fill="auto"/>
            <w:noWrap/>
            <w:vAlign w:val="center"/>
            <w:hideMark/>
          </w:tcPr>
          <w:p w14:paraId="0679F62F"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1</w:t>
            </w:r>
          </w:p>
        </w:tc>
        <w:tc>
          <w:tcPr>
            <w:tcW w:w="380" w:type="dxa"/>
            <w:tcBorders>
              <w:top w:val="nil"/>
              <w:left w:val="nil"/>
              <w:bottom w:val="single" w:sz="4" w:space="0" w:color="auto"/>
              <w:right w:val="nil"/>
            </w:tcBorders>
            <w:shd w:val="clear" w:color="auto" w:fill="auto"/>
            <w:noWrap/>
            <w:vAlign w:val="center"/>
            <w:hideMark/>
          </w:tcPr>
          <w:p w14:paraId="0FE627A5"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1680" w:type="dxa"/>
            <w:tcBorders>
              <w:top w:val="nil"/>
              <w:left w:val="nil"/>
              <w:bottom w:val="single" w:sz="4" w:space="0" w:color="auto"/>
              <w:right w:val="nil"/>
            </w:tcBorders>
            <w:shd w:val="clear" w:color="auto" w:fill="auto"/>
            <w:noWrap/>
            <w:vAlign w:val="center"/>
            <w:hideMark/>
          </w:tcPr>
          <w:p w14:paraId="0B8B8BC2" w14:textId="753B048D"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1.</w:t>
            </w:r>
            <w:r w:rsidR="000453D6" w:rsidRPr="00447599">
              <w:rPr>
                <w:rFonts w:ascii="Times Roman" w:hAnsi="Times Roman" w:cs="Calibri"/>
                <w:color w:val="000000"/>
              </w:rPr>
              <w:t>90</w:t>
            </w:r>
          </w:p>
        </w:tc>
        <w:tc>
          <w:tcPr>
            <w:tcW w:w="1300" w:type="dxa"/>
            <w:tcBorders>
              <w:top w:val="nil"/>
              <w:left w:val="nil"/>
              <w:bottom w:val="single" w:sz="4" w:space="0" w:color="auto"/>
              <w:right w:val="nil"/>
            </w:tcBorders>
            <w:shd w:val="clear" w:color="auto" w:fill="auto"/>
            <w:noWrap/>
            <w:vAlign w:val="center"/>
            <w:hideMark/>
          </w:tcPr>
          <w:p w14:paraId="037D4867"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0.979</w:t>
            </w:r>
          </w:p>
        </w:tc>
        <w:tc>
          <w:tcPr>
            <w:tcW w:w="400" w:type="dxa"/>
            <w:tcBorders>
              <w:top w:val="nil"/>
              <w:left w:val="nil"/>
              <w:bottom w:val="single" w:sz="4" w:space="0" w:color="auto"/>
              <w:right w:val="nil"/>
            </w:tcBorders>
            <w:shd w:val="clear" w:color="auto" w:fill="auto"/>
            <w:noWrap/>
            <w:vAlign w:val="center"/>
            <w:hideMark/>
          </w:tcPr>
          <w:p w14:paraId="784F505C"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1989" w:type="dxa"/>
            <w:tcBorders>
              <w:top w:val="nil"/>
              <w:left w:val="nil"/>
              <w:bottom w:val="single" w:sz="4" w:space="0" w:color="auto"/>
              <w:right w:val="nil"/>
            </w:tcBorders>
            <w:shd w:val="clear" w:color="auto" w:fill="auto"/>
            <w:noWrap/>
            <w:vAlign w:val="center"/>
            <w:hideMark/>
          </w:tcPr>
          <w:p w14:paraId="15CADB6D" w14:textId="639BB6CC"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1.</w:t>
            </w:r>
            <w:r w:rsidR="000453D6" w:rsidRPr="00447599">
              <w:rPr>
                <w:rFonts w:ascii="Times Roman" w:hAnsi="Times Roman" w:cs="Calibri"/>
                <w:color w:val="000000"/>
              </w:rPr>
              <w:t>7</w:t>
            </w:r>
            <w:r w:rsidRPr="00447599">
              <w:rPr>
                <w:rFonts w:ascii="Times Roman" w:hAnsi="Times Roman" w:cs="Calibri"/>
                <w:color w:val="000000"/>
              </w:rPr>
              <w:t>1</w:t>
            </w:r>
          </w:p>
        </w:tc>
        <w:tc>
          <w:tcPr>
            <w:tcW w:w="983" w:type="dxa"/>
            <w:tcBorders>
              <w:top w:val="nil"/>
              <w:left w:val="nil"/>
              <w:bottom w:val="single" w:sz="4" w:space="0" w:color="auto"/>
              <w:right w:val="nil"/>
            </w:tcBorders>
            <w:shd w:val="clear" w:color="auto" w:fill="auto"/>
            <w:noWrap/>
            <w:vAlign w:val="center"/>
            <w:hideMark/>
          </w:tcPr>
          <w:p w14:paraId="22509DC5"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0.61</w:t>
            </w:r>
          </w:p>
        </w:tc>
        <w:tc>
          <w:tcPr>
            <w:tcW w:w="983" w:type="dxa"/>
            <w:tcBorders>
              <w:top w:val="nil"/>
              <w:left w:val="nil"/>
              <w:bottom w:val="single" w:sz="4" w:space="0" w:color="auto"/>
              <w:right w:val="nil"/>
            </w:tcBorders>
            <w:shd w:val="clear" w:color="auto" w:fill="auto"/>
            <w:noWrap/>
            <w:vAlign w:val="center"/>
            <w:hideMark/>
          </w:tcPr>
          <w:p w14:paraId="09C158C0" w14:textId="281327A0"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w:t>
            </w:r>
            <w:r w:rsidR="000453D6" w:rsidRPr="00447599">
              <w:rPr>
                <w:rFonts w:ascii="Times Roman" w:hAnsi="Times Roman" w:cs="Calibri"/>
                <w:color w:val="000000"/>
              </w:rPr>
              <w:t>15</w:t>
            </w:r>
          </w:p>
        </w:tc>
        <w:tc>
          <w:tcPr>
            <w:tcW w:w="1245" w:type="dxa"/>
            <w:tcBorders>
              <w:top w:val="nil"/>
              <w:left w:val="nil"/>
              <w:bottom w:val="single" w:sz="4" w:space="0" w:color="auto"/>
              <w:right w:val="nil"/>
            </w:tcBorders>
            <w:shd w:val="clear" w:color="auto" w:fill="auto"/>
            <w:noWrap/>
            <w:vAlign w:val="center"/>
            <w:hideMark/>
          </w:tcPr>
          <w:p w14:paraId="59766A7B" w14:textId="678A5180"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w:t>
            </w:r>
            <w:r w:rsidR="000453D6" w:rsidRPr="00447599">
              <w:rPr>
                <w:rFonts w:ascii="Times Roman" w:hAnsi="Times Roman" w:cs="Calibri"/>
                <w:color w:val="000000"/>
              </w:rPr>
              <w:t>833</w:t>
            </w:r>
          </w:p>
        </w:tc>
        <w:tc>
          <w:tcPr>
            <w:tcW w:w="420" w:type="dxa"/>
            <w:tcBorders>
              <w:top w:val="nil"/>
              <w:left w:val="nil"/>
              <w:bottom w:val="single" w:sz="4" w:space="0" w:color="auto"/>
              <w:right w:val="nil"/>
            </w:tcBorders>
            <w:shd w:val="clear" w:color="auto" w:fill="auto"/>
            <w:noWrap/>
            <w:vAlign w:val="center"/>
            <w:hideMark/>
          </w:tcPr>
          <w:p w14:paraId="2EDFDB62"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 </w:t>
            </w:r>
          </w:p>
        </w:tc>
        <w:tc>
          <w:tcPr>
            <w:tcW w:w="876" w:type="dxa"/>
            <w:tcBorders>
              <w:top w:val="nil"/>
              <w:left w:val="nil"/>
              <w:bottom w:val="single" w:sz="4" w:space="0" w:color="auto"/>
              <w:right w:val="nil"/>
            </w:tcBorders>
            <w:shd w:val="clear" w:color="auto" w:fill="auto"/>
            <w:noWrap/>
            <w:vAlign w:val="center"/>
            <w:hideMark/>
          </w:tcPr>
          <w:p w14:paraId="5CF00B40"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1.9</w:t>
            </w:r>
          </w:p>
        </w:tc>
        <w:tc>
          <w:tcPr>
            <w:tcW w:w="1512" w:type="dxa"/>
            <w:tcBorders>
              <w:top w:val="nil"/>
              <w:left w:val="nil"/>
              <w:bottom w:val="single" w:sz="4" w:space="0" w:color="auto"/>
              <w:right w:val="nil"/>
            </w:tcBorders>
            <w:shd w:val="clear" w:color="auto" w:fill="auto"/>
            <w:noWrap/>
            <w:vAlign w:val="center"/>
            <w:hideMark/>
          </w:tcPr>
          <w:p w14:paraId="7FEC8F7B" w14:textId="77777777"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0.103</w:t>
            </w:r>
          </w:p>
        </w:tc>
        <w:tc>
          <w:tcPr>
            <w:tcW w:w="1512" w:type="dxa"/>
            <w:tcBorders>
              <w:top w:val="nil"/>
              <w:left w:val="nil"/>
              <w:bottom w:val="single" w:sz="4" w:space="0" w:color="auto"/>
              <w:right w:val="nil"/>
            </w:tcBorders>
            <w:shd w:val="clear" w:color="auto" w:fill="auto"/>
            <w:noWrap/>
            <w:vAlign w:val="center"/>
            <w:hideMark/>
          </w:tcPr>
          <w:p w14:paraId="31495DD7" w14:textId="102DD274" w:rsidR="00027609" w:rsidRPr="00447599" w:rsidRDefault="00027609" w:rsidP="003340EF">
            <w:pPr>
              <w:spacing w:line="276" w:lineRule="auto"/>
              <w:jc w:val="center"/>
              <w:rPr>
                <w:rFonts w:ascii="Times Roman" w:hAnsi="Times Roman" w:cs="Calibri"/>
                <w:color w:val="000000"/>
              </w:rPr>
            </w:pPr>
            <w:r w:rsidRPr="00447599">
              <w:rPr>
                <w:rFonts w:ascii="Times Roman" w:hAnsi="Times Roman" w:cs="Calibri"/>
                <w:color w:val="000000"/>
              </w:rPr>
              <w:t>0.89</w:t>
            </w:r>
            <w:r w:rsidR="000453D6" w:rsidRPr="00447599">
              <w:rPr>
                <w:rFonts w:ascii="Times Roman" w:hAnsi="Times Roman" w:cs="Calibri"/>
                <w:color w:val="000000"/>
              </w:rPr>
              <w:t>1</w:t>
            </w:r>
          </w:p>
        </w:tc>
      </w:tr>
    </w:tbl>
    <w:p w14:paraId="7C72494E" w14:textId="77777777" w:rsidR="003D1CED" w:rsidRPr="00447599" w:rsidRDefault="003D1CED" w:rsidP="003340EF">
      <w:pPr>
        <w:spacing w:line="276" w:lineRule="auto"/>
        <w:rPr>
          <w:rFonts w:asciiTheme="majorBidi" w:hAnsiTheme="majorBidi" w:cstheme="majorBidi"/>
          <w:noProof/>
        </w:rPr>
      </w:pPr>
    </w:p>
    <w:p w14:paraId="5E02E290" w14:textId="6E4B8CED" w:rsidR="003D1CED" w:rsidRPr="00447599" w:rsidRDefault="001B5F8A" w:rsidP="003340EF">
      <w:pPr>
        <w:spacing w:line="276" w:lineRule="auto"/>
        <w:rPr>
          <w:rFonts w:asciiTheme="majorBidi" w:hAnsiTheme="majorBidi" w:cstheme="majorBidi"/>
          <w:b/>
          <w:bCs/>
        </w:rPr>
      </w:pPr>
      <w:r w:rsidRPr="00447599">
        <w:rPr>
          <w:rFonts w:asciiTheme="majorBidi" w:hAnsiTheme="majorBidi" w:cstheme="majorBidi"/>
          <w:b/>
          <w:bCs/>
        </w:rPr>
        <w:br w:type="page"/>
      </w:r>
    </w:p>
    <w:p w14:paraId="0200471B" w14:textId="5B425BE6" w:rsidR="003D1CED" w:rsidRPr="00447599" w:rsidRDefault="003D1CED" w:rsidP="003340EF">
      <w:pPr>
        <w:spacing w:line="276" w:lineRule="auto"/>
        <w:jc w:val="center"/>
        <w:rPr>
          <w:rFonts w:asciiTheme="majorBidi" w:hAnsiTheme="majorBidi" w:cstheme="majorBidi"/>
        </w:rPr>
      </w:pPr>
      <w:r w:rsidRPr="00447599">
        <w:rPr>
          <w:rFonts w:asciiTheme="majorBidi" w:hAnsiTheme="majorBidi" w:cstheme="majorBidi"/>
        </w:rPr>
        <w:lastRenderedPageBreak/>
        <w:t>Table S</w:t>
      </w:r>
      <w:r w:rsidR="00106EC7" w:rsidRPr="00447599">
        <w:rPr>
          <w:rFonts w:asciiTheme="majorBidi" w:hAnsiTheme="majorBidi" w:cstheme="majorBidi"/>
        </w:rPr>
        <w:t>8</w:t>
      </w:r>
      <w:r w:rsidRPr="00447599">
        <w:rPr>
          <w:rFonts w:asciiTheme="majorBidi" w:hAnsiTheme="majorBidi" w:cstheme="majorBidi"/>
        </w:rPr>
        <w:t xml:space="preserve">. Characterization and initial condition of the soil column experiment </w:t>
      </w:r>
    </w:p>
    <w:tbl>
      <w:tblPr>
        <w:tblStyle w:val="TableGridLight"/>
        <w:tblW w:w="11695" w:type="dxa"/>
        <w:jc w:val="center"/>
        <w:tblLayout w:type="fixed"/>
        <w:tblLook w:val="04A0" w:firstRow="1" w:lastRow="0" w:firstColumn="1" w:lastColumn="0" w:noHBand="0" w:noVBand="1"/>
      </w:tblPr>
      <w:tblGrid>
        <w:gridCol w:w="1525"/>
        <w:gridCol w:w="2165"/>
        <w:gridCol w:w="2155"/>
        <w:gridCol w:w="2160"/>
        <w:gridCol w:w="1710"/>
        <w:gridCol w:w="1980"/>
      </w:tblGrid>
      <w:tr w:rsidR="003D1CED" w:rsidRPr="00447599" w14:paraId="6DA1D3FF" w14:textId="77777777" w:rsidTr="00FB7079">
        <w:trPr>
          <w:jc w:val="center"/>
        </w:trPr>
        <w:tc>
          <w:tcPr>
            <w:tcW w:w="1525" w:type="dxa"/>
          </w:tcPr>
          <w:p w14:paraId="5FB47BD2"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Soil column No.</w:t>
            </w:r>
          </w:p>
        </w:tc>
        <w:tc>
          <w:tcPr>
            <w:tcW w:w="2165" w:type="dxa"/>
          </w:tcPr>
          <w:p w14:paraId="29FF1D28" w14:textId="77777777" w:rsidR="003D1CED" w:rsidRPr="00447599" w:rsidRDefault="003D1CED" w:rsidP="003340EF">
            <w:pPr>
              <w:pStyle w:val="ListParagraph"/>
              <w:spacing w:line="276" w:lineRule="auto"/>
              <w:ind w:left="0"/>
              <w:jc w:val="center"/>
              <w:rPr>
                <w:rFonts w:asciiTheme="majorBidi" w:hAnsiTheme="majorBidi" w:cstheme="majorBidi"/>
                <w:sz w:val="20"/>
                <w:szCs w:val="20"/>
              </w:rPr>
            </w:pPr>
            <w:r w:rsidRPr="00447599">
              <w:rPr>
                <w:rFonts w:asciiTheme="majorBidi" w:hAnsiTheme="majorBidi" w:cstheme="majorBidi"/>
                <w:sz w:val="20"/>
                <w:szCs w:val="20"/>
              </w:rPr>
              <w:t>Column</w:t>
            </w:r>
          </w:p>
          <w:p w14:paraId="3B0E474C"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volume (cm</w:t>
            </w:r>
            <w:r w:rsidRPr="00447599">
              <w:rPr>
                <w:rFonts w:asciiTheme="majorBidi" w:hAnsiTheme="majorBidi" w:cstheme="majorBidi"/>
                <w:sz w:val="20"/>
                <w:szCs w:val="20"/>
                <w:vertAlign w:val="superscript"/>
              </w:rPr>
              <w:t>3</w:t>
            </w:r>
            <w:r w:rsidRPr="00447599">
              <w:rPr>
                <w:rFonts w:asciiTheme="majorBidi" w:hAnsiTheme="majorBidi" w:cstheme="majorBidi"/>
                <w:sz w:val="20"/>
                <w:szCs w:val="20"/>
              </w:rPr>
              <w:t>)</w:t>
            </w:r>
          </w:p>
        </w:tc>
        <w:tc>
          <w:tcPr>
            <w:tcW w:w="2155" w:type="dxa"/>
          </w:tcPr>
          <w:p w14:paraId="2DD1F83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Soil density in column</w:t>
            </w:r>
            <w:r w:rsidRPr="00447599">
              <w:rPr>
                <w:rFonts w:asciiTheme="majorBidi" w:hAnsiTheme="majorBidi" w:cstheme="majorBidi"/>
                <w:sz w:val="20"/>
                <w:szCs w:val="20"/>
                <w:vertAlign w:val="superscript"/>
              </w:rPr>
              <w:t xml:space="preserve"> (1)</w:t>
            </w:r>
            <w:r w:rsidRPr="00447599">
              <w:rPr>
                <w:rFonts w:asciiTheme="majorBidi" w:hAnsiTheme="majorBidi" w:cstheme="majorBidi"/>
                <w:sz w:val="20"/>
                <w:szCs w:val="20"/>
              </w:rPr>
              <w:t xml:space="preserve"> (g/cm</w:t>
            </w:r>
            <w:r w:rsidRPr="00447599">
              <w:rPr>
                <w:rFonts w:asciiTheme="majorBidi" w:hAnsiTheme="majorBidi" w:cstheme="majorBidi"/>
                <w:sz w:val="20"/>
                <w:szCs w:val="20"/>
                <w:vertAlign w:val="superscript"/>
              </w:rPr>
              <w:t>3</w:t>
            </w:r>
            <w:r w:rsidRPr="00447599">
              <w:rPr>
                <w:rFonts w:asciiTheme="majorBidi" w:hAnsiTheme="majorBidi" w:cstheme="majorBidi"/>
                <w:sz w:val="20"/>
                <w:szCs w:val="20"/>
              </w:rPr>
              <w:t>)</w:t>
            </w:r>
          </w:p>
        </w:tc>
        <w:tc>
          <w:tcPr>
            <w:tcW w:w="2160" w:type="dxa"/>
          </w:tcPr>
          <w:p w14:paraId="6B2B3183"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 xml:space="preserve">Soil intrinsic </w:t>
            </w:r>
          </w:p>
          <w:p w14:paraId="731753E4"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permeability (m</w:t>
            </w:r>
            <w:r w:rsidRPr="00447599">
              <w:rPr>
                <w:rFonts w:asciiTheme="majorBidi" w:hAnsiTheme="majorBidi" w:cstheme="majorBidi"/>
                <w:sz w:val="20"/>
                <w:szCs w:val="20"/>
                <w:vertAlign w:val="superscript"/>
              </w:rPr>
              <w:t>2</w:t>
            </w:r>
            <w:r w:rsidRPr="00447599">
              <w:rPr>
                <w:rFonts w:asciiTheme="majorBidi" w:hAnsiTheme="majorBidi" w:cstheme="majorBidi"/>
                <w:sz w:val="20"/>
                <w:szCs w:val="20"/>
              </w:rPr>
              <w:t>)</w:t>
            </w:r>
          </w:p>
        </w:tc>
        <w:tc>
          <w:tcPr>
            <w:tcW w:w="1710" w:type="dxa"/>
          </w:tcPr>
          <w:p w14:paraId="60FA41D8"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 xml:space="preserve">Pore volume </w:t>
            </w:r>
          </w:p>
          <w:p w14:paraId="7BBCEA9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(cm</w:t>
            </w:r>
            <w:r w:rsidRPr="00447599">
              <w:rPr>
                <w:rFonts w:asciiTheme="majorBidi" w:hAnsiTheme="majorBidi" w:cstheme="majorBidi"/>
                <w:sz w:val="20"/>
                <w:szCs w:val="20"/>
                <w:vertAlign w:val="superscript"/>
              </w:rPr>
              <w:t>3</w:t>
            </w:r>
            <w:r w:rsidRPr="00447599">
              <w:rPr>
                <w:rFonts w:asciiTheme="majorBidi" w:hAnsiTheme="majorBidi" w:cstheme="majorBidi"/>
                <w:sz w:val="20"/>
                <w:szCs w:val="20"/>
              </w:rPr>
              <w:t>)</w:t>
            </w:r>
          </w:p>
        </w:tc>
        <w:tc>
          <w:tcPr>
            <w:tcW w:w="1980" w:type="dxa"/>
          </w:tcPr>
          <w:p w14:paraId="198064A5"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Hydraulic conductivity (K</w:t>
            </w:r>
            <w:r w:rsidRPr="00447599">
              <w:rPr>
                <w:rFonts w:asciiTheme="majorBidi" w:hAnsiTheme="majorBidi" w:cstheme="majorBidi"/>
                <w:sz w:val="20"/>
                <w:szCs w:val="20"/>
                <w:vertAlign w:val="subscript"/>
              </w:rPr>
              <w:t>w</w:t>
            </w:r>
            <w:r w:rsidRPr="00447599">
              <w:rPr>
                <w:rFonts w:asciiTheme="majorBidi" w:hAnsiTheme="majorBidi" w:cstheme="majorBidi"/>
                <w:sz w:val="20"/>
                <w:szCs w:val="20"/>
              </w:rPr>
              <w:t>)</w:t>
            </w:r>
          </w:p>
        </w:tc>
      </w:tr>
      <w:tr w:rsidR="003D1CED" w:rsidRPr="00447599" w14:paraId="468EC613" w14:textId="77777777" w:rsidTr="00FB7079">
        <w:trPr>
          <w:jc w:val="center"/>
        </w:trPr>
        <w:tc>
          <w:tcPr>
            <w:tcW w:w="1525" w:type="dxa"/>
          </w:tcPr>
          <w:p w14:paraId="744ED778"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w:t>
            </w:r>
          </w:p>
        </w:tc>
        <w:tc>
          <w:tcPr>
            <w:tcW w:w="2165" w:type="dxa"/>
          </w:tcPr>
          <w:p w14:paraId="0FACFDEC"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140.39</w:t>
            </w:r>
          </w:p>
        </w:tc>
        <w:tc>
          <w:tcPr>
            <w:tcW w:w="2155" w:type="dxa"/>
          </w:tcPr>
          <w:p w14:paraId="7A960CCA"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1.88</w:t>
            </w:r>
          </w:p>
        </w:tc>
        <w:tc>
          <w:tcPr>
            <w:tcW w:w="2160" w:type="dxa"/>
            <w:vMerge w:val="restart"/>
            <w:vAlign w:val="center"/>
          </w:tcPr>
          <w:p w14:paraId="69759B37" w14:textId="77777777" w:rsidR="003D1CED" w:rsidRPr="00447599" w:rsidRDefault="003D1CED" w:rsidP="003340EF">
            <w:pPr>
              <w:spacing w:line="276" w:lineRule="auto"/>
              <w:jc w:val="center"/>
              <w:rPr>
                <w:rFonts w:asciiTheme="majorBidi" w:hAnsiTheme="majorBidi" w:cstheme="majorBidi"/>
                <w:sz w:val="20"/>
                <w:szCs w:val="20"/>
                <w:vertAlign w:val="superscript"/>
              </w:rPr>
            </w:pPr>
            <w:r w:rsidRPr="00447599">
              <w:rPr>
                <w:rFonts w:asciiTheme="majorBidi" w:hAnsiTheme="majorBidi" w:cstheme="majorBidi"/>
                <w:sz w:val="20"/>
                <w:szCs w:val="20"/>
              </w:rPr>
              <w:t>7.5-9.2×10</w:t>
            </w:r>
            <w:r w:rsidRPr="00447599">
              <w:rPr>
                <w:rFonts w:asciiTheme="majorBidi" w:hAnsiTheme="majorBidi" w:cstheme="majorBidi"/>
                <w:sz w:val="20"/>
                <w:szCs w:val="20"/>
                <w:vertAlign w:val="superscript"/>
              </w:rPr>
              <w:t>-13</w:t>
            </w:r>
          </w:p>
        </w:tc>
        <w:tc>
          <w:tcPr>
            <w:tcW w:w="1710" w:type="dxa"/>
          </w:tcPr>
          <w:p w14:paraId="5FD0744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5B0AC0A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1.3×10</w:t>
            </w:r>
            <w:r w:rsidRPr="00447599">
              <w:rPr>
                <w:rFonts w:asciiTheme="majorBidi" w:hAnsiTheme="majorBidi" w:cstheme="majorBidi"/>
                <w:sz w:val="20"/>
                <w:szCs w:val="20"/>
                <w:vertAlign w:val="superscript"/>
              </w:rPr>
              <w:t>-6</w:t>
            </w:r>
          </w:p>
        </w:tc>
      </w:tr>
      <w:tr w:rsidR="003D1CED" w:rsidRPr="00447599" w14:paraId="3B9FD629" w14:textId="77777777" w:rsidTr="00FB7079">
        <w:trPr>
          <w:jc w:val="center"/>
        </w:trPr>
        <w:tc>
          <w:tcPr>
            <w:tcW w:w="1525" w:type="dxa"/>
          </w:tcPr>
          <w:p w14:paraId="6E51B232"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w:t>
            </w:r>
          </w:p>
        </w:tc>
        <w:tc>
          <w:tcPr>
            <w:tcW w:w="2165" w:type="dxa"/>
          </w:tcPr>
          <w:p w14:paraId="4F2E2C90"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139.37</w:t>
            </w:r>
          </w:p>
        </w:tc>
        <w:tc>
          <w:tcPr>
            <w:tcW w:w="2155" w:type="dxa"/>
          </w:tcPr>
          <w:p w14:paraId="397068A7"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1.79</w:t>
            </w:r>
          </w:p>
        </w:tc>
        <w:tc>
          <w:tcPr>
            <w:tcW w:w="2160" w:type="dxa"/>
            <w:vMerge/>
          </w:tcPr>
          <w:p w14:paraId="286BAE6E"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460F6AA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49±0.5</w:t>
            </w:r>
          </w:p>
        </w:tc>
        <w:tc>
          <w:tcPr>
            <w:tcW w:w="1980" w:type="dxa"/>
          </w:tcPr>
          <w:p w14:paraId="587C824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1.4×10</w:t>
            </w:r>
            <w:r w:rsidRPr="00447599">
              <w:rPr>
                <w:rFonts w:asciiTheme="majorBidi" w:hAnsiTheme="majorBidi" w:cstheme="majorBidi"/>
                <w:sz w:val="20"/>
                <w:szCs w:val="20"/>
                <w:vertAlign w:val="superscript"/>
              </w:rPr>
              <w:t>-6</w:t>
            </w:r>
          </w:p>
        </w:tc>
      </w:tr>
      <w:tr w:rsidR="003D1CED" w:rsidRPr="00447599" w14:paraId="3C681D29" w14:textId="77777777" w:rsidTr="00FB7079">
        <w:trPr>
          <w:jc w:val="center"/>
        </w:trPr>
        <w:tc>
          <w:tcPr>
            <w:tcW w:w="1525" w:type="dxa"/>
          </w:tcPr>
          <w:p w14:paraId="7DE7A4FA"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3</w:t>
            </w:r>
          </w:p>
        </w:tc>
        <w:tc>
          <w:tcPr>
            <w:tcW w:w="2165" w:type="dxa"/>
          </w:tcPr>
          <w:p w14:paraId="3AB112F7"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141.41</w:t>
            </w:r>
          </w:p>
        </w:tc>
        <w:tc>
          <w:tcPr>
            <w:tcW w:w="2155" w:type="dxa"/>
          </w:tcPr>
          <w:p w14:paraId="36316938"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1.71</w:t>
            </w:r>
          </w:p>
        </w:tc>
        <w:tc>
          <w:tcPr>
            <w:tcW w:w="2160" w:type="dxa"/>
            <w:vMerge/>
          </w:tcPr>
          <w:p w14:paraId="209E5ADE"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7610C21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7BF335E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2.4×10</w:t>
            </w:r>
            <w:r w:rsidRPr="00447599">
              <w:rPr>
                <w:rFonts w:asciiTheme="majorBidi" w:hAnsiTheme="majorBidi" w:cstheme="majorBidi"/>
                <w:sz w:val="20"/>
                <w:szCs w:val="20"/>
                <w:vertAlign w:val="superscript"/>
              </w:rPr>
              <w:t>-6</w:t>
            </w:r>
          </w:p>
        </w:tc>
      </w:tr>
      <w:tr w:rsidR="003D1CED" w:rsidRPr="00447599" w14:paraId="5EDA2F85" w14:textId="77777777" w:rsidTr="00FB7079">
        <w:trPr>
          <w:jc w:val="center"/>
        </w:trPr>
        <w:tc>
          <w:tcPr>
            <w:tcW w:w="1525" w:type="dxa"/>
          </w:tcPr>
          <w:p w14:paraId="01338EE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4</w:t>
            </w:r>
          </w:p>
        </w:tc>
        <w:tc>
          <w:tcPr>
            <w:tcW w:w="2165" w:type="dxa"/>
          </w:tcPr>
          <w:p w14:paraId="31FEFC8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140.39</w:t>
            </w:r>
          </w:p>
        </w:tc>
        <w:tc>
          <w:tcPr>
            <w:tcW w:w="2155" w:type="dxa"/>
          </w:tcPr>
          <w:p w14:paraId="1E2BA0F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1.72</w:t>
            </w:r>
          </w:p>
        </w:tc>
        <w:tc>
          <w:tcPr>
            <w:tcW w:w="2160" w:type="dxa"/>
            <w:vMerge/>
          </w:tcPr>
          <w:p w14:paraId="0ACBE13E"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4A8CC2C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1518434A"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2.2×10</w:t>
            </w:r>
            <w:r w:rsidRPr="00447599">
              <w:rPr>
                <w:rFonts w:asciiTheme="majorBidi" w:hAnsiTheme="majorBidi" w:cstheme="majorBidi"/>
                <w:sz w:val="20"/>
                <w:szCs w:val="20"/>
                <w:vertAlign w:val="superscript"/>
              </w:rPr>
              <w:t>-6</w:t>
            </w:r>
          </w:p>
        </w:tc>
      </w:tr>
      <w:tr w:rsidR="003D1CED" w:rsidRPr="00447599" w14:paraId="5740F75C" w14:textId="77777777" w:rsidTr="00FB7079">
        <w:trPr>
          <w:jc w:val="center"/>
        </w:trPr>
        <w:tc>
          <w:tcPr>
            <w:tcW w:w="1525" w:type="dxa"/>
          </w:tcPr>
          <w:p w14:paraId="735DDFA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w:t>
            </w:r>
          </w:p>
        </w:tc>
        <w:tc>
          <w:tcPr>
            <w:tcW w:w="2165" w:type="dxa"/>
          </w:tcPr>
          <w:p w14:paraId="7359D77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139.36</w:t>
            </w:r>
          </w:p>
        </w:tc>
        <w:tc>
          <w:tcPr>
            <w:tcW w:w="2155" w:type="dxa"/>
          </w:tcPr>
          <w:p w14:paraId="58AAF8D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1.82</w:t>
            </w:r>
          </w:p>
        </w:tc>
        <w:tc>
          <w:tcPr>
            <w:tcW w:w="2160" w:type="dxa"/>
            <w:vMerge/>
          </w:tcPr>
          <w:p w14:paraId="321A4F5D"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3663802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49±0.5</w:t>
            </w:r>
          </w:p>
        </w:tc>
        <w:tc>
          <w:tcPr>
            <w:tcW w:w="1980" w:type="dxa"/>
          </w:tcPr>
          <w:p w14:paraId="2237F1B8"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1.5×10</w:t>
            </w:r>
            <w:r w:rsidRPr="00447599">
              <w:rPr>
                <w:rFonts w:asciiTheme="majorBidi" w:hAnsiTheme="majorBidi" w:cstheme="majorBidi"/>
                <w:sz w:val="20"/>
                <w:szCs w:val="20"/>
                <w:vertAlign w:val="superscript"/>
              </w:rPr>
              <w:t>-6</w:t>
            </w:r>
          </w:p>
        </w:tc>
      </w:tr>
      <w:tr w:rsidR="003D1CED" w:rsidRPr="00447599" w14:paraId="642D67E2" w14:textId="77777777" w:rsidTr="00FB7079">
        <w:trPr>
          <w:jc w:val="center"/>
        </w:trPr>
        <w:tc>
          <w:tcPr>
            <w:tcW w:w="1525" w:type="dxa"/>
          </w:tcPr>
          <w:p w14:paraId="725E644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6</w:t>
            </w:r>
          </w:p>
        </w:tc>
        <w:tc>
          <w:tcPr>
            <w:tcW w:w="2165" w:type="dxa"/>
          </w:tcPr>
          <w:p w14:paraId="2A38F7AB"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140.39</w:t>
            </w:r>
          </w:p>
        </w:tc>
        <w:tc>
          <w:tcPr>
            <w:tcW w:w="2155" w:type="dxa"/>
          </w:tcPr>
          <w:p w14:paraId="66821DE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1.78</w:t>
            </w:r>
          </w:p>
        </w:tc>
        <w:tc>
          <w:tcPr>
            <w:tcW w:w="2160" w:type="dxa"/>
            <w:vMerge/>
          </w:tcPr>
          <w:p w14:paraId="28C13AE0"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17FC59B3"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4709F5F4"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2.3×10</w:t>
            </w:r>
            <w:r w:rsidRPr="00447599">
              <w:rPr>
                <w:rFonts w:asciiTheme="majorBidi" w:hAnsiTheme="majorBidi" w:cstheme="majorBidi"/>
                <w:sz w:val="20"/>
                <w:szCs w:val="20"/>
                <w:vertAlign w:val="superscript"/>
              </w:rPr>
              <w:t>-6</w:t>
            </w:r>
          </w:p>
        </w:tc>
      </w:tr>
      <w:tr w:rsidR="003D1CED" w:rsidRPr="00447599" w14:paraId="76D6FF7B" w14:textId="77777777" w:rsidTr="00FB7079">
        <w:trPr>
          <w:jc w:val="center"/>
        </w:trPr>
        <w:tc>
          <w:tcPr>
            <w:tcW w:w="1525" w:type="dxa"/>
          </w:tcPr>
          <w:p w14:paraId="3CF72590"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7</w:t>
            </w:r>
          </w:p>
        </w:tc>
        <w:tc>
          <w:tcPr>
            <w:tcW w:w="2165" w:type="dxa"/>
          </w:tcPr>
          <w:p w14:paraId="7068E4B2"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139.36</w:t>
            </w:r>
          </w:p>
        </w:tc>
        <w:tc>
          <w:tcPr>
            <w:tcW w:w="2155" w:type="dxa"/>
          </w:tcPr>
          <w:p w14:paraId="031A634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1.90</w:t>
            </w:r>
          </w:p>
        </w:tc>
        <w:tc>
          <w:tcPr>
            <w:tcW w:w="2160" w:type="dxa"/>
            <w:vMerge/>
          </w:tcPr>
          <w:p w14:paraId="265F2968"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2BC43E5F"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49±0.5</w:t>
            </w:r>
          </w:p>
        </w:tc>
        <w:tc>
          <w:tcPr>
            <w:tcW w:w="1980" w:type="dxa"/>
          </w:tcPr>
          <w:p w14:paraId="229986D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2.4×10</w:t>
            </w:r>
            <w:r w:rsidRPr="00447599">
              <w:rPr>
                <w:rFonts w:asciiTheme="majorBidi" w:hAnsiTheme="majorBidi" w:cstheme="majorBidi"/>
                <w:sz w:val="20"/>
                <w:szCs w:val="20"/>
                <w:vertAlign w:val="superscript"/>
              </w:rPr>
              <w:t>-6</w:t>
            </w:r>
          </w:p>
        </w:tc>
      </w:tr>
      <w:tr w:rsidR="003D1CED" w:rsidRPr="00447599" w14:paraId="4E82EEDD" w14:textId="77777777" w:rsidTr="00FB7079">
        <w:trPr>
          <w:jc w:val="center"/>
        </w:trPr>
        <w:tc>
          <w:tcPr>
            <w:tcW w:w="1525" w:type="dxa"/>
          </w:tcPr>
          <w:p w14:paraId="31140AEB"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8</w:t>
            </w:r>
          </w:p>
        </w:tc>
        <w:tc>
          <w:tcPr>
            <w:tcW w:w="2165" w:type="dxa"/>
          </w:tcPr>
          <w:p w14:paraId="68F3AF50"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139.36</w:t>
            </w:r>
          </w:p>
        </w:tc>
        <w:tc>
          <w:tcPr>
            <w:tcW w:w="2155" w:type="dxa"/>
          </w:tcPr>
          <w:p w14:paraId="67997703"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1.84</w:t>
            </w:r>
          </w:p>
        </w:tc>
        <w:tc>
          <w:tcPr>
            <w:tcW w:w="2160" w:type="dxa"/>
            <w:vMerge/>
          </w:tcPr>
          <w:p w14:paraId="05779DF6"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58F3A11C"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1578989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2.5×10</w:t>
            </w:r>
            <w:r w:rsidRPr="00447599">
              <w:rPr>
                <w:rFonts w:asciiTheme="majorBidi" w:hAnsiTheme="majorBidi" w:cstheme="majorBidi"/>
                <w:sz w:val="20"/>
                <w:szCs w:val="20"/>
                <w:vertAlign w:val="superscript"/>
              </w:rPr>
              <w:t>-6</w:t>
            </w:r>
          </w:p>
        </w:tc>
      </w:tr>
      <w:tr w:rsidR="003D1CED" w:rsidRPr="00447599" w14:paraId="4988E0E9" w14:textId="77777777" w:rsidTr="00FB7079">
        <w:trPr>
          <w:jc w:val="center"/>
        </w:trPr>
        <w:tc>
          <w:tcPr>
            <w:tcW w:w="1525" w:type="dxa"/>
          </w:tcPr>
          <w:p w14:paraId="1012607E"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9</w:t>
            </w:r>
          </w:p>
        </w:tc>
        <w:tc>
          <w:tcPr>
            <w:tcW w:w="2165" w:type="dxa"/>
          </w:tcPr>
          <w:p w14:paraId="2C0C6AD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139.36</w:t>
            </w:r>
          </w:p>
        </w:tc>
        <w:tc>
          <w:tcPr>
            <w:tcW w:w="2155" w:type="dxa"/>
          </w:tcPr>
          <w:p w14:paraId="736B5BE5"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1.90</w:t>
            </w:r>
          </w:p>
        </w:tc>
        <w:tc>
          <w:tcPr>
            <w:tcW w:w="2160" w:type="dxa"/>
            <w:vMerge/>
          </w:tcPr>
          <w:p w14:paraId="78B15D52"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4755F9D1"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485D977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1.6×10</w:t>
            </w:r>
            <w:r w:rsidRPr="00447599">
              <w:rPr>
                <w:rFonts w:asciiTheme="majorBidi" w:hAnsiTheme="majorBidi" w:cstheme="majorBidi"/>
                <w:sz w:val="20"/>
                <w:szCs w:val="20"/>
                <w:vertAlign w:val="superscript"/>
              </w:rPr>
              <w:t>-6</w:t>
            </w:r>
          </w:p>
        </w:tc>
      </w:tr>
      <w:tr w:rsidR="003D1CED" w:rsidRPr="00447599" w14:paraId="470340F6" w14:textId="77777777" w:rsidTr="00FB7079">
        <w:trPr>
          <w:jc w:val="center"/>
        </w:trPr>
        <w:tc>
          <w:tcPr>
            <w:tcW w:w="1525" w:type="dxa"/>
          </w:tcPr>
          <w:p w14:paraId="23293053"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10</w:t>
            </w:r>
          </w:p>
        </w:tc>
        <w:tc>
          <w:tcPr>
            <w:tcW w:w="2165" w:type="dxa"/>
          </w:tcPr>
          <w:p w14:paraId="7E2FA648"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139.36</w:t>
            </w:r>
          </w:p>
        </w:tc>
        <w:tc>
          <w:tcPr>
            <w:tcW w:w="2155" w:type="dxa"/>
          </w:tcPr>
          <w:p w14:paraId="050B18F6"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1.81</w:t>
            </w:r>
          </w:p>
        </w:tc>
        <w:tc>
          <w:tcPr>
            <w:tcW w:w="2160" w:type="dxa"/>
            <w:vMerge/>
          </w:tcPr>
          <w:p w14:paraId="15C95223"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6760C81A"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49±0.5</w:t>
            </w:r>
          </w:p>
        </w:tc>
        <w:tc>
          <w:tcPr>
            <w:tcW w:w="1980" w:type="dxa"/>
          </w:tcPr>
          <w:p w14:paraId="06E980EA"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2.9×10</w:t>
            </w:r>
            <w:r w:rsidRPr="00447599">
              <w:rPr>
                <w:rFonts w:asciiTheme="majorBidi" w:hAnsiTheme="majorBidi" w:cstheme="majorBidi"/>
                <w:sz w:val="20"/>
                <w:szCs w:val="20"/>
                <w:vertAlign w:val="superscript"/>
              </w:rPr>
              <w:t>-6</w:t>
            </w:r>
          </w:p>
        </w:tc>
      </w:tr>
      <w:tr w:rsidR="003D1CED" w:rsidRPr="00447599" w14:paraId="01765032" w14:textId="77777777" w:rsidTr="00FB7079">
        <w:trPr>
          <w:jc w:val="center"/>
        </w:trPr>
        <w:tc>
          <w:tcPr>
            <w:tcW w:w="1525" w:type="dxa"/>
          </w:tcPr>
          <w:p w14:paraId="62E000CC"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11</w:t>
            </w:r>
          </w:p>
        </w:tc>
        <w:tc>
          <w:tcPr>
            <w:tcW w:w="2165" w:type="dxa"/>
          </w:tcPr>
          <w:p w14:paraId="468B6D5F"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140.39</w:t>
            </w:r>
          </w:p>
        </w:tc>
        <w:tc>
          <w:tcPr>
            <w:tcW w:w="2155" w:type="dxa"/>
          </w:tcPr>
          <w:p w14:paraId="6DEFB87D"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1.70</w:t>
            </w:r>
          </w:p>
        </w:tc>
        <w:tc>
          <w:tcPr>
            <w:tcW w:w="2160" w:type="dxa"/>
            <w:vMerge/>
          </w:tcPr>
          <w:p w14:paraId="20859197" w14:textId="77777777" w:rsidR="003D1CED" w:rsidRPr="00447599" w:rsidRDefault="003D1CED" w:rsidP="003340EF">
            <w:pPr>
              <w:spacing w:line="276" w:lineRule="auto"/>
              <w:jc w:val="center"/>
              <w:rPr>
                <w:rFonts w:asciiTheme="majorBidi" w:hAnsiTheme="majorBidi" w:cstheme="majorBidi"/>
                <w:sz w:val="20"/>
                <w:szCs w:val="20"/>
              </w:rPr>
            </w:pPr>
          </w:p>
        </w:tc>
        <w:tc>
          <w:tcPr>
            <w:tcW w:w="1710" w:type="dxa"/>
          </w:tcPr>
          <w:p w14:paraId="3F2F2333"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50±0.5</w:t>
            </w:r>
          </w:p>
        </w:tc>
        <w:tc>
          <w:tcPr>
            <w:tcW w:w="1980" w:type="dxa"/>
          </w:tcPr>
          <w:p w14:paraId="0E663119" w14:textId="77777777" w:rsidR="003D1CED" w:rsidRPr="00447599" w:rsidRDefault="003D1CED" w:rsidP="003340EF">
            <w:pPr>
              <w:spacing w:line="276" w:lineRule="auto"/>
              <w:jc w:val="center"/>
              <w:rPr>
                <w:rFonts w:asciiTheme="majorBidi" w:hAnsiTheme="majorBidi" w:cstheme="majorBidi"/>
                <w:sz w:val="20"/>
                <w:szCs w:val="20"/>
              </w:rPr>
            </w:pPr>
            <w:r w:rsidRPr="00447599">
              <w:rPr>
                <w:rFonts w:asciiTheme="majorBidi" w:hAnsiTheme="majorBidi" w:cstheme="majorBidi"/>
                <w:sz w:val="20"/>
                <w:szCs w:val="20"/>
              </w:rPr>
              <w:t>1.7×10</w:t>
            </w:r>
            <w:r w:rsidRPr="00447599">
              <w:rPr>
                <w:rFonts w:asciiTheme="majorBidi" w:hAnsiTheme="majorBidi" w:cstheme="majorBidi"/>
                <w:sz w:val="20"/>
                <w:szCs w:val="20"/>
                <w:vertAlign w:val="superscript"/>
              </w:rPr>
              <w:t>-6</w:t>
            </w:r>
          </w:p>
        </w:tc>
      </w:tr>
    </w:tbl>
    <w:p w14:paraId="32EF45E9" w14:textId="77777777" w:rsidR="003D1CED" w:rsidRPr="00447599" w:rsidRDefault="003D1CED" w:rsidP="003340EF">
      <w:pPr>
        <w:pStyle w:val="ListParagraph"/>
        <w:numPr>
          <w:ilvl w:val="0"/>
          <w:numId w:val="2"/>
        </w:numPr>
        <w:spacing w:after="160" w:line="276" w:lineRule="auto"/>
        <w:jc w:val="both"/>
        <w:rPr>
          <w:rFonts w:asciiTheme="majorBidi" w:hAnsiTheme="majorBidi" w:cstheme="majorBidi"/>
          <w:color w:val="000000"/>
        </w:rPr>
      </w:pPr>
      <w:r w:rsidRPr="00447599">
        <w:rPr>
          <w:rFonts w:asciiTheme="majorBidi" w:hAnsiTheme="majorBidi" w:cstheme="majorBidi"/>
          <w:color w:val="000000"/>
        </w:rPr>
        <w:t>Soil density was selected based on site soil density ranging 1.7-1.9 g/cm</w:t>
      </w:r>
      <w:r w:rsidRPr="00447599">
        <w:rPr>
          <w:rFonts w:asciiTheme="majorBidi" w:hAnsiTheme="majorBidi" w:cstheme="majorBidi"/>
          <w:color w:val="000000"/>
          <w:vertAlign w:val="superscript"/>
        </w:rPr>
        <w:t>3</w:t>
      </w:r>
      <w:r w:rsidRPr="00447599">
        <w:rPr>
          <w:rFonts w:asciiTheme="majorBidi" w:hAnsiTheme="majorBidi" w:cstheme="majorBidi"/>
          <w:color w:val="000000"/>
        </w:rPr>
        <w:t xml:space="preserve">. </w:t>
      </w:r>
    </w:p>
    <w:p w14:paraId="636A59B4" w14:textId="77777777" w:rsidR="003D1CED" w:rsidRPr="00447599" w:rsidRDefault="003D1CED" w:rsidP="003340EF">
      <w:pPr>
        <w:spacing w:line="276" w:lineRule="auto"/>
        <w:rPr>
          <w:rFonts w:asciiTheme="majorBidi" w:hAnsiTheme="majorBidi" w:cstheme="majorBidi"/>
          <w:b/>
          <w:bCs/>
        </w:rPr>
      </w:pPr>
    </w:p>
    <w:p w14:paraId="2CB421A4" w14:textId="785F15DE" w:rsidR="009B5816" w:rsidRPr="00447599" w:rsidRDefault="009B5816" w:rsidP="003340EF">
      <w:pPr>
        <w:spacing w:line="276" w:lineRule="auto"/>
        <w:rPr>
          <w:rFonts w:asciiTheme="majorBidi" w:hAnsiTheme="majorBidi" w:cstheme="majorBidi"/>
          <w:b/>
          <w:bCs/>
        </w:rPr>
      </w:pPr>
      <w:r w:rsidRPr="00447599">
        <w:rPr>
          <w:rFonts w:asciiTheme="majorBidi" w:hAnsiTheme="majorBidi" w:cstheme="majorBidi"/>
          <w:b/>
          <w:bCs/>
        </w:rPr>
        <w:br w:type="page"/>
      </w:r>
    </w:p>
    <w:p w14:paraId="72D6D537" w14:textId="7323B1D4" w:rsidR="009B5816" w:rsidRPr="00447599" w:rsidRDefault="009B5816" w:rsidP="003340EF">
      <w:pPr>
        <w:spacing w:line="276" w:lineRule="auto"/>
        <w:rPr>
          <w:rFonts w:asciiTheme="majorBidi" w:hAnsiTheme="majorBidi" w:cstheme="majorBidi"/>
          <w:b/>
          <w:bCs/>
        </w:rPr>
      </w:pPr>
    </w:p>
    <w:p w14:paraId="46DA0342" w14:textId="7C20AE8E" w:rsidR="003D1CED" w:rsidRPr="00447599" w:rsidRDefault="007749B2" w:rsidP="003340EF">
      <w:pPr>
        <w:spacing w:line="276" w:lineRule="auto"/>
        <w:rPr>
          <w:rFonts w:asciiTheme="majorBidi" w:hAnsiTheme="majorBidi" w:cstheme="majorBidi"/>
          <w:b/>
          <w:bCs/>
        </w:rPr>
        <w:sectPr w:rsidR="003D1CED" w:rsidRPr="00447599" w:rsidSect="003D1CED">
          <w:pgSz w:w="15840" w:h="12240" w:orient="landscape"/>
          <w:pgMar w:top="1440" w:right="1440" w:bottom="1440" w:left="1440" w:header="720" w:footer="720" w:gutter="0"/>
          <w:cols w:space="720"/>
          <w:docGrid w:linePitch="360"/>
        </w:sectPr>
      </w:pPr>
      <w:r w:rsidRPr="00447599">
        <w:rPr>
          <w:noProof/>
        </w:rPr>
        <w:drawing>
          <wp:inline distT="0" distB="0" distL="0" distR="0" wp14:anchorId="0CD57793" wp14:editId="6433C1CA">
            <wp:extent cx="7853082" cy="4159624"/>
            <wp:effectExtent l="0" t="0" r="0" b="0"/>
            <wp:docPr id="4" name="Chart 4">
              <a:extLst xmlns:a="http://schemas.openxmlformats.org/drawingml/2006/main">
                <a:ext uri="{FF2B5EF4-FFF2-40B4-BE49-F238E27FC236}">
                  <a16:creationId xmlns:a16="http://schemas.microsoft.com/office/drawing/2014/main" id="{EE4B668D-3E93-4545-B971-D58F88EF89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E4C4E26" w14:textId="33FEF5AA" w:rsidR="00964616" w:rsidRPr="00447599" w:rsidRDefault="00964616" w:rsidP="003340EF">
      <w:pPr>
        <w:spacing w:line="276" w:lineRule="auto"/>
        <w:jc w:val="center"/>
        <w:rPr>
          <w:rFonts w:asciiTheme="majorBidi" w:hAnsiTheme="majorBidi" w:cstheme="majorBidi"/>
          <w:shd w:val="clear" w:color="auto" w:fill="FFFFFF"/>
        </w:rPr>
      </w:pPr>
      <w:r w:rsidRPr="00447599">
        <w:rPr>
          <w:rFonts w:asciiTheme="majorBidi" w:hAnsiTheme="majorBidi" w:cstheme="majorBidi"/>
          <w:shd w:val="clear" w:color="auto" w:fill="FFFFFF"/>
        </w:rPr>
        <w:lastRenderedPageBreak/>
        <w:t>Fig. S</w:t>
      </w:r>
      <w:r w:rsidR="00114116" w:rsidRPr="00447599">
        <w:rPr>
          <w:rFonts w:asciiTheme="majorBidi" w:hAnsiTheme="majorBidi" w:cstheme="majorBidi"/>
          <w:shd w:val="clear" w:color="auto" w:fill="FFFFFF"/>
        </w:rPr>
        <w:t>5</w:t>
      </w:r>
      <w:r w:rsidRPr="00447599">
        <w:rPr>
          <w:rFonts w:asciiTheme="majorBidi" w:hAnsiTheme="majorBidi" w:cstheme="majorBidi"/>
          <w:shd w:val="clear" w:color="auto" w:fill="FFFFFF"/>
        </w:rPr>
        <w:t>. Relative concentration on the breakthrough curve for trace element (Br</w:t>
      </w:r>
      <w:r w:rsidRPr="00447599">
        <w:rPr>
          <w:rFonts w:asciiTheme="majorBidi" w:hAnsiTheme="majorBidi" w:cstheme="majorBidi"/>
          <w:shd w:val="clear" w:color="auto" w:fill="FFFFFF"/>
          <w:vertAlign w:val="superscript"/>
        </w:rPr>
        <w:t>-</w:t>
      </w:r>
      <w:r w:rsidRPr="00447599">
        <w:rPr>
          <w:rFonts w:asciiTheme="majorBidi" w:hAnsiTheme="majorBidi" w:cstheme="majorBidi"/>
          <w:shd w:val="clear" w:color="auto" w:fill="FFFFFF"/>
        </w:rPr>
        <w:t xml:space="preserve">) and </w:t>
      </w:r>
      <w:r w:rsidRPr="00447599">
        <w:rPr>
          <w:rFonts w:asciiTheme="majorBidi" w:hAnsiTheme="majorBidi" w:cstheme="majorBidi"/>
        </w:rPr>
        <w:t>total protein in the effluent sample during enzyme injection</w:t>
      </w:r>
      <w:r w:rsidRPr="00447599">
        <w:rPr>
          <w:rFonts w:asciiTheme="majorBidi" w:hAnsiTheme="majorBidi" w:cstheme="majorBidi"/>
          <w:shd w:val="clear" w:color="auto" w:fill="FFFFFF"/>
        </w:rPr>
        <w:t xml:space="preserve">. </w:t>
      </w:r>
    </w:p>
    <w:p w14:paraId="7772A509" w14:textId="04325484" w:rsidR="002820D4" w:rsidRPr="00447599" w:rsidRDefault="002820D4" w:rsidP="003340EF">
      <w:pPr>
        <w:spacing w:line="276" w:lineRule="auto"/>
        <w:jc w:val="center"/>
        <w:rPr>
          <w:rFonts w:asciiTheme="majorBidi" w:hAnsiTheme="majorBidi" w:cstheme="majorBidi"/>
          <w:shd w:val="clear" w:color="auto" w:fill="FFFFFF"/>
        </w:rPr>
      </w:pPr>
    </w:p>
    <w:p w14:paraId="19E10460" w14:textId="0A1F39EE" w:rsidR="002820D4" w:rsidRPr="00447599" w:rsidRDefault="002820D4" w:rsidP="00D83E36">
      <w:pPr>
        <w:spacing w:line="276" w:lineRule="auto"/>
        <w:jc w:val="both"/>
        <w:rPr>
          <w:rFonts w:asciiTheme="majorBidi" w:hAnsiTheme="majorBidi" w:cstheme="majorBidi"/>
          <w:sz w:val="22"/>
          <w:szCs w:val="22"/>
          <w:lang w:bidi="fa-IR"/>
        </w:rPr>
      </w:pPr>
      <w:r w:rsidRPr="00447599">
        <w:rPr>
          <w:rFonts w:asciiTheme="majorBidi" w:hAnsiTheme="majorBidi" w:cstheme="majorBidi"/>
          <w:sz w:val="22"/>
          <w:szCs w:val="22"/>
        </w:rPr>
        <w:t>Table S</w:t>
      </w:r>
      <w:r w:rsidR="00106EC7" w:rsidRPr="00447599">
        <w:rPr>
          <w:rFonts w:asciiTheme="majorBidi" w:hAnsiTheme="majorBidi" w:cstheme="majorBidi"/>
          <w:sz w:val="22"/>
          <w:szCs w:val="22"/>
        </w:rPr>
        <w:t>9</w:t>
      </w:r>
      <w:r w:rsidRPr="00447599">
        <w:rPr>
          <w:rFonts w:asciiTheme="majorBidi" w:hAnsiTheme="majorBidi" w:cstheme="majorBidi"/>
          <w:sz w:val="22"/>
          <w:szCs w:val="22"/>
        </w:rPr>
        <w:t>. Parameters of the Freundlich adsorption isotherm model for the enzyme (Low-level concentration of enzyme solutions; X/10) and p-xylene individually (Kfi, n from Eq. (5)) and as a mixture (aij from Eq.(6))</w:t>
      </w:r>
    </w:p>
    <w:p w14:paraId="137B7E97" w14:textId="1156096C" w:rsidR="001B5F8A" w:rsidRPr="00447599" w:rsidRDefault="001B5F8A" w:rsidP="003340EF">
      <w:pPr>
        <w:spacing w:line="276" w:lineRule="auto"/>
        <w:rPr>
          <w:rFonts w:asciiTheme="majorBidi" w:hAnsiTheme="majorBidi" w:cstheme="majorBidi"/>
          <w:b/>
          <w:bCs/>
        </w:rPr>
      </w:pPr>
    </w:p>
    <w:tbl>
      <w:tblPr>
        <w:tblW w:w="3948" w:type="dxa"/>
        <w:jc w:val="center"/>
        <w:tblLook w:val="04A0" w:firstRow="1" w:lastRow="0" w:firstColumn="1" w:lastColumn="0" w:noHBand="0" w:noVBand="1"/>
      </w:tblPr>
      <w:tblGrid>
        <w:gridCol w:w="1316"/>
        <w:gridCol w:w="1316"/>
        <w:gridCol w:w="1316"/>
      </w:tblGrid>
      <w:tr w:rsidR="002820D4" w:rsidRPr="00447599" w14:paraId="250A4C93" w14:textId="77777777" w:rsidTr="002820D4">
        <w:trPr>
          <w:trHeight w:val="340"/>
          <w:jc w:val="center"/>
        </w:trPr>
        <w:tc>
          <w:tcPr>
            <w:tcW w:w="1316" w:type="dxa"/>
            <w:tcBorders>
              <w:top w:val="single" w:sz="8" w:space="0" w:color="auto"/>
              <w:left w:val="nil"/>
              <w:bottom w:val="single" w:sz="8" w:space="0" w:color="auto"/>
              <w:right w:val="nil"/>
            </w:tcBorders>
            <w:shd w:val="clear" w:color="auto" w:fill="auto"/>
            <w:noWrap/>
            <w:vAlign w:val="center"/>
            <w:hideMark/>
          </w:tcPr>
          <w:p w14:paraId="536011BD"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 </w:t>
            </w:r>
          </w:p>
        </w:tc>
        <w:tc>
          <w:tcPr>
            <w:tcW w:w="1316" w:type="dxa"/>
            <w:tcBorders>
              <w:top w:val="single" w:sz="8" w:space="0" w:color="auto"/>
              <w:left w:val="nil"/>
              <w:bottom w:val="single" w:sz="8" w:space="0" w:color="auto"/>
              <w:right w:val="nil"/>
            </w:tcBorders>
            <w:shd w:val="clear" w:color="auto" w:fill="auto"/>
            <w:noWrap/>
            <w:vAlign w:val="center"/>
            <w:hideMark/>
          </w:tcPr>
          <w:p w14:paraId="279553E2"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 xml:space="preserve">Protein </w:t>
            </w:r>
          </w:p>
        </w:tc>
        <w:tc>
          <w:tcPr>
            <w:tcW w:w="1316" w:type="dxa"/>
            <w:tcBorders>
              <w:top w:val="single" w:sz="8" w:space="0" w:color="auto"/>
              <w:left w:val="nil"/>
              <w:bottom w:val="single" w:sz="8" w:space="0" w:color="auto"/>
              <w:right w:val="nil"/>
            </w:tcBorders>
            <w:shd w:val="clear" w:color="auto" w:fill="auto"/>
            <w:noWrap/>
            <w:vAlign w:val="center"/>
            <w:hideMark/>
          </w:tcPr>
          <w:p w14:paraId="26BFBEE0"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Pyrene</w:t>
            </w:r>
          </w:p>
        </w:tc>
      </w:tr>
      <w:tr w:rsidR="002820D4" w:rsidRPr="00447599" w14:paraId="528C7A29" w14:textId="77777777" w:rsidTr="002820D4">
        <w:trPr>
          <w:trHeight w:val="360"/>
          <w:jc w:val="center"/>
        </w:trPr>
        <w:tc>
          <w:tcPr>
            <w:tcW w:w="1316" w:type="dxa"/>
            <w:tcBorders>
              <w:top w:val="nil"/>
              <w:left w:val="nil"/>
              <w:bottom w:val="nil"/>
              <w:right w:val="nil"/>
            </w:tcBorders>
            <w:shd w:val="clear" w:color="auto" w:fill="auto"/>
            <w:noWrap/>
            <w:vAlign w:val="center"/>
            <w:hideMark/>
          </w:tcPr>
          <w:p w14:paraId="17287BE5" w14:textId="77777777" w:rsidR="002820D4" w:rsidRPr="00447599" w:rsidRDefault="002820D4" w:rsidP="003340EF">
            <w:pPr>
              <w:spacing w:line="276" w:lineRule="auto"/>
              <w:jc w:val="center"/>
              <w:rPr>
                <w:i/>
                <w:iCs/>
                <w:color w:val="000000"/>
                <w:sz w:val="22"/>
                <w:szCs w:val="22"/>
              </w:rPr>
            </w:pPr>
            <w:r w:rsidRPr="00447599">
              <w:rPr>
                <w:i/>
                <w:iCs/>
                <w:color w:val="000000"/>
                <w:sz w:val="22"/>
                <w:szCs w:val="22"/>
                <w:lang w:val="en-CA"/>
              </w:rPr>
              <w:t>K</w:t>
            </w:r>
            <w:r w:rsidRPr="00447599">
              <w:rPr>
                <w:i/>
                <w:iCs/>
                <w:color w:val="000000"/>
                <w:sz w:val="22"/>
                <w:szCs w:val="22"/>
                <w:vertAlign w:val="subscript"/>
                <w:lang w:val="en-CA"/>
              </w:rPr>
              <w:t>f</w:t>
            </w:r>
          </w:p>
        </w:tc>
        <w:tc>
          <w:tcPr>
            <w:tcW w:w="1316" w:type="dxa"/>
            <w:tcBorders>
              <w:top w:val="nil"/>
              <w:left w:val="nil"/>
              <w:bottom w:val="nil"/>
              <w:right w:val="nil"/>
            </w:tcBorders>
            <w:shd w:val="clear" w:color="auto" w:fill="auto"/>
            <w:noWrap/>
            <w:vAlign w:val="center"/>
            <w:hideMark/>
          </w:tcPr>
          <w:p w14:paraId="0725C787"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0.42</w:t>
            </w:r>
          </w:p>
        </w:tc>
        <w:tc>
          <w:tcPr>
            <w:tcW w:w="1316" w:type="dxa"/>
            <w:tcBorders>
              <w:top w:val="nil"/>
              <w:left w:val="nil"/>
              <w:bottom w:val="nil"/>
              <w:right w:val="nil"/>
            </w:tcBorders>
            <w:shd w:val="clear" w:color="auto" w:fill="auto"/>
            <w:noWrap/>
            <w:vAlign w:val="center"/>
            <w:hideMark/>
          </w:tcPr>
          <w:p w14:paraId="4F643685"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0.2</w:t>
            </w:r>
          </w:p>
        </w:tc>
      </w:tr>
      <w:tr w:rsidR="002820D4" w:rsidRPr="00447599" w14:paraId="04CE6CE1" w14:textId="77777777" w:rsidTr="002820D4">
        <w:trPr>
          <w:trHeight w:val="320"/>
          <w:jc w:val="center"/>
        </w:trPr>
        <w:tc>
          <w:tcPr>
            <w:tcW w:w="1316" w:type="dxa"/>
            <w:tcBorders>
              <w:top w:val="nil"/>
              <w:left w:val="nil"/>
              <w:bottom w:val="nil"/>
              <w:right w:val="nil"/>
            </w:tcBorders>
            <w:shd w:val="clear" w:color="auto" w:fill="auto"/>
            <w:noWrap/>
            <w:vAlign w:val="center"/>
            <w:hideMark/>
          </w:tcPr>
          <w:p w14:paraId="72375BAC"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n</w:t>
            </w:r>
          </w:p>
        </w:tc>
        <w:tc>
          <w:tcPr>
            <w:tcW w:w="1316" w:type="dxa"/>
            <w:tcBorders>
              <w:top w:val="nil"/>
              <w:left w:val="nil"/>
              <w:bottom w:val="nil"/>
              <w:right w:val="nil"/>
            </w:tcBorders>
            <w:shd w:val="clear" w:color="auto" w:fill="auto"/>
            <w:noWrap/>
            <w:vAlign w:val="center"/>
            <w:hideMark/>
          </w:tcPr>
          <w:p w14:paraId="50C4BB16"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0.85</w:t>
            </w:r>
          </w:p>
        </w:tc>
        <w:tc>
          <w:tcPr>
            <w:tcW w:w="1316" w:type="dxa"/>
            <w:tcBorders>
              <w:top w:val="nil"/>
              <w:left w:val="nil"/>
              <w:bottom w:val="nil"/>
              <w:right w:val="nil"/>
            </w:tcBorders>
            <w:shd w:val="clear" w:color="auto" w:fill="auto"/>
            <w:noWrap/>
            <w:vAlign w:val="center"/>
            <w:hideMark/>
          </w:tcPr>
          <w:p w14:paraId="264A2086"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0.58</w:t>
            </w:r>
          </w:p>
        </w:tc>
      </w:tr>
      <w:tr w:rsidR="002820D4" w:rsidRPr="00447599" w14:paraId="13546F9B" w14:textId="77777777" w:rsidTr="002820D4">
        <w:trPr>
          <w:trHeight w:val="320"/>
          <w:jc w:val="center"/>
        </w:trPr>
        <w:tc>
          <w:tcPr>
            <w:tcW w:w="1316" w:type="dxa"/>
            <w:tcBorders>
              <w:top w:val="nil"/>
              <w:left w:val="nil"/>
              <w:bottom w:val="nil"/>
              <w:right w:val="nil"/>
            </w:tcBorders>
            <w:shd w:val="clear" w:color="auto" w:fill="auto"/>
            <w:noWrap/>
            <w:vAlign w:val="center"/>
            <w:hideMark/>
          </w:tcPr>
          <w:p w14:paraId="7E33B00D" w14:textId="77777777" w:rsidR="002820D4" w:rsidRPr="00447599" w:rsidRDefault="002820D4" w:rsidP="003340EF">
            <w:pPr>
              <w:spacing w:line="276" w:lineRule="auto"/>
              <w:jc w:val="center"/>
              <w:rPr>
                <w:i/>
                <w:iCs/>
                <w:color w:val="000000"/>
                <w:sz w:val="22"/>
                <w:szCs w:val="22"/>
              </w:rPr>
            </w:pPr>
            <w:r w:rsidRPr="00447599">
              <w:rPr>
                <w:i/>
                <w:iCs/>
                <w:color w:val="000000"/>
                <w:sz w:val="22"/>
                <w:szCs w:val="22"/>
                <w:lang w:val="en-CA"/>
              </w:rPr>
              <w:t>R</w:t>
            </w:r>
            <w:r w:rsidRPr="00447599">
              <w:rPr>
                <w:i/>
                <w:iCs/>
                <w:color w:val="000000"/>
                <w:sz w:val="22"/>
                <w:szCs w:val="22"/>
                <w:vertAlign w:val="superscript"/>
                <w:lang w:val="en-CA"/>
              </w:rPr>
              <w:t>2</w:t>
            </w:r>
          </w:p>
        </w:tc>
        <w:tc>
          <w:tcPr>
            <w:tcW w:w="1316" w:type="dxa"/>
            <w:tcBorders>
              <w:top w:val="nil"/>
              <w:left w:val="nil"/>
              <w:bottom w:val="nil"/>
              <w:right w:val="nil"/>
            </w:tcBorders>
            <w:shd w:val="clear" w:color="auto" w:fill="auto"/>
            <w:noWrap/>
            <w:vAlign w:val="center"/>
            <w:hideMark/>
          </w:tcPr>
          <w:p w14:paraId="1FF5EB65"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0.9</w:t>
            </w:r>
          </w:p>
        </w:tc>
        <w:tc>
          <w:tcPr>
            <w:tcW w:w="1316" w:type="dxa"/>
            <w:tcBorders>
              <w:top w:val="nil"/>
              <w:left w:val="nil"/>
              <w:bottom w:val="nil"/>
              <w:right w:val="nil"/>
            </w:tcBorders>
            <w:shd w:val="clear" w:color="auto" w:fill="auto"/>
            <w:noWrap/>
            <w:vAlign w:val="center"/>
            <w:hideMark/>
          </w:tcPr>
          <w:p w14:paraId="38544128"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0.94</w:t>
            </w:r>
          </w:p>
        </w:tc>
      </w:tr>
      <w:tr w:rsidR="002820D4" w:rsidRPr="00447599" w14:paraId="288092D8" w14:textId="77777777" w:rsidTr="002820D4">
        <w:trPr>
          <w:trHeight w:val="360"/>
          <w:jc w:val="center"/>
        </w:trPr>
        <w:tc>
          <w:tcPr>
            <w:tcW w:w="1316" w:type="dxa"/>
            <w:tcBorders>
              <w:top w:val="nil"/>
              <w:left w:val="nil"/>
              <w:bottom w:val="nil"/>
              <w:right w:val="nil"/>
            </w:tcBorders>
            <w:shd w:val="clear" w:color="auto" w:fill="auto"/>
            <w:noWrap/>
            <w:vAlign w:val="center"/>
            <w:hideMark/>
          </w:tcPr>
          <w:p w14:paraId="294A3925"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a</w:t>
            </w:r>
            <w:r w:rsidRPr="00447599">
              <w:rPr>
                <w:color w:val="000000"/>
                <w:sz w:val="22"/>
                <w:szCs w:val="22"/>
                <w:vertAlign w:val="subscript"/>
                <w:lang w:val="en-CA"/>
              </w:rPr>
              <w:t>i1</w:t>
            </w:r>
          </w:p>
        </w:tc>
        <w:tc>
          <w:tcPr>
            <w:tcW w:w="1316" w:type="dxa"/>
            <w:tcBorders>
              <w:top w:val="nil"/>
              <w:left w:val="nil"/>
              <w:bottom w:val="nil"/>
              <w:right w:val="nil"/>
            </w:tcBorders>
            <w:shd w:val="clear" w:color="auto" w:fill="auto"/>
            <w:noWrap/>
            <w:vAlign w:val="center"/>
            <w:hideMark/>
          </w:tcPr>
          <w:p w14:paraId="1F7EFDE3"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1</w:t>
            </w:r>
          </w:p>
        </w:tc>
        <w:tc>
          <w:tcPr>
            <w:tcW w:w="1316" w:type="dxa"/>
            <w:tcBorders>
              <w:top w:val="nil"/>
              <w:left w:val="nil"/>
              <w:bottom w:val="nil"/>
              <w:right w:val="nil"/>
            </w:tcBorders>
            <w:shd w:val="clear" w:color="auto" w:fill="auto"/>
            <w:noWrap/>
            <w:vAlign w:val="center"/>
            <w:hideMark/>
          </w:tcPr>
          <w:p w14:paraId="65DE9ED7"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-0.28</w:t>
            </w:r>
          </w:p>
        </w:tc>
      </w:tr>
      <w:tr w:rsidR="002820D4" w:rsidRPr="00447599" w14:paraId="54469EBD" w14:textId="77777777" w:rsidTr="002820D4">
        <w:trPr>
          <w:trHeight w:val="360"/>
          <w:jc w:val="center"/>
        </w:trPr>
        <w:tc>
          <w:tcPr>
            <w:tcW w:w="1316" w:type="dxa"/>
            <w:tcBorders>
              <w:top w:val="nil"/>
              <w:left w:val="nil"/>
              <w:bottom w:val="single" w:sz="4" w:space="0" w:color="auto"/>
              <w:right w:val="nil"/>
            </w:tcBorders>
            <w:shd w:val="clear" w:color="auto" w:fill="auto"/>
            <w:noWrap/>
            <w:vAlign w:val="center"/>
            <w:hideMark/>
          </w:tcPr>
          <w:p w14:paraId="678E4228"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a</w:t>
            </w:r>
            <w:r w:rsidRPr="00447599">
              <w:rPr>
                <w:color w:val="000000"/>
                <w:sz w:val="22"/>
                <w:szCs w:val="22"/>
                <w:vertAlign w:val="subscript"/>
                <w:lang w:val="en-CA"/>
              </w:rPr>
              <w:t>i2</w:t>
            </w:r>
          </w:p>
        </w:tc>
        <w:tc>
          <w:tcPr>
            <w:tcW w:w="1316" w:type="dxa"/>
            <w:tcBorders>
              <w:top w:val="nil"/>
              <w:left w:val="nil"/>
              <w:bottom w:val="single" w:sz="4" w:space="0" w:color="auto"/>
              <w:right w:val="nil"/>
            </w:tcBorders>
            <w:shd w:val="clear" w:color="auto" w:fill="auto"/>
            <w:noWrap/>
            <w:vAlign w:val="center"/>
            <w:hideMark/>
          </w:tcPr>
          <w:p w14:paraId="578CE2A1"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w:t>
            </w:r>
          </w:p>
        </w:tc>
        <w:tc>
          <w:tcPr>
            <w:tcW w:w="1316" w:type="dxa"/>
            <w:tcBorders>
              <w:top w:val="nil"/>
              <w:left w:val="nil"/>
              <w:bottom w:val="single" w:sz="4" w:space="0" w:color="auto"/>
              <w:right w:val="nil"/>
            </w:tcBorders>
            <w:shd w:val="clear" w:color="auto" w:fill="auto"/>
            <w:noWrap/>
            <w:vAlign w:val="center"/>
            <w:hideMark/>
          </w:tcPr>
          <w:p w14:paraId="52DF1C1E" w14:textId="77777777" w:rsidR="002820D4" w:rsidRPr="00447599" w:rsidRDefault="002820D4" w:rsidP="003340EF">
            <w:pPr>
              <w:spacing w:line="276" w:lineRule="auto"/>
              <w:jc w:val="center"/>
              <w:rPr>
                <w:color w:val="000000"/>
                <w:sz w:val="22"/>
                <w:szCs w:val="22"/>
              </w:rPr>
            </w:pPr>
            <w:r w:rsidRPr="00447599">
              <w:rPr>
                <w:color w:val="000000"/>
                <w:sz w:val="22"/>
                <w:szCs w:val="22"/>
                <w:lang w:val="en-CA"/>
              </w:rPr>
              <w:t>-0.43</w:t>
            </w:r>
          </w:p>
        </w:tc>
      </w:tr>
    </w:tbl>
    <w:p w14:paraId="4F1B3B86" w14:textId="77777777" w:rsidR="001506ED" w:rsidRPr="00447599" w:rsidRDefault="001506ED" w:rsidP="003340EF">
      <w:pPr>
        <w:spacing w:line="276" w:lineRule="auto"/>
        <w:rPr>
          <w:rFonts w:asciiTheme="majorBidi" w:hAnsiTheme="majorBidi" w:cstheme="majorBidi"/>
          <w:b/>
          <w:bCs/>
        </w:rPr>
      </w:pPr>
    </w:p>
    <w:p w14:paraId="3D2BB1EB" w14:textId="6027D8BF" w:rsidR="0073532F" w:rsidRPr="00447599" w:rsidRDefault="0073532F">
      <w:pPr>
        <w:rPr>
          <w:rFonts w:asciiTheme="majorBidi" w:eastAsiaTheme="minorHAnsi" w:hAnsiTheme="majorBidi" w:cstheme="majorBidi"/>
          <w:color w:val="000000" w:themeColor="text1"/>
          <w:lang w:val="fr-CA"/>
        </w:rPr>
      </w:pPr>
      <w:r w:rsidRPr="00447599">
        <w:rPr>
          <w:rFonts w:asciiTheme="majorBidi" w:hAnsiTheme="majorBidi" w:cstheme="majorBidi"/>
          <w:color w:val="000000" w:themeColor="text1"/>
          <w:lang w:val="fr-CA"/>
        </w:rPr>
        <w:br w:type="page"/>
      </w:r>
    </w:p>
    <w:p w14:paraId="73B3024E" w14:textId="77777777" w:rsidR="00992240" w:rsidRPr="00447599" w:rsidRDefault="00992240" w:rsidP="003340EF">
      <w:pPr>
        <w:pStyle w:val="ListParagraph"/>
        <w:spacing w:line="276" w:lineRule="auto"/>
        <w:jc w:val="both"/>
        <w:rPr>
          <w:rFonts w:asciiTheme="majorBidi" w:hAnsiTheme="majorBidi" w:cstheme="majorBidi"/>
          <w:color w:val="000000" w:themeColor="text1"/>
          <w:lang w:val="fr-CA"/>
        </w:rPr>
      </w:pPr>
    </w:p>
    <w:p w14:paraId="0E0AB4FF" w14:textId="7A7101FB" w:rsidR="00907DA8" w:rsidRPr="00447599" w:rsidRDefault="001B5F8A" w:rsidP="003340EF">
      <w:pPr>
        <w:spacing w:line="276" w:lineRule="auto"/>
      </w:pPr>
      <w:r w:rsidRPr="00447599">
        <w:t>Reference</w:t>
      </w:r>
    </w:p>
    <w:p w14:paraId="4749612B" w14:textId="77777777" w:rsidR="00907DA8" w:rsidRPr="00447599" w:rsidRDefault="00907DA8" w:rsidP="003340EF">
      <w:pPr>
        <w:spacing w:line="276" w:lineRule="auto"/>
      </w:pPr>
    </w:p>
    <w:p w14:paraId="2C5F1730" w14:textId="77777777" w:rsidR="00017A0C" w:rsidRPr="00447599" w:rsidRDefault="00907DA8" w:rsidP="00017A0C">
      <w:pPr>
        <w:pStyle w:val="EndNoteBibliography"/>
        <w:rPr>
          <w:noProof/>
        </w:rPr>
      </w:pPr>
      <w:r w:rsidRPr="00447599">
        <w:fldChar w:fldCharType="begin"/>
      </w:r>
      <w:r w:rsidRPr="00447599">
        <w:instrText xml:space="preserve"> ADDIN EN.REFLIST </w:instrText>
      </w:r>
      <w:r w:rsidRPr="00447599">
        <w:fldChar w:fldCharType="separate"/>
      </w:r>
      <w:r w:rsidR="00017A0C" w:rsidRPr="00447599">
        <w:rPr>
          <w:noProof/>
        </w:rPr>
        <w:t>1.</w:t>
      </w:r>
      <w:r w:rsidR="00017A0C" w:rsidRPr="00447599">
        <w:rPr>
          <w:noProof/>
        </w:rPr>
        <w:tab/>
        <w:t xml:space="preserve">Miri, S.; Davoodi, S. M.; Brar, S. K.; Rouissi, T.; Sheng, Y.; Martel, R., Psychrozymes as novel tools to biodegrade p-xylene and potential use for contaminated groundwater in the cold climate. </w:t>
      </w:r>
      <w:r w:rsidR="00017A0C" w:rsidRPr="00447599">
        <w:rPr>
          <w:i/>
          <w:noProof/>
        </w:rPr>
        <w:t xml:space="preserve">Bioresource Technology </w:t>
      </w:r>
      <w:r w:rsidR="00017A0C" w:rsidRPr="00447599">
        <w:rPr>
          <w:b/>
          <w:noProof/>
        </w:rPr>
        <w:t>2021,</w:t>
      </w:r>
      <w:r w:rsidR="00017A0C" w:rsidRPr="00447599">
        <w:rPr>
          <w:noProof/>
        </w:rPr>
        <w:t xml:space="preserve"> </w:t>
      </w:r>
      <w:r w:rsidR="00017A0C" w:rsidRPr="00447599">
        <w:rPr>
          <w:i/>
          <w:noProof/>
        </w:rPr>
        <w:t>321</w:t>
      </w:r>
      <w:r w:rsidR="00017A0C" w:rsidRPr="00447599">
        <w:rPr>
          <w:noProof/>
        </w:rPr>
        <w:t>, 124464.</w:t>
      </w:r>
    </w:p>
    <w:p w14:paraId="5520A074" w14:textId="77777777" w:rsidR="00017A0C" w:rsidRPr="00447599" w:rsidRDefault="00017A0C" w:rsidP="00017A0C">
      <w:pPr>
        <w:pStyle w:val="EndNoteBibliography"/>
        <w:rPr>
          <w:noProof/>
        </w:rPr>
      </w:pPr>
      <w:r w:rsidRPr="00447599">
        <w:rPr>
          <w:noProof/>
        </w:rPr>
        <w:t>2.</w:t>
      </w:r>
      <w:r w:rsidRPr="00447599">
        <w:rPr>
          <w:noProof/>
        </w:rPr>
        <w:tab/>
        <w:t>Borisova, R. B. Isolation of a Rhodococcus soil bacterium that produces a strong antibacterial compound. East Tennessee State University, 2011.</w:t>
      </w:r>
    </w:p>
    <w:p w14:paraId="22C8151F" w14:textId="77777777" w:rsidR="00017A0C" w:rsidRPr="00447599" w:rsidRDefault="00017A0C" w:rsidP="00017A0C">
      <w:pPr>
        <w:pStyle w:val="EndNoteBibliography"/>
        <w:rPr>
          <w:noProof/>
        </w:rPr>
      </w:pPr>
      <w:r w:rsidRPr="00447599">
        <w:rPr>
          <w:noProof/>
        </w:rPr>
        <w:t>3.</w:t>
      </w:r>
      <w:r w:rsidRPr="00447599">
        <w:rPr>
          <w:noProof/>
        </w:rPr>
        <w:tab/>
        <w:t xml:space="preserve">Van Hamme, J. D.; Ward, O. P., Physical and metabolic interactions of Pseudomonas sp. strain JA5-B45 and Rhodococcus sp. strain F9-D79 during growth on crude oil and effect of a chemical surfactant on them. </w:t>
      </w:r>
      <w:r w:rsidRPr="00447599">
        <w:rPr>
          <w:i/>
          <w:noProof/>
        </w:rPr>
        <w:t xml:space="preserve">Applied and environmental microbiology </w:t>
      </w:r>
      <w:r w:rsidRPr="00447599">
        <w:rPr>
          <w:b/>
          <w:noProof/>
        </w:rPr>
        <w:t>2001,</w:t>
      </w:r>
      <w:r w:rsidRPr="00447599">
        <w:rPr>
          <w:noProof/>
        </w:rPr>
        <w:t xml:space="preserve"> </w:t>
      </w:r>
      <w:r w:rsidRPr="00447599">
        <w:rPr>
          <w:i/>
          <w:noProof/>
        </w:rPr>
        <w:t>67</w:t>
      </w:r>
      <w:r w:rsidRPr="00447599">
        <w:rPr>
          <w:noProof/>
        </w:rPr>
        <w:t>, (10), 4874-4879.</w:t>
      </w:r>
    </w:p>
    <w:p w14:paraId="6A99DC3D" w14:textId="77777777" w:rsidR="00017A0C" w:rsidRPr="00447599" w:rsidRDefault="00017A0C" w:rsidP="00017A0C">
      <w:pPr>
        <w:pStyle w:val="EndNoteBibliography"/>
        <w:rPr>
          <w:noProof/>
        </w:rPr>
      </w:pPr>
      <w:r w:rsidRPr="00447599">
        <w:rPr>
          <w:noProof/>
        </w:rPr>
        <w:t>4.</w:t>
      </w:r>
      <w:r w:rsidRPr="00447599">
        <w:rPr>
          <w:noProof/>
        </w:rPr>
        <w:tab/>
        <w:t xml:space="preserve">Wald, J.; Hroudova, M.; Jansa, J.; Vrchotova, B.; Macek, T.; Uhlik, O., Pseudomonads rule degradation of polyaromatic hydrocarbons in aerated sediment. </w:t>
      </w:r>
      <w:r w:rsidRPr="00447599">
        <w:rPr>
          <w:i/>
          <w:noProof/>
        </w:rPr>
        <w:t xml:space="preserve">Frontiers in microbiology </w:t>
      </w:r>
      <w:r w:rsidRPr="00447599">
        <w:rPr>
          <w:b/>
          <w:noProof/>
        </w:rPr>
        <w:t>2015,</w:t>
      </w:r>
      <w:r w:rsidRPr="00447599">
        <w:rPr>
          <w:noProof/>
        </w:rPr>
        <w:t xml:space="preserve"> </w:t>
      </w:r>
      <w:r w:rsidRPr="00447599">
        <w:rPr>
          <w:i/>
          <w:noProof/>
        </w:rPr>
        <w:t>6</w:t>
      </w:r>
      <w:r w:rsidRPr="00447599">
        <w:rPr>
          <w:noProof/>
        </w:rPr>
        <w:t>, 1268.</w:t>
      </w:r>
    </w:p>
    <w:p w14:paraId="24B86B02" w14:textId="77777777" w:rsidR="00017A0C" w:rsidRPr="00447599" w:rsidRDefault="00017A0C" w:rsidP="00017A0C">
      <w:pPr>
        <w:pStyle w:val="EndNoteBibliography"/>
        <w:rPr>
          <w:noProof/>
        </w:rPr>
      </w:pPr>
      <w:r w:rsidRPr="00447599">
        <w:rPr>
          <w:noProof/>
        </w:rPr>
        <w:t>5.</w:t>
      </w:r>
      <w:r w:rsidRPr="00447599">
        <w:rPr>
          <w:noProof/>
        </w:rPr>
        <w:tab/>
        <w:t xml:space="preserve">Margesin, R.; Schinner, F.; Marx, J.-C.; Gerday, C., </w:t>
      </w:r>
      <w:r w:rsidRPr="00447599">
        <w:rPr>
          <w:i/>
          <w:noProof/>
        </w:rPr>
        <w:t>Psychrophiles: from biodiversity to biotechnology</w:t>
      </w:r>
      <w:r w:rsidRPr="00447599">
        <w:rPr>
          <w:noProof/>
        </w:rPr>
        <w:t>. Springer: 2008.</w:t>
      </w:r>
    </w:p>
    <w:p w14:paraId="4893B66C" w14:textId="77777777" w:rsidR="00017A0C" w:rsidRPr="00447599" w:rsidRDefault="00017A0C" w:rsidP="00017A0C">
      <w:pPr>
        <w:pStyle w:val="EndNoteBibliography"/>
        <w:rPr>
          <w:noProof/>
        </w:rPr>
      </w:pPr>
      <w:r w:rsidRPr="00447599">
        <w:rPr>
          <w:noProof/>
        </w:rPr>
        <w:t>6.</w:t>
      </w:r>
      <w:r w:rsidRPr="00447599">
        <w:rPr>
          <w:noProof/>
        </w:rPr>
        <w:tab/>
        <w:t xml:space="preserve">Miri, S.; Perez, J. A. E.; Brar, S. K.; Rouissi, T.; Martel, R., Sustainable production and co-immobilization of cold-active enzymes from Pseudomonas sp. for BTEX biodegradation. </w:t>
      </w:r>
      <w:r w:rsidRPr="00447599">
        <w:rPr>
          <w:i/>
          <w:noProof/>
        </w:rPr>
        <w:t xml:space="preserve">Environmental Pollution </w:t>
      </w:r>
      <w:r w:rsidRPr="00447599">
        <w:rPr>
          <w:b/>
          <w:noProof/>
        </w:rPr>
        <w:t>2021,</w:t>
      </w:r>
      <w:r w:rsidRPr="00447599">
        <w:rPr>
          <w:noProof/>
        </w:rPr>
        <w:t xml:space="preserve"> </w:t>
      </w:r>
      <w:r w:rsidRPr="00447599">
        <w:rPr>
          <w:i/>
          <w:noProof/>
        </w:rPr>
        <w:t>285</w:t>
      </w:r>
      <w:r w:rsidRPr="00447599">
        <w:rPr>
          <w:noProof/>
        </w:rPr>
        <w:t>, 117678.</w:t>
      </w:r>
    </w:p>
    <w:p w14:paraId="599DA141" w14:textId="77777777" w:rsidR="00017A0C" w:rsidRPr="00447599" w:rsidRDefault="00017A0C" w:rsidP="00017A0C">
      <w:pPr>
        <w:pStyle w:val="EndNoteBibliography"/>
        <w:rPr>
          <w:noProof/>
        </w:rPr>
      </w:pPr>
      <w:r w:rsidRPr="00447599">
        <w:rPr>
          <w:noProof/>
        </w:rPr>
        <w:t>7.</w:t>
      </w:r>
      <w:r w:rsidRPr="00447599">
        <w:rPr>
          <w:noProof/>
        </w:rPr>
        <w:tab/>
        <w:t xml:space="preserve">Altschul, S. F.; Gish, W.; Miller, W.; Myers, E. W.; Lipman, D. J., Basic local alignment search tool. </w:t>
      </w:r>
      <w:r w:rsidRPr="00447599">
        <w:rPr>
          <w:i/>
          <w:noProof/>
        </w:rPr>
        <w:t xml:space="preserve">Journal of molecular biology </w:t>
      </w:r>
      <w:r w:rsidRPr="00447599">
        <w:rPr>
          <w:b/>
          <w:noProof/>
        </w:rPr>
        <w:t>1990,</w:t>
      </w:r>
      <w:r w:rsidRPr="00447599">
        <w:rPr>
          <w:noProof/>
        </w:rPr>
        <w:t xml:space="preserve"> </w:t>
      </w:r>
      <w:r w:rsidRPr="00447599">
        <w:rPr>
          <w:i/>
          <w:noProof/>
        </w:rPr>
        <w:t>215</w:t>
      </w:r>
      <w:r w:rsidRPr="00447599">
        <w:rPr>
          <w:noProof/>
        </w:rPr>
        <w:t>, (3), 403-410.</w:t>
      </w:r>
    </w:p>
    <w:p w14:paraId="19039040" w14:textId="77777777" w:rsidR="00017A0C" w:rsidRPr="00447599" w:rsidRDefault="00017A0C" w:rsidP="00017A0C">
      <w:pPr>
        <w:pStyle w:val="EndNoteBibliography"/>
        <w:rPr>
          <w:noProof/>
        </w:rPr>
      </w:pPr>
      <w:r w:rsidRPr="00447599">
        <w:rPr>
          <w:noProof/>
        </w:rPr>
        <w:t>8.</w:t>
      </w:r>
      <w:r w:rsidRPr="00447599">
        <w:rPr>
          <w:noProof/>
        </w:rPr>
        <w:tab/>
        <w:t xml:space="preserve">Tamura, K.; Peterson, D.; Peterson, N.; Stecher, G.; Nei, M.; Kumar, S., MEGA5: molecular evolutionary genetics analysis using maximum likelihood, evolutionary distance, and maximum parsimony methods. </w:t>
      </w:r>
      <w:r w:rsidRPr="00447599">
        <w:rPr>
          <w:i/>
          <w:noProof/>
        </w:rPr>
        <w:t xml:space="preserve">Molecular biology and evolution </w:t>
      </w:r>
      <w:r w:rsidRPr="00447599">
        <w:rPr>
          <w:b/>
          <w:noProof/>
        </w:rPr>
        <w:t>2011,</w:t>
      </w:r>
      <w:r w:rsidRPr="00447599">
        <w:rPr>
          <w:noProof/>
        </w:rPr>
        <w:t xml:space="preserve"> </w:t>
      </w:r>
      <w:r w:rsidRPr="00447599">
        <w:rPr>
          <w:i/>
          <w:noProof/>
        </w:rPr>
        <w:t>28</w:t>
      </w:r>
      <w:r w:rsidRPr="00447599">
        <w:rPr>
          <w:noProof/>
        </w:rPr>
        <w:t>, (10), 2731-2739.</w:t>
      </w:r>
    </w:p>
    <w:p w14:paraId="7528975B" w14:textId="77777777" w:rsidR="00017A0C" w:rsidRPr="00447599" w:rsidRDefault="00017A0C" w:rsidP="00017A0C">
      <w:pPr>
        <w:pStyle w:val="EndNoteBibliography"/>
        <w:rPr>
          <w:noProof/>
        </w:rPr>
      </w:pPr>
      <w:r w:rsidRPr="00447599">
        <w:rPr>
          <w:noProof/>
        </w:rPr>
        <w:t>9.</w:t>
      </w:r>
      <w:r w:rsidRPr="00447599">
        <w:rPr>
          <w:noProof/>
        </w:rPr>
        <w:tab/>
        <w:t xml:space="preserve">Bacosa, H. P.; Inoue, C., Polycyclic aromatic hydrocarbons (PAHs) biodegradation potential and diversity of microbial consortia enriched from tsunami sediments in Miyagi, Japan. </w:t>
      </w:r>
      <w:r w:rsidRPr="00447599">
        <w:rPr>
          <w:i/>
          <w:noProof/>
        </w:rPr>
        <w:t xml:space="preserve">Journal of hazardous materials </w:t>
      </w:r>
      <w:r w:rsidRPr="00447599">
        <w:rPr>
          <w:b/>
          <w:noProof/>
        </w:rPr>
        <w:t>2015,</w:t>
      </w:r>
      <w:r w:rsidRPr="00447599">
        <w:rPr>
          <w:noProof/>
        </w:rPr>
        <w:t xml:space="preserve"> </w:t>
      </w:r>
      <w:r w:rsidRPr="00447599">
        <w:rPr>
          <w:i/>
          <w:noProof/>
        </w:rPr>
        <w:t>283</w:t>
      </w:r>
      <w:r w:rsidRPr="00447599">
        <w:rPr>
          <w:noProof/>
        </w:rPr>
        <w:t>, 689-697.</w:t>
      </w:r>
    </w:p>
    <w:p w14:paraId="2D97F163" w14:textId="77777777" w:rsidR="00017A0C" w:rsidRPr="00447599" w:rsidRDefault="00017A0C" w:rsidP="00017A0C">
      <w:pPr>
        <w:pStyle w:val="EndNoteBibliography"/>
        <w:rPr>
          <w:noProof/>
        </w:rPr>
      </w:pPr>
      <w:r w:rsidRPr="00447599">
        <w:rPr>
          <w:noProof/>
        </w:rPr>
        <w:t>10.</w:t>
      </w:r>
      <w:r w:rsidRPr="00447599">
        <w:rPr>
          <w:noProof/>
        </w:rPr>
        <w:tab/>
        <w:t xml:space="preserve">Jouanneau, Y.; Meyer, C.; Jakoncic, J.; Stojanoff, V.; Gaillard, J., Characterization of a naphthalene dioxygenase endowed with an exceptionally broad substrate specificity toward polycyclic aromatic hydrocarbons. </w:t>
      </w:r>
      <w:r w:rsidRPr="00447599">
        <w:rPr>
          <w:i/>
          <w:noProof/>
        </w:rPr>
        <w:t xml:space="preserve">Biochemistry </w:t>
      </w:r>
      <w:r w:rsidRPr="00447599">
        <w:rPr>
          <w:b/>
          <w:noProof/>
        </w:rPr>
        <w:t>2006,</w:t>
      </w:r>
      <w:r w:rsidRPr="00447599">
        <w:rPr>
          <w:noProof/>
        </w:rPr>
        <w:t xml:space="preserve"> </w:t>
      </w:r>
      <w:r w:rsidRPr="00447599">
        <w:rPr>
          <w:i/>
          <w:noProof/>
        </w:rPr>
        <w:t>45</w:t>
      </w:r>
      <w:r w:rsidRPr="00447599">
        <w:rPr>
          <w:noProof/>
        </w:rPr>
        <w:t>, (40), 12380-12391.</w:t>
      </w:r>
    </w:p>
    <w:p w14:paraId="157D52BB" w14:textId="77777777" w:rsidR="00017A0C" w:rsidRPr="00447599" w:rsidRDefault="00017A0C" w:rsidP="00017A0C">
      <w:pPr>
        <w:pStyle w:val="EndNoteBibliography"/>
        <w:rPr>
          <w:noProof/>
        </w:rPr>
      </w:pPr>
      <w:r w:rsidRPr="00447599">
        <w:rPr>
          <w:noProof/>
        </w:rPr>
        <w:t>11.</w:t>
      </w:r>
      <w:r w:rsidRPr="00447599">
        <w:rPr>
          <w:noProof/>
        </w:rPr>
        <w:tab/>
        <w:t xml:space="preserve">Parales, R. E.; Emig, M. D.; Lynch, N. A.; Gibson, D. T., Substrate specificities of hybrid naphthalene and 2, 4-dinitrotoluene dioxygenase enzyme systems. </w:t>
      </w:r>
      <w:r w:rsidRPr="00447599">
        <w:rPr>
          <w:i/>
          <w:noProof/>
        </w:rPr>
        <w:t xml:space="preserve">Journal of Bacteriology </w:t>
      </w:r>
      <w:r w:rsidRPr="00447599">
        <w:rPr>
          <w:b/>
          <w:noProof/>
        </w:rPr>
        <w:t>1998,</w:t>
      </w:r>
      <w:r w:rsidRPr="00447599">
        <w:rPr>
          <w:noProof/>
        </w:rPr>
        <w:t xml:space="preserve"> </w:t>
      </w:r>
      <w:r w:rsidRPr="00447599">
        <w:rPr>
          <w:i/>
          <w:noProof/>
        </w:rPr>
        <w:t>180</w:t>
      </w:r>
      <w:r w:rsidRPr="00447599">
        <w:rPr>
          <w:noProof/>
        </w:rPr>
        <w:t>, (9), 2337-2344.</w:t>
      </w:r>
    </w:p>
    <w:p w14:paraId="1B0A59C1" w14:textId="77777777" w:rsidR="00017A0C" w:rsidRPr="00447599" w:rsidRDefault="00017A0C" w:rsidP="00017A0C">
      <w:pPr>
        <w:pStyle w:val="EndNoteBibliography"/>
        <w:rPr>
          <w:noProof/>
        </w:rPr>
      </w:pPr>
      <w:r w:rsidRPr="00447599">
        <w:rPr>
          <w:noProof/>
        </w:rPr>
        <w:t>12.</w:t>
      </w:r>
      <w:r w:rsidRPr="00447599">
        <w:rPr>
          <w:noProof/>
        </w:rPr>
        <w:tab/>
        <w:t>1-109., E. C. F. R. A. F. W. E. I. U. L.</w:t>
      </w:r>
    </w:p>
    <w:p w14:paraId="3141FC5F" w14:textId="77777777" w:rsidR="00017A0C" w:rsidRPr="00447599" w:rsidRDefault="00017A0C" w:rsidP="00017A0C">
      <w:pPr>
        <w:pStyle w:val="EndNoteBibliography"/>
        <w:rPr>
          <w:noProof/>
        </w:rPr>
      </w:pPr>
      <w:r w:rsidRPr="00447599">
        <w:rPr>
          <w:noProof/>
        </w:rPr>
        <w:t>13.</w:t>
      </w:r>
      <w:r w:rsidRPr="00447599">
        <w:rPr>
          <w:noProof/>
        </w:rPr>
        <w:tab/>
        <w:t xml:space="preserve">Mawad, A. M.; Abdel-Mageed, W. S.; Hesham, A. E.-L., Quantification of naphthalene dioxygenase (NahAC) and catechol dioxygenase (C23O) catabolic genes produced by phenanthrene-degrading Pseudomonas fluorescens AH-40. </w:t>
      </w:r>
      <w:r w:rsidRPr="00447599">
        <w:rPr>
          <w:i/>
          <w:noProof/>
        </w:rPr>
        <w:t xml:space="preserve">Current Genomics </w:t>
      </w:r>
      <w:r w:rsidRPr="00447599">
        <w:rPr>
          <w:b/>
          <w:noProof/>
        </w:rPr>
        <w:t>2020,</w:t>
      </w:r>
      <w:r w:rsidRPr="00447599">
        <w:rPr>
          <w:noProof/>
        </w:rPr>
        <w:t xml:space="preserve"> </w:t>
      </w:r>
      <w:r w:rsidRPr="00447599">
        <w:rPr>
          <w:i/>
          <w:noProof/>
        </w:rPr>
        <w:t>21</w:t>
      </w:r>
      <w:r w:rsidRPr="00447599">
        <w:rPr>
          <w:noProof/>
        </w:rPr>
        <w:t>, (2), 111-118.</w:t>
      </w:r>
    </w:p>
    <w:p w14:paraId="02F60583" w14:textId="77777777" w:rsidR="00017A0C" w:rsidRPr="00447599" w:rsidRDefault="00017A0C" w:rsidP="00017A0C">
      <w:pPr>
        <w:pStyle w:val="EndNoteBibliography"/>
        <w:rPr>
          <w:noProof/>
        </w:rPr>
      </w:pPr>
      <w:r w:rsidRPr="00447599">
        <w:rPr>
          <w:noProof/>
        </w:rPr>
        <w:t>14.</w:t>
      </w:r>
      <w:r w:rsidRPr="00447599">
        <w:rPr>
          <w:noProof/>
        </w:rPr>
        <w:tab/>
        <w:t xml:space="preserve">Krishnan, S.; Prabhu, Y.; Phale, P. S., o-Phthalic acid, a dead-end product in one of the two pathways of phenanthrene degradation in Pseudomonas sp. strain PP2. </w:t>
      </w:r>
      <w:r w:rsidRPr="00447599">
        <w:rPr>
          <w:b/>
          <w:noProof/>
        </w:rPr>
        <w:t>2004</w:t>
      </w:r>
      <w:r w:rsidRPr="00447599">
        <w:rPr>
          <w:noProof/>
        </w:rPr>
        <w:t>.</w:t>
      </w:r>
    </w:p>
    <w:p w14:paraId="2606BD04" w14:textId="77777777" w:rsidR="00017A0C" w:rsidRPr="00447599" w:rsidRDefault="00017A0C" w:rsidP="00017A0C">
      <w:pPr>
        <w:pStyle w:val="EndNoteBibliography"/>
        <w:rPr>
          <w:noProof/>
        </w:rPr>
      </w:pPr>
      <w:r w:rsidRPr="00447599">
        <w:rPr>
          <w:noProof/>
        </w:rPr>
        <w:t>15.</w:t>
      </w:r>
      <w:r w:rsidRPr="00447599">
        <w:rPr>
          <w:noProof/>
        </w:rPr>
        <w:tab/>
        <w:t xml:space="preserve">Singleton, D. R.; Hu, J.; Aitken, M. D., Heterologous expression of polycyclic aromatic hydrocarbon ring-hydroxylating dioxygenase genes from a novel pyrene-degrading betaproteobacterium. </w:t>
      </w:r>
      <w:r w:rsidRPr="00447599">
        <w:rPr>
          <w:i/>
          <w:noProof/>
        </w:rPr>
        <w:t xml:space="preserve">Applied and environmental microbiology </w:t>
      </w:r>
      <w:r w:rsidRPr="00447599">
        <w:rPr>
          <w:b/>
          <w:noProof/>
        </w:rPr>
        <w:t>2012,</w:t>
      </w:r>
      <w:r w:rsidRPr="00447599">
        <w:rPr>
          <w:noProof/>
        </w:rPr>
        <w:t xml:space="preserve"> </w:t>
      </w:r>
      <w:r w:rsidRPr="00447599">
        <w:rPr>
          <w:i/>
          <w:noProof/>
        </w:rPr>
        <w:t>78</w:t>
      </w:r>
      <w:r w:rsidRPr="00447599">
        <w:rPr>
          <w:noProof/>
        </w:rPr>
        <w:t>, (10), 3552-3559.</w:t>
      </w:r>
    </w:p>
    <w:p w14:paraId="3B543EF5" w14:textId="77777777" w:rsidR="00017A0C" w:rsidRPr="00447599" w:rsidRDefault="00017A0C" w:rsidP="00017A0C">
      <w:pPr>
        <w:pStyle w:val="EndNoteBibliography"/>
        <w:rPr>
          <w:noProof/>
        </w:rPr>
      </w:pPr>
      <w:r w:rsidRPr="00447599">
        <w:rPr>
          <w:noProof/>
        </w:rPr>
        <w:lastRenderedPageBreak/>
        <w:t>16.</w:t>
      </w:r>
      <w:r w:rsidRPr="00447599">
        <w:rPr>
          <w:noProof/>
        </w:rPr>
        <w:tab/>
        <w:t xml:space="preserve">Gilbert, D.; Mayer, P.; Pedersen, M.; Vinggaard, A. M., Endocrine activity of persistent organic pollutants accumulated in human silicone implants—Dosing in vitro assays by partitioning from silicone. </w:t>
      </w:r>
      <w:r w:rsidRPr="00447599">
        <w:rPr>
          <w:i/>
          <w:noProof/>
        </w:rPr>
        <w:t xml:space="preserve">Environment international </w:t>
      </w:r>
      <w:r w:rsidRPr="00447599">
        <w:rPr>
          <w:b/>
          <w:noProof/>
        </w:rPr>
        <w:t>2015,</w:t>
      </w:r>
      <w:r w:rsidRPr="00447599">
        <w:rPr>
          <w:noProof/>
        </w:rPr>
        <w:t xml:space="preserve"> </w:t>
      </w:r>
      <w:r w:rsidRPr="00447599">
        <w:rPr>
          <w:i/>
          <w:noProof/>
        </w:rPr>
        <w:t>84</w:t>
      </w:r>
      <w:r w:rsidRPr="00447599">
        <w:rPr>
          <w:noProof/>
        </w:rPr>
        <w:t>, 107-114.</w:t>
      </w:r>
    </w:p>
    <w:p w14:paraId="7B217360" w14:textId="77777777" w:rsidR="00017A0C" w:rsidRPr="00447599" w:rsidRDefault="00017A0C" w:rsidP="00017A0C">
      <w:pPr>
        <w:pStyle w:val="EndNoteBibliography"/>
        <w:rPr>
          <w:noProof/>
        </w:rPr>
      </w:pPr>
      <w:r w:rsidRPr="00447599">
        <w:rPr>
          <w:noProof/>
        </w:rPr>
        <w:t>17.</w:t>
      </w:r>
      <w:r w:rsidRPr="00447599">
        <w:rPr>
          <w:noProof/>
        </w:rPr>
        <w:tab/>
        <w:t xml:space="preserve">Butler, J. D.; Parkerton, T. F.; Letinski, D. J.; Bragin, G. E.; Lampi, M. A.; Cooper, K. R., A novel passive dosing system for determining the toxicity of phenanthrene to early life stages of zebrafish. </w:t>
      </w:r>
      <w:r w:rsidRPr="00447599">
        <w:rPr>
          <w:i/>
          <w:noProof/>
        </w:rPr>
        <w:t xml:space="preserve">Science of the Total Environment </w:t>
      </w:r>
      <w:r w:rsidRPr="00447599">
        <w:rPr>
          <w:b/>
          <w:noProof/>
        </w:rPr>
        <w:t>2013,</w:t>
      </w:r>
      <w:r w:rsidRPr="00447599">
        <w:rPr>
          <w:noProof/>
        </w:rPr>
        <w:t xml:space="preserve"> </w:t>
      </w:r>
      <w:r w:rsidRPr="00447599">
        <w:rPr>
          <w:i/>
          <w:noProof/>
        </w:rPr>
        <w:t>463</w:t>
      </w:r>
      <w:r w:rsidRPr="00447599">
        <w:rPr>
          <w:noProof/>
        </w:rPr>
        <w:t>, 952-958.</w:t>
      </w:r>
    </w:p>
    <w:p w14:paraId="2F7AA30D" w14:textId="77777777" w:rsidR="00017A0C" w:rsidRPr="00447599" w:rsidRDefault="00017A0C" w:rsidP="00017A0C">
      <w:pPr>
        <w:pStyle w:val="EndNoteBibliography"/>
        <w:rPr>
          <w:noProof/>
        </w:rPr>
      </w:pPr>
      <w:r w:rsidRPr="00447599">
        <w:rPr>
          <w:noProof/>
        </w:rPr>
        <w:t>18.</w:t>
      </w:r>
      <w:r w:rsidRPr="00447599">
        <w:rPr>
          <w:noProof/>
        </w:rPr>
        <w:tab/>
        <w:t xml:space="preserve">Singh, R. P.; Jha, P. N., A halotolerant bacterium Bacillus licheniformis HSW-16 augments induced systemic tolerance to salt stress in wheat plant (Triticum aestivum). </w:t>
      </w:r>
      <w:r w:rsidRPr="00447599">
        <w:rPr>
          <w:i/>
          <w:noProof/>
        </w:rPr>
        <w:t xml:space="preserve">Frontiers in plant science </w:t>
      </w:r>
      <w:r w:rsidRPr="00447599">
        <w:rPr>
          <w:b/>
          <w:noProof/>
        </w:rPr>
        <w:t>2016,</w:t>
      </w:r>
      <w:r w:rsidRPr="00447599">
        <w:rPr>
          <w:noProof/>
        </w:rPr>
        <w:t xml:space="preserve"> </w:t>
      </w:r>
      <w:r w:rsidRPr="00447599">
        <w:rPr>
          <w:i/>
          <w:noProof/>
        </w:rPr>
        <w:t>7</w:t>
      </w:r>
      <w:r w:rsidRPr="00447599">
        <w:rPr>
          <w:noProof/>
        </w:rPr>
        <w:t>, 1890.</w:t>
      </w:r>
    </w:p>
    <w:p w14:paraId="18DCB37A" w14:textId="77777777" w:rsidR="00017A0C" w:rsidRPr="00447599" w:rsidRDefault="00017A0C" w:rsidP="00017A0C">
      <w:pPr>
        <w:pStyle w:val="EndNoteBibliography"/>
        <w:rPr>
          <w:noProof/>
        </w:rPr>
      </w:pPr>
      <w:r w:rsidRPr="00447599">
        <w:rPr>
          <w:noProof/>
        </w:rPr>
        <w:t>19.</w:t>
      </w:r>
      <w:r w:rsidRPr="00447599">
        <w:rPr>
          <w:noProof/>
        </w:rPr>
        <w:tab/>
        <w:t xml:space="preserve">Miri, S.; Davoodi, S. M.; Robert, T.; Brar, S. K.; Martel, R.; Rouissi, T., Enzymatic biodegradation of highly p-xylene contaminated soil using cold-active enzymes: A soil column study. </w:t>
      </w:r>
      <w:r w:rsidRPr="00447599">
        <w:rPr>
          <w:i/>
          <w:noProof/>
        </w:rPr>
        <w:t xml:space="preserve">Journal of Hazardous Materials </w:t>
      </w:r>
      <w:r w:rsidRPr="00447599">
        <w:rPr>
          <w:b/>
          <w:noProof/>
        </w:rPr>
        <w:t>2022,</w:t>
      </w:r>
      <w:r w:rsidRPr="00447599">
        <w:rPr>
          <w:noProof/>
        </w:rPr>
        <w:t xml:space="preserve"> </w:t>
      </w:r>
      <w:r w:rsidRPr="00447599">
        <w:rPr>
          <w:i/>
          <w:noProof/>
        </w:rPr>
        <w:t>423</w:t>
      </w:r>
      <w:r w:rsidRPr="00447599">
        <w:rPr>
          <w:noProof/>
        </w:rPr>
        <w:t>, 127099.</w:t>
      </w:r>
    </w:p>
    <w:p w14:paraId="0850CABD" w14:textId="77777777" w:rsidR="00017A0C" w:rsidRPr="00447599" w:rsidRDefault="00017A0C" w:rsidP="00017A0C">
      <w:pPr>
        <w:pStyle w:val="EndNoteBibliography"/>
        <w:rPr>
          <w:noProof/>
        </w:rPr>
      </w:pPr>
      <w:r w:rsidRPr="00447599">
        <w:rPr>
          <w:noProof/>
        </w:rPr>
        <w:t>20.</w:t>
      </w:r>
      <w:r w:rsidRPr="00447599">
        <w:rPr>
          <w:noProof/>
        </w:rPr>
        <w:tab/>
        <w:t xml:space="preserve">Nagy, Z.; Kiss, T.; Szentirmai, A.; Biró, S., β-Galactosidase of Penicillium chrysogenum: production, purification, and characterization of the enzyme. </w:t>
      </w:r>
      <w:r w:rsidRPr="00447599">
        <w:rPr>
          <w:i/>
          <w:noProof/>
        </w:rPr>
        <w:t xml:space="preserve">Protein expression and purification </w:t>
      </w:r>
      <w:r w:rsidRPr="00447599">
        <w:rPr>
          <w:b/>
          <w:noProof/>
        </w:rPr>
        <w:t>2001,</w:t>
      </w:r>
      <w:r w:rsidRPr="00447599">
        <w:rPr>
          <w:noProof/>
        </w:rPr>
        <w:t xml:space="preserve"> </w:t>
      </w:r>
      <w:r w:rsidRPr="00447599">
        <w:rPr>
          <w:i/>
          <w:noProof/>
        </w:rPr>
        <w:t>21</w:t>
      </w:r>
      <w:r w:rsidRPr="00447599">
        <w:rPr>
          <w:noProof/>
        </w:rPr>
        <w:t>, (1), 24-29.</w:t>
      </w:r>
    </w:p>
    <w:p w14:paraId="66F638C0" w14:textId="77777777" w:rsidR="00017A0C" w:rsidRPr="00447599" w:rsidRDefault="00017A0C" w:rsidP="00017A0C">
      <w:pPr>
        <w:pStyle w:val="EndNoteBibliography"/>
        <w:rPr>
          <w:noProof/>
        </w:rPr>
      </w:pPr>
      <w:r w:rsidRPr="00447599">
        <w:rPr>
          <w:noProof/>
        </w:rPr>
        <w:t>21.</w:t>
      </w:r>
      <w:r w:rsidRPr="00447599">
        <w:rPr>
          <w:noProof/>
        </w:rPr>
        <w:tab/>
        <w:t xml:space="preserve">da Silva, M. L. B.; Alvarez, P. J., Indole-based assay to assess the effect of ethanol on Pseudomonas putida F1 dioxygenase activity. </w:t>
      </w:r>
      <w:r w:rsidRPr="00447599">
        <w:rPr>
          <w:i/>
          <w:noProof/>
        </w:rPr>
        <w:t xml:space="preserve">Biodegradation </w:t>
      </w:r>
      <w:r w:rsidRPr="00447599">
        <w:rPr>
          <w:b/>
          <w:noProof/>
        </w:rPr>
        <w:t>2010,</w:t>
      </w:r>
      <w:r w:rsidRPr="00447599">
        <w:rPr>
          <w:noProof/>
        </w:rPr>
        <w:t xml:space="preserve"> </w:t>
      </w:r>
      <w:r w:rsidRPr="00447599">
        <w:rPr>
          <w:i/>
          <w:noProof/>
        </w:rPr>
        <w:t>21</w:t>
      </w:r>
      <w:r w:rsidRPr="00447599">
        <w:rPr>
          <w:noProof/>
        </w:rPr>
        <w:t>, (3), 425-430.</w:t>
      </w:r>
    </w:p>
    <w:p w14:paraId="1613B324" w14:textId="77777777" w:rsidR="00017A0C" w:rsidRPr="00447599" w:rsidRDefault="00017A0C" w:rsidP="00017A0C">
      <w:pPr>
        <w:pStyle w:val="EndNoteBibliography"/>
        <w:rPr>
          <w:noProof/>
        </w:rPr>
      </w:pPr>
      <w:r w:rsidRPr="00447599">
        <w:rPr>
          <w:noProof/>
        </w:rPr>
        <w:t>22.</w:t>
      </w:r>
      <w:r w:rsidRPr="00447599">
        <w:rPr>
          <w:noProof/>
        </w:rPr>
        <w:tab/>
        <w:t xml:space="preserve">Li, Y.; Li, B.; Wang, C.-P.; Fan, J.-Z.; Sun, H.-W., Aerobic degradation of trichloroethylene by co-metabolism using phenol and gasoline as growth substrates. </w:t>
      </w:r>
      <w:r w:rsidRPr="00447599">
        <w:rPr>
          <w:i/>
          <w:noProof/>
        </w:rPr>
        <w:t xml:space="preserve">International journal of molecular sciences </w:t>
      </w:r>
      <w:r w:rsidRPr="00447599">
        <w:rPr>
          <w:b/>
          <w:noProof/>
        </w:rPr>
        <w:t>2014,</w:t>
      </w:r>
      <w:r w:rsidRPr="00447599">
        <w:rPr>
          <w:noProof/>
        </w:rPr>
        <w:t xml:space="preserve"> </w:t>
      </w:r>
      <w:r w:rsidRPr="00447599">
        <w:rPr>
          <w:i/>
          <w:noProof/>
        </w:rPr>
        <w:t>15</w:t>
      </w:r>
      <w:r w:rsidRPr="00447599">
        <w:rPr>
          <w:noProof/>
        </w:rPr>
        <w:t>, (5), 9134-9148.</w:t>
      </w:r>
    </w:p>
    <w:p w14:paraId="2F0548C3" w14:textId="77777777" w:rsidR="00017A0C" w:rsidRPr="00447599" w:rsidRDefault="00017A0C" w:rsidP="00017A0C">
      <w:pPr>
        <w:pStyle w:val="EndNoteBibliography"/>
        <w:rPr>
          <w:noProof/>
        </w:rPr>
      </w:pPr>
      <w:r w:rsidRPr="00447599">
        <w:rPr>
          <w:noProof/>
        </w:rPr>
        <w:t>23.</w:t>
      </w:r>
      <w:r w:rsidRPr="00447599">
        <w:rPr>
          <w:noProof/>
        </w:rPr>
        <w:tab/>
        <w:t xml:space="preserve">Liu, J.; Zhang, A.-N.; Liu, Y.-J.; Liu, Z.; Liu, Y.; Wu, X.-J., Analysis of the mechanism for enhanced pyrene biodegradation based on the interactions between iron-ions and Rhodococcus ruber strain L9. </w:t>
      </w:r>
      <w:r w:rsidRPr="00447599">
        <w:rPr>
          <w:i/>
          <w:noProof/>
        </w:rPr>
        <w:t xml:space="preserve">Ecotoxicology and Environmental Safety </w:t>
      </w:r>
      <w:r w:rsidRPr="00447599">
        <w:rPr>
          <w:b/>
          <w:noProof/>
        </w:rPr>
        <w:t>2021,</w:t>
      </w:r>
      <w:r w:rsidRPr="00447599">
        <w:rPr>
          <w:noProof/>
        </w:rPr>
        <w:t xml:space="preserve"> </w:t>
      </w:r>
      <w:r w:rsidRPr="00447599">
        <w:rPr>
          <w:i/>
          <w:noProof/>
        </w:rPr>
        <w:t>225</w:t>
      </w:r>
      <w:r w:rsidRPr="00447599">
        <w:rPr>
          <w:noProof/>
        </w:rPr>
        <w:t>, 112789.</w:t>
      </w:r>
    </w:p>
    <w:p w14:paraId="0CC4CD65" w14:textId="77777777" w:rsidR="00017A0C" w:rsidRPr="00447599" w:rsidRDefault="00017A0C" w:rsidP="00017A0C">
      <w:pPr>
        <w:pStyle w:val="EndNoteBibliography"/>
        <w:rPr>
          <w:noProof/>
        </w:rPr>
      </w:pPr>
      <w:r w:rsidRPr="00447599">
        <w:rPr>
          <w:noProof/>
        </w:rPr>
        <w:t>24.</w:t>
      </w:r>
      <w:r w:rsidRPr="00447599">
        <w:rPr>
          <w:noProof/>
        </w:rPr>
        <w:tab/>
        <w:t xml:space="preserve">Balashova, N.; Stolz, A.; Knackmuss, H.; Kosheleva, I.; Naumov, A.; Boronin, A., Purification and characterization of a salicylate hydroxylase involved in 1-hydroxy-2-naphthoic acid hydroxylation from the naphthalene and phenanthrene-degrading bacterial strain Pseudomonas putida BS202-P1. </w:t>
      </w:r>
      <w:r w:rsidRPr="00447599">
        <w:rPr>
          <w:i/>
          <w:noProof/>
        </w:rPr>
        <w:t xml:space="preserve">Biodegradation </w:t>
      </w:r>
      <w:r w:rsidRPr="00447599">
        <w:rPr>
          <w:b/>
          <w:noProof/>
        </w:rPr>
        <w:t>2001,</w:t>
      </w:r>
      <w:r w:rsidRPr="00447599">
        <w:rPr>
          <w:noProof/>
        </w:rPr>
        <w:t xml:space="preserve"> </w:t>
      </w:r>
      <w:r w:rsidRPr="00447599">
        <w:rPr>
          <w:i/>
          <w:noProof/>
        </w:rPr>
        <w:t>12</w:t>
      </w:r>
      <w:r w:rsidRPr="00447599">
        <w:rPr>
          <w:noProof/>
        </w:rPr>
        <w:t>, (3), 179-188.</w:t>
      </w:r>
    </w:p>
    <w:p w14:paraId="1A9B7F32" w14:textId="77777777" w:rsidR="00017A0C" w:rsidRPr="00447599" w:rsidRDefault="00017A0C" w:rsidP="00017A0C">
      <w:pPr>
        <w:pStyle w:val="EndNoteBibliography"/>
        <w:rPr>
          <w:noProof/>
        </w:rPr>
      </w:pPr>
      <w:r w:rsidRPr="00447599">
        <w:rPr>
          <w:noProof/>
        </w:rPr>
        <w:t>25.</w:t>
      </w:r>
      <w:r w:rsidRPr="00447599">
        <w:rPr>
          <w:noProof/>
        </w:rPr>
        <w:tab/>
        <w:t xml:space="preserve">Sze, I.; Dagley, S., Properties of salicylate hydroxylase and hydroxyquinol 1, 2-dioxygenase purified from Trichosporon cutaneum. </w:t>
      </w:r>
      <w:r w:rsidRPr="00447599">
        <w:rPr>
          <w:i/>
          <w:noProof/>
        </w:rPr>
        <w:t xml:space="preserve">Journal of bacteriology </w:t>
      </w:r>
      <w:r w:rsidRPr="00447599">
        <w:rPr>
          <w:b/>
          <w:noProof/>
        </w:rPr>
        <w:t>1984,</w:t>
      </w:r>
      <w:r w:rsidRPr="00447599">
        <w:rPr>
          <w:noProof/>
        </w:rPr>
        <w:t xml:space="preserve"> </w:t>
      </w:r>
      <w:r w:rsidRPr="00447599">
        <w:rPr>
          <w:i/>
          <w:noProof/>
        </w:rPr>
        <w:t>159</w:t>
      </w:r>
      <w:r w:rsidRPr="00447599">
        <w:rPr>
          <w:noProof/>
        </w:rPr>
        <w:t>, (1), 353-359.</w:t>
      </w:r>
    </w:p>
    <w:p w14:paraId="75566CD9" w14:textId="77777777" w:rsidR="00017A0C" w:rsidRPr="00447599" w:rsidRDefault="00017A0C" w:rsidP="00017A0C">
      <w:pPr>
        <w:pStyle w:val="EndNoteBibliography"/>
        <w:rPr>
          <w:noProof/>
        </w:rPr>
      </w:pPr>
      <w:r w:rsidRPr="00447599">
        <w:rPr>
          <w:noProof/>
        </w:rPr>
        <w:t>26.</w:t>
      </w:r>
      <w:r w:rsidRPr="00447599">
        <w:rPr>
          <w:noProof/>
        </w:rPr>
        <w:tab/>
        <w:t xml:space="preserve">Tomás‐Gallardo, L.; Canosa, I.; Santero, E.; Camafeita, E.; Calvo, E.; López, J. A.; Floriano, B., Proteomic and transcriptional characterization of aromatic degradation pathways in Rhodoccocus sp. strain TFB. </w:t>
      </w:r>
      <w:r w:rsidRPr="00447599">
        <w:rPr>
          <w:i/>
          <w:noProof/>
        </w:rPr>
        <w:t xml:space="preserve">Proteomics </w:t>
      </w:r>
      <w:r w:rsidRPr="00447599">
        <w:rPr>
          <w:b/>
          <w:noProof/>
        </w:rPr>
        <w:t>2006,</w:t>
      </w:r>
      <w:r w:rsidRPr="00447599">
        <w:rPr>
          <w:noProof/>
        </w:rPr>
        <w:t xml:space="preserve"> </w:t>
      </w:r>
      <w:r w:rsidRPr="00447599">
        <w:rPr>
          <w:i/>
          <w:noProof/>
        </w:rPr>
        <w:t>6</w:t>
      </w:r>
      <w:r w:rsidRPr="00447599">
        <w:rPr>
          <w:noProof/>
        </w:rPr>
        <w:t>, (S1), S119-S132.</w:t>
      </w:r>
    </w:p>
    <w:p w14:paraId="5A3AA8C8" w14:textId="77777777" w:rsidR="00017A0C" w:rsidRPr="00447599" w:rsidRDefault="00017A0C" w:rsidP="00017A0C">
      <w:pPr>
        <w:pStyle w:val="EndNoteBibliography"/>
        <w:rPr>
          <w:noProof/>
        </w:rPr>
      </w:pPr>
      <w:r w:rsidRPr="00447599">
        <w:rPr>
          <w:noProof/>
        </w:rPr>
        <w:t>27.</w:t>
      </w:r>
      <w:r w:rsidRPr="00447599">
        <w:rPr>
          <w:noProof/>
        </w:rPr>
        <w:tab/>
        <w:t xml:space="preserve">Bradford, M. M., A rapid and sensitive method for the quantitation of microgram quantities of protein utilizing the principle of protein-dye binding. </w:t>
      </w:r>
      <w:r w:rsidRPr="00447599">
        <w:rPr>
          <w:i/>
          <w:noProof/>
        </w:rPr>
        <w:t xml:space="preserve">Analytical biochemistry </w:t>
      </w:r>
      <w:r w:rsidRPr="00447599">
        <w:rPr>
          <w:b/>
          <w:noProof/>
        </w:rPr>
        <w:t>1976,</w:t>
      </w:r>
      <w:r w:rsidRPr="00447599">
        <w:rPr>
          <w:noProof/>
        </w:rPr>
        <w:t xml:space="preserve"> </w:t>
      </w:r>
      <w:r w:rsidRPr="00447599">
        <w:rPr>
          <w:i/>
          <w:noProof/>
        </w:rPr>
        <w:t>72</w:t>
      </w:r>
      <w:r w:rsidRPr="00447599">
        <w:rPr>
          <w:noProof/>
        </w:rPr>
        <w:t>, (1-2), 248-254.</w:t>
      </w:r>
    </w:p>
    <w:p w14:paraId="7B822366" w14:textId="77777777" w:rsidR="00017A0C" w:rsidRPr="00447599" w:rsidRDefault="00017A0C" w:rsidP="00017A0C">
      <w:pPr>
        <w:pStyle w:val="EndNoteBibliography"/>
        <w:rPr>
          <w:noProof/>
        </w:rPr>
      </w:pPr>
      <w:r w:rsidRPr="00447599">
        <w:rPr>
          <w:noProof/>
        </w:rPr>
        <w:t>28.</w:t>
      </w:r>
      <w:r w:rsidRPr="00447599">
        <w:rPr>
          <w:noProof/>
        </w:rPr>
        <w:tab/>
        <w:t xml:space="preserve">Jouanneau, Y.; Meyer, C., Purification and characterization of an arene cis-dihydrodiol dehydrogenase endowed with broad substrate specificity toward polycyclic aromatic hydrocarbon dihydrodiols. </w:t>
      </w:r>
      <w:r w:rsidRPr="00447599">
        <w:rPr>
          <w:i/>
          <w:noProof/>
        </w:rPr>
        <w:t xml:space="preserve">Applied and environmental microbiology </w:t>
      </w:r>
      <w:r w:rsidRPr="00447599">
        <w:rPr>
          <w:b/>
          <w:noProof/>
        </w:rPr>
        <w:t>2006,</w:t>
      </w:r>
      <w:r w:rsidRPr="00447599">
        <w:rPr>
          <w:noProof/>
        </w:rPr>
        <w:t xml:space="preserve"> </w:t>
      </w:r>
      <w:r w:rsidRPr="00447599">
        <w:rPr>
          <w:i/>
          <w:noProof/>
        </w:rPr>
        <w:t>72</w:t>
      </w:r>
      <w:r w:rsidRPr="00447599">
        <w:rPr>
          <w:noProof/>
        </w:rPr>
        <w:t>, (7), 4726-4734.</w:t>
      </w:r>
    </w:p>
    <w:p w14:paraId="301FBAB5" w14:textId="77777777" w:rsidR="00017A0C" w:rsidRPr="00447599" w:rsidRDefault="00017A0C" w:rsidP="00017A0C">
      <w:pPr>
        <w:pStyle w:val="EndNoteBibliography"/>
        <w:rPr>
          <w:noProof/>
        </w:rPr>
      </w:pPr>
      <w:r w:rsidRPr="00447599">
        <w:rPr>
          <w:noProof/>
        </w:rPr>
        <w:t>29.</w:t>
      </w:r>
      <w:r w:rsidRPr="00447599">
        <w:rPr>
          <w:noProof/>
        </w:rPr>
        <w:tab/>
        <w:t xml:space="preserve">Jardine, J.; Stoychev, S.; Mavumengwana, V.; Ubomba-Jaswa, E., Screening of potential bioremediation enzymes from hot spring bacteria using conventional plate assays and liquid chromatography-Tandem mass spectrometry (Lc-Ms/Ms). </w:t>
      </w:r>
      <w:r w:rsidRPr="00447599">
        <w:rPr>
          <w:i/>
          <w:noProof/>
        </w:rPr>
        <w:t xml:space="preserve">Journal of environmental management </w:t>
      </w:r>
      <w:r w:rsidRPr="00447599">
        <w:rPr>
          <w:b/>
          <w:noProof/>
        </w:rPr>
        <w:t>2018,</w:t>
      </w:r>
      <w:r w:rsidRPr="00447599">
        <w:rPr>
          <w:noProof/>
        </w:rPr>
        <w:t xml:space="preserve"> </w:t>
      </w:r>
      <w:r w:rsidRPr="00447599">
        <w:rPr>
          <w:i/>
          <w:noProof/>
        </w:rPr>
        <w:t>223</w:t>
      </w:r>
      <w:r w:rsidRPr="00447599">
        <w:rPr>
          <w:noProof/>
        </w:rPr>
        <w:t>, 787-796.</w:t>
      </w:r>
    </w:p>
    <w:p w14:paraId="36614A41" w14:textId="77777777" w:rsidR="00017A0C" w:rsidRPr="00447599" w:rsidRDefault="00017A0C" w:rsidP="00017A0C">
      <w:pPr>
        <w:pStyle w:val="EndNoteBibliography"/>
        <w:rPr>
          <w:noProof/>
        </w:rPr>
      </w:pPr>
      <w:r w:rsidRPr="00447599">
        <w:rPr>
          <w:noProof/>
        </w:rPr>
        <w:t>30.</w:t>
      </w:r>
      <w:r w:rsidRPr="00447599">
        <w:rPr>
          <w:noProof/>
        </w:rPr>
        <w:tab/>
        <w:t xml:space="preserve">Ma, H.; Liao, H.; Dellisanti, W.; Sun, Y.; Chan, L. L.; Zhang, L., Characterizing the Host Coral Proteome of Platygyra carnosa Using Suspension Trapping (S-Trap). </w:t>
      </w:r>
      <w:r w:rsidRPr="00447599">
        <w:rPr>
          <w:i/>
          <w:noProof/>
        </w:rPr>
        <w:t xml:space="preserve">Journal of Proteome Research </w:t>
      </w:r>
      <w:r w:rsidRPr="00447599">
        <w:rPr>
          <w:b/>
          <w:noProof/>
        </w:rPr>
        <w:t>2021</w:t>
      </w:r>
      <w:r w:rsidRPr="00447599">
        <w:rPr>
          <w:noProof/>
        </w:rPr>
        <w:t>.</w:t>
      </w:r>
    </w:p>
    <w:p w14:paraId="05DF6A0E" w14:textId="77777777" w:rsidR="00017A0C" w:rsidRPr="00447599" w:rsidRDefault="00017A0C" w:rsidP="00017A0C">
      <w:pPr>
        <w:pStyle w:val="EndNoteBibliography"/>
        <w:rPr>
          <w:noProof/>
        </w:rPr>
      </w:pPr>
      <w:r w:rsidRPr="00447599">
        <w:rPr>
          <w:noProof/>
        </w:rPr>
        <w:lastRenderedPageBreak/>
        <w:t>31.</w:t>
      </w:r>
      <w:r w:rsidRPr="00447599">
        <w:rPr>
          <w:noProof/>
        </w:rPr>
        <w:tab/>
        <w:t xml:space="preserve">Li, Z.; Cabana, H.; Lecka, J.; Brar, S. K.; Galvez, R.; Bellenger, J.-P., Efficiencies of selected biotreatments for the remediation of PAH in diluted bitumen contaminated soil microcosms. </w:t>
      </w:r>
      <w:r w:rsidRPr="00447599">
        <w:rPr>
          <w:i/>
          <w:noProof/>
        </w:rPr>
        <w:t xml:space="preserve">Biodegradation </w:t>
      </w:r>
      <w:r w:rsidRPr="00447599">
        <w:rPr>
          <w:b/>
          <w:noProof/>
        </w:rPr>
        <w:t>2021</w:t>
      </w:r>
      <w:r w:rsidRPr="00447599">
        <w:rPr>
          <w:noProof/>
        </w:rPr>
        <w:t>, 1-14.</w:t>
      </w:r>
    </w:p>
    <w:p w14:paraId="4C26EC92" w14:textId="77777777" w:rsidR="00017A0C" w:rsidRPr="00447599" w:rsidRDefault="00017A0C" w:rsidP="00017A0C">
      <w:pPr>
        <w:pStyle w:val="EndNoteBibliography"/>
        <w:rPr>
          <w:noProof/>
        </w:rPr>
      </w:pPr>
      <w:r w:rsidRPr="00447599">
        <w:rPr>
          <w:noProof/>
        </w:rPr>
        <w:t>32.</w:t>
      </w:r>
      <w:r w:rsidRPr="00447599">
        <w:rPr>
          <w:noProof/>
        </w:rPr>
        <w:tab/>
        <w:t xml:space="preserve">Beaulieu, M.; contaminés, Q. S. d. l., </w:t>
      </w:r>
      <w:r w:rsidRPr="00447599">
        <w:rPr>
          <w:i/>
          <w:noProof/>
        </w:rPr>
        <w:t>Guide d'intervention: protection des sols et réhabilitation des terrains contaminés</w:t>
      </w:r>
      <w:r w:rsidRPr="00447599">
        <w:rPr>
          <w:noProof/>
        </w:rPr>
        <w:t>. Ministère du Développement durable, de l'Environnement et de la Lutte contre …: 2016.</w:t>
      </w:r>
    </w:p>
    <w:p w14:paraId="026A56B0" w14:textId="77777777" w:rsidR="00017A0C" w:rsidRPr="00447599" w:rsidRDefault="00017A0C" w:rsidP="00017A0C">
      <w:pPr>
        <w:pStyle w:val="EndNoteBibliography"/>
        <w:rPr>
          <w:noProof/>
        </w:rPr>
      </w:pPr>
      <w:r w:rsidRPr="00447599">
        <w:rPr>
          <w:noProof/>
        </w:rPr>
        <w:t>33.</w:t>
      </w:r>
      <w:r w:rsidRPr="00447599">
        <w:rPr>
          <w:noProof/>
        </w:rPr>
        <w:tab/>
        <w:t xml:space="preserve">ASTM, D., Standard test method for particle-size analysis of soils. </w:t>
      </w:r>
      <w:r w:rsidRPr="00447599">
        <w:rPr>
          <w:b/>
          <w:noProof/>
        </w:rPr>
        <w:t>2007</w:t>
      </w:r>
      <w:r w:rsidRPr="00447599">
        <w:rPr>
          <w:noProof/>
        </w:rPr>
        <w:t>.</w:t>
      </w:r>
    </w:p>
    <w:p w14:paraId="5CEBF3D6" w14:textId="77777777" w:rsidR="00017A0C" w:rsidRPr="00447599" w:rsidRDefault="00017A0C" w:rsidP="00017A0C">
      <w:pPr>
        <w:pStyle w:val="EndNoteBibliography"/>
        <w:rPr>
          <w:noProof/>
        </w:rPr>
      </w:pPr>
      <w:r w:rsidRPr="00447599">
        <w:rPr>
          <w:noProof/>
        </w:rPr>
        <w:t>34.</w:t>
      </w:r>
      <w:r w:rsidRPr="00447599">
        <w:rPr>
          <w:noProof/>
        </w:rPr>
        <w:tab/>
        <w:t xml:space="preserve">Miri, S.; Naghdi, M.; Rouissi, T.; Kaur Brar, S.; Martel, R., Recent biotechnological advances in petroleum hydrocarbons degradation under cold climate conditions: A review. </w:t>
      </w:r>
      <w:r w:rsidRPr="00447599">
        <w:rPr>
          <w:i/>
          <w:noProof/>
        </w:rPr>
        <w:t xml:space="preserve">Critical Reviews in Environmental Science and Technology </w:t>
      </w:r>
      <w:r w:rsidRPr="00447599">
        <w:rPr>
          <w:b/>
          <w:noProof/>
        </w:rPr>
        <w:t>2019,</w:t>
      </w:r>
      <w:r w:rsidRPr="00447599">
        <w:rPr>
          <w:noProof/>
        </w:rPr>
        <w:t xml:space="preserve"> </w:t>
      </w:r>
      <w:r w:rsidRPr="00447599">
        <w:rPr>
          <w:i/>
          <w:noProof/>
        </w:rPr>
        <w:t>49</w:t>
      </w:r>
      <w:r w:rsidRPr="00447599">
        <w:rPr>
          <w:noProof/>
        </w:rPr>
        <w:t>, (7), 553-586.</w:t>
      </w:r>
    </w:p>
    <w:p w14:paraId="4B959166" w14:textId="568C3C23" w:rsidR="00DF6155" w:rsidRDefault="00907DA8" w:rsidP="00017A0C">
      <w:pPr>
        <w:spacing w:line="276" w:lineRule="auto"/>
      </w:pPr>
      <w:r w:rsidRPr="00447599">
        <w:fldChar w:fldCharType="end"/>
      </w:r>
    </w:p>
    <w:sectPr w:rsidR="00DF6155" w:rsidSect="00324D2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1DCDE" w14:textId="77777777" w:rsidR="00F24CA7" w:rsidRDefault="00F24CA7" w:rsidP="00BA14CF">
      <w:r>
        <w:separator/>
      </w:r>
    </w:p>
  </w:endnote>
  <w:endnote w:type="continuationSeparator" w:id="0">
    <w:p w14:paraId="6B4E883A" w14:textId="77777777" w:rsidR="00F24CA7" w:rsidRDefault="00F24CA7" w:rsidP="00BA1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0000500000000020000"/>
    <w:charset w:val="00"/>
    <w:family w:val="auto"/>
    <w:pitch w:val="variable"/>
    <w:sig w:usb0="E00002FF" w:usb1="5000205A"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AdvPTimes">
    <w:altName w:val="Cambria"/>
    <w:panose1 w:val="020B0604020202020204"/>
    <w:charset w:val="00"/>
    <w:family w:val="roman"/>
    <w:pitch w:val="default"/>
  </w:font>
  <w:font w:name="AdvPSSym">
    <w:altName w:val="Cambria"/>
    <w:panose1 w:val="020B0604020202020204"/>
    <w:charset w:val="00"/>
    <w:family w:val="roman"/>
    <w:pitch w:val="default"/>
  </w:font>
  <w:font w:name="TimesNewRoman">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F3B16" w14:textId="77777777" w:rsidR="00F24CA7" w:rsidRDefault="00F24CA7" w:rsidP="00BA14CF">
      <w:r>
        <w:separator/>
      </w:r>
    </w:p>
  </w:footnote>
  <w:footnote w:type="continuationSeparator" w:id="0">
    <w:p w14:paraId="7F2DF62F" w14:textId="77777777" w:rsidR="00F24CA7" w:rsidRDefault="00F24CA7" w:rsidP="00BA14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061D7"/>
    <w:multiLevelType w:val="multilevel"/>
    <w:tmpl w:val="694E58C4"/>
    <w:lvl w:ilvl="0">
      <w:start w:val="3"/>
      <w:numFmt w:val="decimal"/>
      <w:lvlText w:val="%1."/>
      <w:lvlJc w:val="left"/>
      <w:pPr>
        <w:ind w:left="360" w:hanging="360"/>
      </w:pPr>
      <w:rPr>
        <w:rFonts w:ascii="Times" w:hAnsi="Times" w:cs="Times New Roman" w:hint="default"/>
      </w:rPr>
    </w:lvl>
    <w:lvl w:ilvl="1">
      <w:start w:val="1"/>
      <w:numFmt w:val="decimal"/>
      <w:lvlText w:val="%1.%2."/>
      <w:lvlJc w:val="left"/>
      <w:pPr>
        <w:ind w:left="1080" w:hanging="360"/>
      </w:pPr>
      <w:rPr>
        <w:rFonts w:ascii="Times" w:hAnsi="Times" w:cs="Times New Roman" w:hint="default"/>
      </w:rPr>
    </w:lvl>
    <w:lvl w:ilvl="2">
      <w:start w:val="1"/>
      <w:numFmt w:val="decimal"/>
      <w:lvlText w:val="%1.%2.%3."/>
      <w:lvlJc w:val="left"/>
      <w:pPr>
        <w:ind w:left="2160" w:hanging="720"/>
      </w:pPr>
      <w:rPr>
        <w:rFonts w:ascii="Times" w:hAnsi="Times" w:cs="Times New Roman" w:hint="default"/>
      </w:rPr>
    </w:lvl>
    <w:lvl w:ilvl="3">
      <w:start w:val="1"/>
      <w:numFmt w:val="decimal"/>
      <w:lvlText w:val="%1.%2.%3.%4."/>
      <w:lvlJc w:val="left"/>
      <w:pPr>
        <w:ind w:left="2880" w:hanging="720"/>
      </w:pPr>
      <w:rPr>
        <w:rFonts w:ascii="Times" w:hAnsi="Times" w:cs="Times New Roman" w:hint="default"/>
      </w:rPr>
    </w:lvl>
    <w:lvl w:ilvl="4">
      <w:start w:val="1"/>
      <w:numFmt w:val="decimal"/>
      <w:lvlText w:val="%1.%2.%3.%4.%5."/>
      <w:lvlJc w:val="left"/>
      <w:pPr>
        <w:ind w:left="3960" w:hanging="1080"/>
      </w:pPr>
      <w:rPr>
        <w:rFonts w:ascii="Times" w:hAnsi="Times" w:cs="Times New Roman" w:hint="default"/>
      </w:rPr>
    </w:lvl>
    <w:lvl w:ilvl="5">
      <w:start w:val="1"/>
      <w:numFmt w:val="decimal"/>
      <w:lvlText w:val="%1.%2.%3.%4.%5.%6."/>
      <w:lvlJc w:val="left"/>
      <w:pPr>
        <w:ind w:left="4680" w:hanging="1080"/>
      </w:pPr>
      <w:rPr>
        <w:rFonts w:ascii="Times" w:hAnsi="Times" w:cs="Times New Roman" w:hint="default"/>
      </w:rPr>
    </w:lvl>
    <w:lvl w:ilvl="6">
      <w:start w:val="1"/>
      <w:numFmt w:val="decimal"/>
      <w:lvlText w:val="%1.%2.%3.%4.%5.%6.%7."/>
      <w:lvlJc w:val="left"/>
      <w:pPr>
        <w:ind w:left="5760" w:hanging="1440"/>
      </w:pPr>
      <w:rPr>
        <w:rFonts w:ascii="Times" w:hAnsi="Times" w:cs="Times New Roman" w:hint="default"/>
      </w:rPr>
    </w:lvl>
    <w:lvl w:ilvl="7">
      <w:start w:val="1"/>
      <w:numFmt w:val="decimal"/>
      <w:lvlText w:val="%1.%2.%3.%4.%5.%6.%7.%8."/>
      <w:lvlJc w:val="left"/>
      <w:pPr>
        <w:ind w:left="6480" w:hanging="1440"/>
      </w:pPr>
      <w:rPr>
        <w:rFonts w:ascii="Times" w:hAnsi="Times" w:cs="Times New Roman" w:hint="default"/>
      </w:rPr>
    </w:lvl>
    <w:lvl w:ilvl="8">
      <w:start w:val="1"/>
      <w:numFmt w:val="decimal"/>
      <w:lvlText w:val="%1.%2.%3.%4.%5.%6.%7.%8.%9."/>
      <w:lvlJc w:val="left"/>
      <w:pPr>
        <w:ind w:left="7560" w:hanging="1800"/>
      </w:pPr>
      <w:rPr>
        <w:rFonts w:ascii="Times" w:hAnsi="Times" w:cs="Times New Roman" w:hint="default"/>
      </w:rPr>
    </w:lvl>
  </w:abstractNum>
  <w:abstractNum w:abstractNumId="1" w15:restartNumberingAfterBreak="0">
    <w:nsid w:val="278E1B53"/>
    <w:multiLevelType w:val="hybridMultilevel"/>
    <w:tmpl w:val="1FA42938"/>
    <w:lvl w:ilvl="0" w:tplc="874E1F5A">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B5E3E6E"/>
    <w:multiLevelType w:val="multilevel"/>
    <w:tmpl w:val="D8A6EFEE"/>
    <w:lvl w:ilvl="0">
      <w:start w:val="2"/>
      <w:numFmt w:val="decimal"/>
      <w:lvlText w:val="%1"/>
      <w:lvlJc w:val="left"/>
      <w:pPr>
        <w:ind w:left="480" w:hanging="480"/>
      </w:pPr>
      <w:rPr>
        <w:rFonts w:hint="default"/>
      </w:rPr>
    </w:lvl>
    <w:lvl w:ilvl="1">
      <w:start w:val="7"/>
      <w:numFmt w:val="decimal"/>
      <w:lvlText w:val="%1.%2"/>
      <w:lvlJc w:val="left"/>
      <w:pPr>
        <w:ind w:left="1380" w:hanging="480"/>
      </w:pPr>
      <w:rPr>
        <w:rFonts w:hint="default"/>
      </w:rPr>
    </w:lvl>
    <w:lvl w:ilvl="2">
      <w:start w:val="1"/>
      <w:numFmt w:val="decimal"/>
      <w:lvlText w:val="%1.%2.%3"/>
      <w:lvlJc w:val="left"/>
      <w:pPr>
        <w:ind w:left="2520" w:hanging="720"/>
      </w:pPr>
      <w:rPr>
        <w:rFonts w:asciiTheme="majorBidi" w:hAnsiTheme="majorBidi" w:cstheme="majorBidi" w:hint="default"/>
        <w:i/>
        <w:iCs/>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3" w15:restartNumberingAfterBreak="0">
    <w:nsid w:val="70BD5C0A"/>
    <w:multiLevelType w:val="multilevel"/>
    <w:tmpl w:val="580A09F4"/>
    <w:lvl w:ilvl="0">
      <w:start w:val="2"/>
      <w:numFmt w:val="decimal"/>
      <w:lvlText w:val="%1."/>
      <w:lvlJc w:val="left"/>
      <w:pPr>
        <w:ind w:left="360" w:hanging="360"/>
      </w:pPr>
      <w:rPr>
        <w:rFonts w:ascii="Times" w:hAnsi="Times" w:cs="Times New Roman" w:hint="default"/>
      </w:rPr>
    </w:lvl>
    <w:lvl w:ilvl="1">
      <w:start w:val="1"/>
      <w:numFmt w:val="decimal"/>
      <w:lvlText w:val="%1.%2."/>
      <w:lvlJc w:val="left"/>
      <w:pPr>
        <w:ind w:left="1440" w:hanging="360"/>
      </w:pPr>
      <w:rPr>
        <w:rFonts w:ascii="Times" w:hAnsi="Times" w:cs="Times New Roman" w:hint="default"/>
      </w:rPr>
    </w:lvl>
    <w:lvl w:ilvl="2">
      <w:start w:val="1"/>
      <w:numFmt w:val="decimal"/>
      <w:lvlText w:val="%1.%2.%3."/>
      <w:lvlJc w:val="left"/>
      <w:pPr>
        <w:ind w:left="2880" w:hanging="720"/>
      </w:pPr>
      <w:rPr>
        <w:rFonts w:ascii="Times" w:hAnsi="Times" w:cs="Times New Roman" w:hint="default"/>
      </w:rPr>
    </w:lvl>
    <w:lvl w:ilvl="3">
      <w:start w:val="1"/>
      <w:numFmt w:val="decimal"/>
      <w:lvlText w:val="%1.%2.%3.%4."/>
      <w:lvlJc w:val="left"/>
      <w:pPr>
        <w:ind w:left="3960" w:hanging="720"/>
      </w:pPr>
      <w:rPr>
        <w:rFonts w:ascii="Times" w:hAnsi="Times" w:cs="Times New Roman" w:hint="default"/>
      </w:rPr>
    </w:lvl>
    <w:lvl w:ilvl="4">
      <w:start w:val="1"/>
      <w:numFmt w:val="decimal"/>
      <w:lvlText w:val="%1.%2.%3.%4.%5."/>
      <w:lvlJc w:val="left"/>
      <w:pPr>
        <w:ind w:left="5400" w:hanging="1080"/>
      </w:pPr>
      <w:rPr>
        <w:rFonts w:ascii="Times" w:hAnsi="Times" w:cs="Times New Roman" w:hint="default"/>
      </w:rPr>
    </w:lvl>
    <w:lvl w:ilvl="5">
      <w:start w:val="1"/>
      <w:numFmt w:val="decimal"/>
      <w:lvlText w:val="%1.%2.%3.%4.%5.%6."/>
      <w:lvlJc w:val="left"/>
      <w:pPr>
        <w:ind w:left="6480" w:hanging="1080"/>
      </w:pPr>
      <w:rPr>
        <w:rFonts w:ascii="Times" w:hAnsi="Times" w:cs="Times New Roman" w:hint="default"/>
      </w:rPr>
    </w:lvl>
    <w:lvl w:ilvl="6">
      <w:start w:val="1"/>
      <w:numFmt w:val="decimal"/>
      <w:lvlText w:val="%1.%2.%3.%4.%5.%6.%7."/>
      <w:lvlJc w:val="left"/>
      <w:pPr>
        <w:ind w:left="7920" w:hanging="1440"/>
      </w:pPr>
      <w:rPr>
        <w:rFonts w:ascii="Times" w:hAnsi="Times" w:cs="Times New Roman" w:hint="default"/>
      </w:rPr>
    </w:lvl>
    <w:lvl w:ilvl="7">
      <w:start w:val="1"/>
      <w:numFmt w:val="decimal"/>
      <w:lvlText w:val="%1.%2.%3.%4.%5.%6.%7.%8."/>
      <w:lvlJc w:val="left"/>
      <w:pPr>
        <w:ind w:left="9000" w:hanging="1440"/>
      </w:pPr>
      <w:rPr>
        <w:rFonts w:ascii="Times" w:hAnsi="Times" w:cs="Times New Roman" w:hint="default"/>
      </w:rPr>
    </w:lvl>
    <w:lvl w:ilvl="8">
      <w:start w:val="1"/>
      <w:numFmt w:val="decimal"/>
      <w:lvlText w:val="%1.%2.%3.%4.%5.%6.%7.%8.%9."/>
      <w:lvlJc w:val="left"/>
      <w:pPr>
        <w:ind w:left="10440" w:hanging="1800"/>
      </w:pPr>
      <w:rPr>
        <w:rFonts w:ascii="Times" w:hAnsi="Times" w:cs="Times New Roman"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0MrcwMLIwNzC3NLRU0lEKTi0uzszPAykwrAUAwWw0aiwAAAA="/>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zx9f52s0zwpueeawxv9p279av9dwafsaxz&quot;&gt;ES&amp;amp;T LIBRARY&lt;record-ids&gt;&lt;item&gt;3&lt;/item&gt;&lt;item&gt;22&lt;/item&gt;&lt;item&gt;23&lt;/item&gt;&lt;item&gt;26&lt;/item&gt;&lt;item&gt;27&lt;/item&gt;&lt;item&gt;28&lt;/item&gt;&lt;item&gt;29&lt;/item&gt;&lt;item&gt;30&lt;/item&gt;&lt;item&gt;31&lt;/item&gt;&lt;item&gt;32&lt;/item&gt;&lt;item&gt;33&lt;/item&gt;&lt;item&gt;34&lt;/item&gt;&lt;item&gt;52&lt;/item&gt;&lt;/record-ids&gt;&lt;/item&gt;&lt;/Libraries&gt;"/>
  </w:docVars>
  <w:rsids>
    <w:rsidRoot w:val="00DB1E96"/>
    <w:rsid w:val="00001A48"/>
    <w:rsid w:val="000046C9"/>
    <w:rsid w:val="00017A0C"/>
    <w:rsid w:val="00023DC9"/>
    <w:rsid w:val="000245C2"/>
    <w:rsid w:val="00024B53"/>
    <w:rsid w:val="00027609"/>
    <w:rsid w:val="00030BE5"/>
    <w:rsid w:val="00036922"/>
    <w:rsid w:val="0003795B"/>
    <w:rsid w:val="00041441"/>
    <w:rsid w:val="00043CB9"/>
    <w:rsid w:val="00044F12"/>
    <w:rsid w:val="000453D6"/>
    <w:rsid w:val="000459B1"/>
    <w:rsid w:val="00047661"/>
    <w:rsid w:val="000532E8"/>
    <w:rsid w:val="000613D8"/>
    <w:rsid w:val="00064B3D"/>
    <w:rsid w:val="00067157"/>
    <w:rsid w:val="00070AE2"/>
    <w:rsid w:val="00074951"/>
    <w:rsid w:val="0007663F"/>
    <w:rsid w:val="00076BD7"/>
    <w:rsid w:val="000838B5"/>
    <w:rsid w:val="00083B8A"/>
    <w:rsid w:val="000851B8"/>
    <w:rsid w:val="00085EA4"/>
    <w:rsid w:val="000905B9"/>
    <w:rsid w:val="000A681F"/>
    <w:rsid w:val="000B03F7"/>
    <w:rsid w:val="000B0725"/>
    <w:rsid w:val="000B0B08"/>
    <w:rsid w:val="000C0288"/>
    <w:rsid w:val="000C4A4F"/>
    <w:rsid w:val="000C5B8D"/>
    <w:rsid w:val="000C7CFE"/>
    <w:rsid w:val="000D2092"/>
    <w:rsid w:val="000D21E5"/>
    <w:rsid w:val="000D41E4"/>
    <w:rsid w:val="000E1CE6"/>
    <w:rsid w:val="000F7752"/>
    <w:rsid w:val="0010592D"/>
    <w:rsid w:val="00106EC7"/>
    <w:rsid w:val="00107DA0"/>
    <w:rsid w:val="00110CC9"/>
    <w:rsid w:val="00114116"/>
    <w:rsid w:val="00116F9C"/>
    <w:rsid w:val="00117D4D"/>
    <w:rsid w:val="00125F6D"/>
    <w:rsid w:val="001327CE"/>
    <w:rsid w:val="00137C55"/>
    <w:rsid w:val="001406E8"/>
    <w:rsid w:val="0014554C"/>
    <w:rsid w:val="001506ED"/>
    <w:rsid w:val="00151C45"/>
    <w:rsid w:val="001572BA"/>
    <w:rsid w:val="001610FA"/>
    <w:rsid w:val="00167D5F"/>
    <w:rsid w:val="00171B4E"/>
    <w:rsid w:val="00171C09"/>
    <w:rsid w:val="00172DDB"/>
    <w:rsid w:val="00174777"/>
    <w:rsid w:val="00181197"/>
    <w:rsid w:val="001828E6"/>
    <w:rsid w:val="00182BED"/>
    <w:rsid w:val="001840EC"/>
    <w:rsid w:val="00186397"/>
    <w:rsid w:val="001865C3"/>
    <w:rsid w:val="001A1A1F"/>
    <w:rsid w:val="001A42F5"/>
    <w:rsid w:val="001B0AF2"/>
    <w:rsid w:val="001B148C"/>
    <w:rsid w:val="001B5F8A"/>
    <w:rsid w:val="001B6FD7"/>
    <w:rsid w:val="001C1D79"/>
    <w:rsid w:val="001C3CCB"/>
    <w:rsid w:val="001D1C4F"/>
    <w:rsid w:val="001D230A"/>
    <w:rsid w:val="001D2434"/>
    <w:rsid w:val="001D2C47"/>
    <w:rsid w:val="001E1DBC"/>
    <w:rsid w:val="001F280E"/>
    <w:rsid w:val="001F3FEF"/>
    <w:rsid w:val="00202434"/>
    <w:rsid w:val="00207F00"/>
    <w:rsid w:val="00216882"/>
    <w:rsid w:val="00220462"/>
    <w:rsid w:val="0022209D"/>
    <w:rsid w:val="002224ED"/>
    <w:rsid w:val="002246CB"/>
    <w:rsid w:val="002300D5"/>
    <w:rsid w:val="00233EAE"/>
    <w:rsid w:val="002344BE"/>
    <w:rsid w:val="0024046D"/>
    <w:rsid w:val="00250E1C"/>
    <w:rsid w:val="00252FF8"/>
    <w:rsid w:val="00254BD0"/>
    <w:rsid w:val="00254CE3"/>
    <w:rsid w:val="002710F0"/>
    <w:rsid w:val="00271462"/>
    <w:rsid w:val="0027743F"/>
    <w:rsid w:val="002820D4"/>
    <w:rsid w:val="002842F5"/>
    <w:rsid w:val="002853BE"/>
    <w:rsid w:val="0028557A"/>
    <w:rsid w:val="00293A9C"/>
    <w:rsid w:val="0029795F"/>
    <w:rsid w:val="002A0F66"/>
    <w:rsid w:val="002A4EFA"/>
    <w:rsid w:val="002A692B"/>
    <w:rsid w:val="002B078A"/>
    <w:rsid w:val="002B07F5"/>
    <w:rsid w:val="002B32FD"/>
    <w:rsid w:val="002E08D2"/>
    <w:rsid w:val="002E340F"/>
    <w:rsid w:val="002E4615"/>
    <w:rsid w:val="002E5456"/>
    <w:rsid w:val="002F277F"/>
    <w:rsid w:val="002F5D0B"/>
    <w:rsid w:val="00305AAA"/>
    <w:rsid w:val="0031483C"/>
    <w:rsid w:val="003249E5"/>
    <w:rsid w:val="00324D2C"/>
    <w:rsid w:val="00325C13"/>
    <w:rsid w:val="003263FF"/>
    <w:rsid w:val="003270FA"/>
    <w:rsid w:val="00331359"/>
    <w:rsid w:val="003337EF"/>
    <w:rsid w:val="003340EF"/>
    <w:rsid w:val="00334F2F"/>
    <w:rsid w:val="00341CAF"/>
    <w:rsid w:val="00353C8B"/>
    <w:rsid w:val="003548D4"/>
    <w:rsid w:val="003645CB"/>
    <w:rsid w:val="00365861"/>
    <w:rsid w:val="0037122C"/>
    <w:rsid w:val="00375E4C"/>
    <w:rsid w:val="00375FF1"/>
    <w:rsid w:val="00380214"/>
    <w:rsid w:val="0038580C"/>
    <w:rsid w:val="0039015B"/>
    <w:rsid w:val="00391361"/>
    <w:rsid w:val="003966BE"/>
    <w:rsid w:val="003A1310"/>
    <w:rsid w:val="003A54D2"/>
    <w:rsid w:val="003A5B31"/>
    <w:rsid w:val="003B690D"/>
    <w:rsid w:val="003D0EEF"/>
    <w:rsid w:val="003D1CED"/>
    <w:rsid w:val="003D3BA1"/>
    <w:rsid w:val="003D4A56"/>
    <w:rsid w:val="003D69DB"/>
    <w:rsid w:val="003E1E38"/>
    <w:rsid w:val="003E4656"/>
    <w:rsid w:val="003E50A7"/>
    <w:rsid w:val="003E5569"/>
    <w:rsid w:val="003E58A5"/>
    <w:rsid w:val="003F6D5E"/>
    <w:rsid w:val="00400723"/>
    <w:rsid w:val="00401950"/>
    <w:rsid w:val="00401CE3"/>
    <w:rsid w:val="004047D1"/>
    <w:rsid w:val="004124B2"/>
    <w:rsid w:val="0041426D"/>
    <w:rsid w:val="0042489D"/>
    <w:rsid w:val="00427214"/>
    <w:rsid w:val="00427355"/>
    <w:rsid w:val="00431987"/>
    <w:rsid w:val="00432DC8"/>
    <w:rsid w:val="0043733E"/>
    <w:rsid w:val="00444FE3"/>
    <w:rsid w:val="004455F9"/>
    <w:rsid w:val="00447599"/>
    <w:rsid w:val="00447C51"/>
    <w:rsid w:val="00457667"/>
    <w:rsid w:val="00464E41"/>
    <w:rsid w:val="00465DCF"/>
    <w:rsid w:val="00471170"/>
    <w:rsid w:val="00472269"/>
    <w:rsid w:val="004724B2"/>
    <w:rsid w:val="00480D63"/>
    <w:rsid w:val="00482F09"/>
    <w:rsid w:val="00494DC0"/>
    <w:rsid w:val="00494E4E"/>
    <w:rsid w:val="004B3493"/>
    <w:rsid w:val="004C2398"/>
    <w:rsid w:val="004C31DF"/>
    <w:rsid w:val="004C4DAA"/>
    <w:rsid w:val="004C7D3D"/>
    <w:rsid w:val="004D00D0"/>
    <w:rsid w:val="004D0A4F"/>
    <w:rsid w:val="004D34B9"/>
    <w:rsid w:val="004D3CAC"/>
    <w:rsid w:val="004D7500"/>
    <w:rsid w:val="004E06EC"/>
    <w:rsid w:val="004E5094"/>
    <w:rsid w:val="004E67EF"/>
    <w:rsid w:val="004E71C9"/>
    <w:rsid w:val="004F3D7A"/>
    <w:rsid w:val="004F43AF"/>
    <w:rsid w:val="004F582F"/>
    <w:rsid w:val="004F66CD"/>
    <w:rsid w:val="005004FC"/>
    <w:rsid w:val="00500F70"/>
    <w:rsid w:val="00502234"/>
    <w:rsid w:val="0051152A"/>
    <w:rsid w:val="00513D6F"/>
    <w:rsid w:val="005147AF"/>
    <w:rsid w:val="00514EA0"/>
    <w:rsid w:val="00530583"/>
    <w:rsid w:val="00534781"/>
    <w:rsid w:val="00535B3F"/>
    <w:rsid w:val="00536075"/>
    <w:rsid w:val="005401D3"/>
    <w:rsid w:val="00540F7D"/>
    <w:rsid w:val="005452D1"/>
    <w:rsid w:val="00555104"/>
    <w:rsid w:val="0055651A"/>
    <w:rsid w:val="005618C2"/>
    <w:rsid w:val="00572C89"/>
    <w:rsid w:val="005733E3"/>
    <w:rsid w:val="00577FC8"/>
    <w:rsid w:val="00587F09"/>
    <w:rsid w:val="00590347"/>
    <w:rsid w:val="00591EF1"/>
    <w:rsid w:val="00592D90"/>
    <w:rsid w:val="0059708B"/>
    <w:rsid w:val="005A2BB6"/>
    <w:rsid w:val="005A38A8"/>
    <w:rsid w:val="005A3FE1"/>
    <w:rsid w:val="005B2D45"/>
    <w:rsid w:val="005B5073"/>
    <w:rsid w:val="005B6555"/>
    <w:rsid w:val="005B7BC5"/>
    <w:rsid w:val="005C11C7"/>
    <w:rsid w:val="005C3541"/>
    <w:rsid w:val="005C3DFA"/>
    <w:rsid w:val="005C5127"/>
    <w:rsid w:val="005D018C"/>
    <w:rsid w:val="005D0CD4"/>
    <w:rsid w:val="005D334B"/>
    <w:rsid w:val="005D3A71"/>
    <w:rsid w:val="005D4BB2"/>
    <w:rsid w:val="005D58EA"/>
    <w:rsid w:val="005D7322"/>
    <w:rsid w:val="005E0EFC"/>
    <w:rsid w:val="005E3B2C"/>
    <w:rsid w:val="005E65E1"/>
    <w:rsid w:val="005F2047"/>
    <w:rsid w:val="005F371C"/>
    <w:rsid w:val="005F3AF6"/>
    <w:rsid w:val="005F57F7"/>
    <w:rsid w:val="005F5ABF"/>
    <w:rsid w:val="005F69B1"/>
    <w:rsid w:val="005F70DB"/>
    <w:rsid w:val="00604E78"/>
    <w:rsid w:val="00607386"/>
    <w:rsid w:val="00612DF2"/>
    <w:rsid w:val="006134C3"/>
    <w:rsid w:val="00620993"/>
    <w:rsid w:val="00623781"/>
    <w:rsid w:val="00624EC6"/>
    <w:rsid w:val="00626E46"/>
    <w:rsid w:val="00633850"/>
    <w:rsid w:val="00633ADC"/>
    <w:rsid w:val="006353E8"/>
    <w:rsid w:val="0063634F"/>
    <w:rsid w:val="006379C4"/>
    <w:rsid w:val="00641092"/>
    <w:rsid w:val="006424DC"/>
    <w:rsid w:val="00645AEC"/>
    <w:rsid w:val="0064712C"/>
    <w:rsid w:val="00647990"/>
    <w:rsid w:val="006508BB"/>
    <w:rsid w:val="00651DC0"/>
    <w:rsid w:val="00652748"/>
    <w:rsid w:val="00661942"/>
    <w:rsid w:val="006649F4"/>
    <w:rsid w:val="00664CD2"/>
    <w:rsid w:val="00665B69"/>
    <w:rsid w:val="00670318"/>
    <w:rsid w:val="00672300"/>
    <w:rsid w:val="006736BF"/>
    <w:rsid w:val="0067737E"/>
    <w:rsid w:val="006821C2"/>
    <w:rsid w:val="0068412C"/>
    <w:rsid w:val="00685FC4"/>
    <w:rsid w:val="00693A03"/>
    <w:rsid w:val="006940A9"/>
    <w:rsid w:val="00695FB1"/>
    <w:rsid w:val="006B4425"/>
    <w:rsid w:val="006B5782"/>
    <w:rsid w:val="006C08B0"/>
    <w:rsid w:val="006C2B81"/>
    <w:rsid w:val="006C2FAF"/>
    <w:rsid w:val="006D217E"/>
    <w:rsid w:val="006D2C7C"/>
    <w:rsid w:val="006D3E90"/>
    <w:rsid w:val="006E4326"/>
    <w:rsid w:val="006E6DAB"/>
    <w:rsid w:val="006F1D37"/>
    <w:rsid w:val="006F7E80"/>
    <w:rsid w:val="00700726"/>
    <w:rsid w:val="00702E28"/>
    <w:rsid w:val="0070614B"/>
    <w:rsid w:val="007105A0"/>
    <w:rsid w:val="00710B51"/>
    <w:rsid w:val="007127B8"/>
    <w:rsid w:val="00712F4B"/>
    <w:rsid w:val="00713FE5"/>
    <w:rsid w:val="007160E9"/>
    <w:rsid w:val="007174B8"/>
    <w:rsid w:val="00720941"/>
    <w:rsid w:val="00723242"/>
    <w:rsid w:val="00727EA4"/>
    <w:rsid w:val="0073079A"/>
    <w:rsid w:val="007329BB"/>
    <w:rsid w:val="0073532F"/>
    <w:rsid w:val="00736B04"/>
    <w:rsid w:val="00737400"/>
    <w:rsid w:val="007405F1"/>
    <w:rsid w:val="007440DF"/>
    <w:rsid w:val="00745B19"/>
    <w:rsid w:val="00746429"/>
    <w:rsid w:val="0076094E"/>
    <w:rsid w:val="007663A5"/>
    <w:rsid w:val="00770E2E"/>
    <w:rsid w:val="007749B2"/>
    <w:rsid w:val="00777512"/>
    <w:rsid w:val="00781BB0"/>
    <w:rsid w:val="00782F1C"/>
    <w:rsid w:val="007A3E0F"/>
    <w:rsid w:val="007A3E29"/>
    <w:rsid w:val="007A6276"/>
    <w:rsid w:val="007B6764"/>
    <w:rsid w:val="007B7A9A"/>
    <w:rsid w:val="007C0F5F"/>
    <w:rsid w:val="007C160D"/>
    <w:rsid w:val="007C2C25"/>
    <w:rsid w:val="007C3E5E"/>
    <w:rsid w:val="007C3FE4"/>
    <w:rsid w:val="007C690D"/>
    <w:rsid w:val="007D2116"/>
    <w:rsid w:val="007D21A3"/>
    <w:rsid w:val="007D3D96"/>
    <w:rsid w:val="007D3DD9"/>
    <w:rsid w:val="007D4E67"/>
    <w:rsid w:val="007D5739"/>
    <w:rsid w:val="007D6610"/>
    <w:rsid w:val="007E1394"/>
    <w:rsid w:val="007F10BC"/>
    <w:rsid w:val="007F22C2"/>
    <w:rsid w:val="007F2899"/>
    <w:rsid w:val="007F6620"/>
    <w:rsid w:val="007F678D"/>
    <w:rsid w:val="007F6DD5"/>
    <w:rsid w:val="00801DEF"/>
    <w:rsid w:val="00803CE8"/>
    <w:rsid w:val="00811CD3"/>
    <w:rsid w:val="00812837"/>
    <w:rsid w:val="0081397E"/>
    <w:rsid w:val="00813F70"/>
    <w:rsid w:val="00815304"/>
    <w:rsid w:val="00816D69"/>
    <w:rsid w:val="0081756C"/>
    <w:rsid w:val="00817C8B"/>
    <w:rsid w:val="00821825"/>
    <w:rsid w:val="008225DF"/>
    <w:rsid w:val="0082504F"/>
    <w:rsid w:val="00827F4F"/>
    <w:rsid w:val="0083333F"/>
    <w:rsid w:val="00840B41"/>
    <w:rsid w:val="00843351"/>
    <w:rsid w:val="00845495"/>
    <w:rsid w:val="0084597D"/>
    <w:rsid w:val="008564F0"/>
    <w:rsid w:val="0086398C"/>
    <w:rsid w:val="00866188"/>
    <w:rsid w:val="008704A8"/>
    <w:rsid w:val="008818A6"/>
    <w:rsid w:val="00882F8F"/>
    <w:rsid w:val="008843D1"/>
    <w:rsid w:val="0088560D"/>
    <w:rsid w:val="00885897"/>
    <w:rsid w:val="00895015"/>
    <w:rsid w:val="00895A1E"/>
    <w:rsid w:val="00896485"/>
    <w:rsid w:val="00897522"/>
    <w:rsid w:val="008A0270"/>
    <w:rsid w:val="008A4BDE"/>
    <w:rsid w:val="008A7C2E"/>
    <w:rsid w:val="008B3AAE"/>
    <w:rsid w:val="008C1461"/>
    <w:rsid w:val="008D3CCE"/>
    <w:rsid w:val="008D4595"/>
    <w:rsid w:val="008E1989"/>
    <w:rsid w:val="008F0EE9"/>
    <w:rsid w:val="008F460B"/>
    <w:rsid w:val="008F4ADA"/>
    <w:rsid w:val="008F55D4"/>
    <w:rsid w:val="008F5E50"/>
    <w:rsid w:val="00903715"/>
    <w:rsid w:val="00906AE3"/>
    <w:rsid w:val="00906CE1"/>
    <w:rsid w:val="00907DA8"/>
    <w:rsid w:val="009164F5"/>
    <w:rsid w:val="00920FF9"/>
    <w:rsid w:val="009228C6"/>
    <w:rsid w:val="00922976"/>
    <w:rsid w:val="00922B83"/>
    <w:rsid w:val="00923D42"/>
    <w:rsid w:val="00924D33"/>
    <w:rsid w:val="00931C3C"/>
    <w:rsid w:val="00935094"/>
    <w:rsid w:val="009352BF"/>
    <w:rsid w:val="00935CEA"/>
    <w:rsid w:val="00941753"/>
    <w:rsid w:val="009422E7"/>
    <w:rsid w:val="009435E3"/>
    <w:rsid w:val="009611D5"/>
    <w:rsid w:val="0096184B"/>
    <w:rsid w:val="009637D9"/>
    <w:rsid w:val="00964616"/>
    <w:rsid w:val="00967408"/>
    <w:rsid w:val="00967E40"/>
    <w:rsid w:val="009745F3"/>
    <w:rsid w:val="00982EF6"/>
    <w:rsid w:val="00992240"/>
    <w:rsid w:val="00995A30"/>
    <w:rsid w:val="0099606C"/>
    <w:rsid w:val="009A0839"/>
    <w:rsid w:val="009B5816"/>
    <w:rsid w:val="009C4215"/>
    <w:rsid w:val="009D462B"/>
    <w:rsid w:val="009D48FD"/>
    <w:rsid w:val="009E4C07"/>
    <w:rsid w:val="009E632D"/>
    <w:rsid w:val="009F0A59"/>
    <w:rsid w:val="009F1D30"/>
    <w:rsid w:val="009F26AC"/>
    <w:rsid w:val="009F2973"/>
    <w:rsid w:val="009F3590"/>
    <w:rsid w:val="009F4489"/>
    <w:rsid w:val="009F57A8"/>
    <w:rsid w:val="009F65F0"/>
    <w:rsid w:val="00A035A1"/>
    <w:rsid w:val="00A0435F"/>
    <w:rsid w:val="00A11528"/>
    <w:rsid w:val="00A21D36"/>
    <w:rsid w:val="00A23670"/>
    <w:rsid w:val="00A3577B"/>
    <w:rsid w:val="00A3642E"/>
    <w:rsid w:val="00A41ABE"/>
    <w:rsid w:val="00A4315F"/>
    <w:rsid w:val="00A43629"/>
    <w:rsid w:val="00A5137C"/>
    <w:rsid w:val="00A814D5"/>
    <w:rsid w:val="00A84563"/>
    <w:rsid w:val="00A84E4F"/>
    <w:rsid w:val="00AA3E34"/>
    <w:rsid w:val="00AA5476"/>
    <w:rsid w:val="00AB0486"/>
    <w:rsid w:val="00AB40AB"/>
    <w:rsid w:val="00AB68D4"/>
    <w:rsid w:val="00AC0EC3"/>
    <w:rsid w:val="00AC129E"/>
    <w:rsid w:val="00AC1336"/>
    <w:rsid w:val="00AD435E"/>
    <w:rsid w:val="00AE235A"/>
    <w:rsid w:val="00AE27ED"/>
    <w:rsid w:val="00AE42DF"/>
    <w:rsid w:val="00AF789C"/>
    <w:rsid w:val="00B0275C"/>
    <w:rsid w:val="00B033C9"/>
    <w:rsid w:val="00B077A2"/>
    <w:rsid w:val="00B07E74"/>
    <w:rsid w:val="00B12419"/>
    <w:rsid w:val="00B13184"/>
    <w:rsid w:val="00B1386A"/>
    <w:rsid w:val="00B22EA6"/>
    <w:rsid w:val="00B23D1D"/>
    <w:rsid w:val="00B2481C"/>
    <w:rsid w:val="00B31D8C"/>
    <w:rsid w:val="00B3451C"/>
    <w:rsid w:val="00B364A9"/>
    <w:rsid w:val="00B373BF"/>
    <w:rsid w:val="00B37619"/>
    <w:rsid w:val="00B42ABE"/>
    <w:rsid w:val="00B44919"/>
    <w:rsid w:val="00B45D0C"/>
    <w:rsid w:val="00B56BB7"/>
    <w:rsid w:val="00B570DA"/>
    <w:rsid w:val="00B655EF"/>
    <w:rsid w:val="00B70F20"/>
    <w:rsid w:val="00B72766"/>
    <w:rsid w:val="00B7681A"/>
    <w:rsid w:val="00B83ED6"/>
    <w:rsid w:val="00B905A0"/>
    <w:rsid w:val="00B913F5"/>
    <w:rsid w:val="00B924C6"/>
    <w:rsid w:val="00B9317A"/>
    <w:rsid w:val="00B946BF"/>
    <w:rsid w:val="00B9570D"/>
    <w:rsid w:val="00B95B15"/>
    <w:rsid w:val="00BA14CF"/>
    <w:rsid w:val="00BA5F3A"/>
    <w:rsid w:val="00BA6BAB"/>
    <w:rsid w:val="00BB1931"/>
    <w:rsid w:val="00BB2CE1"/>
    <w:rsid w:val="00BB2D7D"/>
    <w:rsid w:val="00BB7FBC"/>
    <w:rsid w:val="00BC2581"/>
    <w:rsid w:val="00BC5A28"/>
    <w:rsid w:val="00BD2225"/>
    <w:rsid w:val="00BD3BA2"/>
    <w:rsid w:val="00BD4BB9"/>
    <w:rsid w:val="00BD57A0"/>
    <w:rsid w:val="00BD6585"/>
    <w:rsid w:val="00BE0A63"/>
    <w:rsid w:val="00BE49C5"/>
    <w:rsid w:val="00BF3EE0"/>
    <w:rsid w:val="00BF4D8B"/>
    <w:rsid w:val="00C02735"/>
    <w:rsid w:val="00C0623E"/>
    <w:rsid w:val="00C10378"/>
    <w:rsid w:val="00C12DAD"/>
    <w:rsid w:val="00C14104"/>
    <w:rsid w:val="00C14A2B"/>
    <w:rsid w:val="00C16A13"/>
    <w:rsid w:val="00C1708C"/>
    <w:rsid w:val="00C22CD0"/>
    <w:rsid w:val="00C2617A"/>
    <w:rsid w:val="00C270C9"/>
    <w:rsid w:val="00C34AE1"/>
    <w:rsid w:val="00C3663F"/>
    <w:rsid w:val="00C40FE6"/>
    <w:rsid w:val="00C41FBB"/>
    <w:rsid w:val="00C458F8"/>
    <w:rsid w:val="00C45DAC"/>
    <w:rsid w:val="00C47DE5"/>
    <w:rsid w:val="00C5689C"/>
    <w:rsid w:val="00C60017"/>
    <w:rsid w:val="00C65D5F"/>
    <w:rsid w:val="00C72FE4"/>
    <w:rsid w:val="00C7621E"/>
    <w:rsid w:val="00C83E3E"/>
    <w:rsid w:val="00C864EF"/>
    <w:rsid w:val="00C8799C"/>
    <w:rsid w:val="00CA1F52"/>
    <w:rsid w:val="00CB3CA6"/>
    <w:rsid w:val="00CC0A68"/>
    <w:rsid w:val="00CC31D3"/>
    <w:rsid w:val="00CD1CC9"/>
    <w:rsid w:val="00CD7928"/>
    <w:rsid w:val="00CE3CEA"/>
    <w:rsid w:val="00CE3F7E"/>
    <w:rsid w:val="00CE5328"/>
    <w:rsid w:val="00CE6287"/>
    <w:rsid w:val="00CF1F66"/>
    <w:rsid w:val="00CF21A4"/>
    <w:rsid w:val="00CF5952"/>
    <w:rsid w:val="00CF6D1D"/>
    <w:rsid w:val="00D01252"/>
    <w:rsid w:val="00D109B1"/>
    <w:rsid w:val="00D11B71"/>
    <w:rsid w:val="00D122EE"/>
    <w:rsid w:val="00D13504"/>
    <w:rsid w:val="00D1436A"/>
    <w:rsid w:val="00D16A0A"/>
    <w:rsid w:val="00D17C9A"/>
    <w:rsid w:val="00D227F7"/>
    <w:rsid w:val="00D3057A"/>
    <w:rsid w:val="00D34881"/>
    <w:rsid w:val="00D35E69"/>
    <w:rsid w:val="00D428F7"/>
    <w:rsid w:val="00D42EFA"/>
    <w:rsid w:val="00D435F1"/>
    <w:rsid w:val="00D44BAD"/>
    <w:rsid w:val="00D5394E"/>
    <w:rsid w:val="00D53B2C"/>
    <w:rsid w:val="00D60FE6"/>
    <w:rsid w:val="00D71641"/>
    <w:rsid w:val="00D73008"/>
    <w:rsid w:val="00D8021F"/>
    <w:rsid w:val="00D82C96"/>
    <w:rsid w:val="00D83E36"/>
    <w:rsid w:val="00D90A30"/>
    <w:rsid w:val="00D91E98"/>
    <w:rsid w:val="00D95E7E"/>
    <w:rsid w:val="00D96476"/>
    <w:rsid w:val="00D97F3C"/>
    <w:rsid w:val="00DA2F19"/>
    <w:rsid w:val="00DA5444"/>
    <w:rsid w:val="00DB03A6"/>
    <w:rsid w:val="00DB13AF"/>
    <w:rsid w:val="00DB1E96"/>
    <w:rsid w:val="00DB327E"/>
    <w:rsid w:val="00DB51A2"/>
    <w:rsid w:val="00DC1CA0"/>
    <w:rsid w:val="00DC38BD"/>
    <w:rsid w:val="00DD2254"/>
    <w:rsid w:val="00DD654E"/>
    <w:rsid w:val="00DE4FCD"/>
    <w:rsid w:val="00DE52E3"/>
    <w:rsid w:val="00DF4C7E"/>
    <w:rsid w:val="00DF4F43"/>
    <w:rsid w:val="00DF6155"/>
    <w:rsid w:val="00DF65B8"/>
    <w:rsid w:val="00DF68D7"/>
    <w:rsid w:val="00E000D8"/>
    <w:rsid w:val="00E02059"/>
    <w:rsid w:val="00E06AEC"/>
    <w:rsid w:val="00E254DA"/>
    <w:rsid w:val="00E25534"/>
    <w:rsid w:val="00E2774B"/>
    <w:rsid w:val="00E406D6"/>
    <w:rsid w:val="00E47F79"/>
    <w:rsid w:val="00E47FA5"/>
    <w:rsid w:val="00E53DD1"/>
    <w:rsid w:val="00E56F02"/>
    <w:rsid w:val="00E61287"/>
    <w:rsid w:val="00E62A2D"/>
    <w:rsid w:val="00E64C1D"/>
    <w:rsid w:val="00E64D7C"/>
    <w:rsid w:val="00E65BD5"/>
    <w:rsid w:val="00E71789"/>
    <w:rsid w:val="00E80DE8"/>
    <w:rsid w:val="00E839B7"/>
    <w:rsid w:val="00E9351D"/>
    <w:rsid w:val="00E9426D"/>
    <w:rsid w:val="00E96F2A"/>
    <w:rsid w:val="00EB050B"/>
    <w:rsid w:val="00EB1C8B"/>
    <w:rsid w:val="00EB1E8C"/>
    <w:rsid w:val="00EC7DDE"/>
    <w:rsid w:val="00ED453F"/>
    <w:rsid w:val="00EE6DDA"/>
    <w:rsid w:val="00EF0EAF"/>
    <w:rsid w:val="00EF3F70"/>
    <w:rsid w:val="00F02FC6"/>
    <w:rsid w:val="00F03B92"/>
    <w:rsid w:val="00F04957"/>
    <w:rsid w:val="00F06F7B"/>
    <w:rsid w:val="00F12A93"/>
    <w:rsid w:val="00F20135"/>
    <w:rsid w:val="00F21541"/>
    <w:rsid w:val="00F24CA7"/>
    <w:rsid w:val="00F40478"/>
    <w:rsid w:val="00F54E08"/>
    <w:rsid w:val="00F563EF"/>
    <w:rsid w:val="00F62AFF"/>
    <w:rsid w:val="00F73226"/>
    <w:rsid w:val="00F77BB9"/>
    <w:rsid w:val="00F8064D"/>
    <w:rsid w:val="00F80C02"/>
    <w:rsid w:val="00F81469"/>
    <w:rsid w:val="00F81640"/>
    <w:rsid w:val="00F8603F"/>
    <w:rsid w:val="00F91137"/>
    <w:rsid w:val="00F91909"/>
    <w:rsid w:val="00F91A00"/>
    <w:rsid w:val="00F93E13"/>
    <w:rsid w:val="00F94ADA"/>
    <w:rsid w:val="00F95FFD"/>
    <w:rsid w:val="00F960D1"/>
    <w:rsid w:val="00F9691D"/>
    <w:rsid w:val="00FA01B2"/>
    <w:rsid w:val="00FA30FA"/>
    <w:rsid w:val="00FA398E"/>
    <w:rsid w:val="00FA5F2B"/>
    <w:rsid w:val="00FA6881"/>
    <w:rsid w:val="00FB3406"/>
    <w:rsid w:val="00FB34E7"/>
    <w:rsid w:val="00FB4874"/>
    <w:rsid w:val="00FB48FC"/>
    <w:rsid w:val="00FB503B"/>
    <w:rsid w:val="00FB51CF"/>
    <w:rsid w:val="00FB57BD"/>
    <w:rsid w:val="00FB695C"/>
    <w:rsid w:val="00FC0F6A"/>
    <w:rsid w:val="00FD5CB2"/>
    <w:rsid w:val="00FD5E70"/>
    <w:rsid w:val="00FE0653"/>
    <w:rsid w:val="00FE20B2"/>
    <w:rsid w:val="00FF1BC3"/>
    <w:rsid w:val="00FF3A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F9C52B"/>
  <w15:docId w15:val="{56CF9115-6F29-A948-8860-84C3BFD97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592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2D1"/>
    <w:pPr>
      <w:ind w:left="720"/>
      <w:contextualSpacing/>
    </w:pPr>
    <w:rPr>
      <w:rFonts w:asciiTheme="minorHAnsi" w:eastAsiaTheme="minorHAnsi" w:hAnsiTheme="minorHAnsi" w:cstheme="minorBidi"/>
    </w:rPr>
  </w:style>
  <w:style w:type="character" w:styleId="CommentReference">
    <w:name w:val="annotation reference"/>
    <w:basedOn w:val="DefaultParagraphFont"/>
    <w:uiPriority w:val="99"/>
    <w:unhideWhenUsed/>
    <w:rsid w:val="005452D1"/>
    <w:rPr>
      <w:sz w:val="16"/>
      <w:szCs w:val="16"/>
    </w:rPr>
  </w:style>
  <w:style w:type="paragraph" w:styleId="CommentText">
    <w:name w:val="annotation text"/>
    <w:basedOn w:val="Normal"/>
    <w:link w:val="CommentTextChar"/>
    <w:uiPriority w:val="99"/>
    <w:unhideWhenUsed/>
    <w:rsid w:val="005452D1"/>
    <w:pPr>
      <w:spacing w:after="160"/>
    </w:pPr>
    <w:rPr>
      <w:rFonts w:asciiTheme="minorHAnsi" w:eastAsiaTheme="minorHAnsi" w:hAnsiTheme="minorHAnsi" w:cstheme="minorBidi"/>
      <w:sz w:val="20"/>
      <w:szCs w:val="20"/>
      <w:lang w:val="en-CA"/>
    </w:rPr>
  </w:style>
  <w:style w:type="character" w:customStyle="1" w:styleId="CommentTextChar">
    <w:name w:val="Comment Text Char"/>
    <w:basedOn w:val="DefaultParagraphFont"/>
    <w:link w:val="CommentText"/>
    <w:uiPriority w:val="99"/>
    <w:rsid w:val="005452D1"/>
    <w:rPr>
      <w:sz w:val="20"/>
      <w:szCs w:val="20"/>
      <w:lang w:val="en-CA"/>
    </w:rPr>
  </w:style>
  <w:style w:type="character" w:styleId="Hyperlink">
    <w:name w:val="Hyperlink"/>
    <w:basedOn w:val="DefaultParagraphFont"/>
    <w:uiPriority w:val="99"/>
    <w:unhideWhenUsed/>
    <w:rsid w:val="005452D1"/>
    <w:rPr>
      <w:color w:val="0563C1" w:themeColor="hyperlink"/>
      <w:u w:val="single"/>
    </w:rPr>
  </w:style>
  <w:style w:type="character" w:styleId="UnresolvedMention">
    <w:name w:val="Unresolved Mention"/>
    <w:basedOn w:val="DefaultParagraphFont"/>
    <w:uiPriority w:val="99"/>
    <w:semiHidden/>
    <w:unhideWhenUsed/>
    <w:rsid w:val="005452D1"/>
    <w:rPr>
      <w:color w:val="605E5C"/>
      <w:shd w:val="clear" w:color="auto" w:fill="E1DFDD"/>
    </w:rPr>
  </w:style>
  <w:style w:type="paragraph" w:styleId="Header">
    <w:name w:val="header"/>
    <w:basedOn w:val="Normal"/>
    <w:link w:val="HeaderChar"/>
    <w:uiPriority w:val="99"/>
    <w:unhideWhenUsed/>
    <w:rsid w:val="00BA14CF"/>
    <w:pPr>
      <w:tabs>
        <w:tab w:val="center" w:pos="4680"/>
        <w:tab w:val="right" w:pos="9360"/>
      </w:tabs>
    </w:pPr>
  </w:style>
  <w:style w:type="character" w:customStyle="1" w:styleId="HeaderChar">
    <w:name w:val="Header Char"/>
    <w:basedOn w:val="DefaultParagraphFont"/>
    <w:link w:val="Header"/>
    <w:uiPriority w:val="99"/>
    <w:rsid w:val="00BA14CF"/>
    <w:rPr>
      <w:rFonts w:ascii="Times New Roman" w:eastAsia="Times New Roman" w:hAnsi="Times New Roman" w:cs="Times New Roman"/>
    </w:rPr>
  </w:style>
  <w:style w:type="paragraph" w:styleId="Footer">
    <w:name w:val="footer"/>
    <w:basedOn w:val="Normal"/>
    <w:link w:val="FooterChar"/>
    <w:uiPriority w:val="99"/>
    <w:unhideWhenUsed/>
    <w:rsid w:val="00BA14CF"/>
    <w:pPr>
      <w:tabs>
        <w:tab w:val="center" w:pos="4680"/>
        <w:tab w:val="right" w:pos="9360"/>
      </w:tabs>
    </w:pPr>
  </w:style>
  <w:style w:type="character" w:customStyle="1" w:styleId="FooterChar">
    <w:name w:val="Footer Char"/>
    <w:basedOn w:val="DefaultParagraphFont"/>
    <w:link w:val="Footer"/>
    <w:uiPriority w:val="99"/>
    <w:rsid w:val="00BA14CF"/>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CE6287"/>
    <w:pPr>
      <w:spacing w:after="0"/>
    </w:pPr>
    <w:rPr>
      <w:rFonts w:ascii="Times New Roman" w:eastAsia="Times New Roman" w:hAnsi="Times New Roman" w:cs="Times New Roman"/>
      <w:b/>
      <w:bCs/>
      <w:lang w:val="en-US"/>
    </w:rPr>
  </w:style>
  <w:style w:type="character" w:customStyle="1" w:styleId="CommentSubjectChar">
    <w:name w:val="Comment Subject Char"/>
    <w:basedOn w:val="CommentTextChar"/>
    <w:link w:val="CommentSubject"/>
    <w:uiPriority w:val="99"/>
    <w:semiHidden/>
    <w:rsid w:val="00CE6287"/>
    <w:rPr>
      <w:rFonts w:ascii="Times New Roman" w:eastAsia="Times New Roman" w:hAnsi="Times New Roman" w:cs="Times New Roman"/>
      <w:b/>
      <w:bCs/>
      <w:sz w:val="20"/>
      <w:szCs w:val="20"/>
      <w:lang w:val="en-CA"/>
    </w:rPr>
  </w:style>
  <w:style w:type="paragraph" w:styleId="Revision">
    <w:name w:val="Revision"/>
    <w:hidden/>
    <w:uiPriority w:val="99"/>
    <w:semiHidden/>
    <w:rsid w:val="00BD4BB9"/>
    <w:rPr>
      <w:rFonts w:ascii="Times New Roman" w:eastAsia="Times New Roman" w:hAnsi="Times New Roman" w:cs="Times New Roman"/>
    </w:rPr>
  </w:style>
  <w:style w:type="character" w:customStyle="1" w:styleId="apple-converted-space">
    <w:name w:val="apple-converted-space"/>
    <w:basedOn w:val="DefaultParagraphFont"/>
    <w:rsid w:val="002B07F5"/>
  </w:style>
  <w:style w:type="paragraph" w:customStyle="1" w:styleId="EndNoteBibliographyTitle">
    <w:name w:val="EndNote Bibliography Title"/>
    <w:basedOn w:val="Normal"/>
    <w:link w:val="EndNoteBibliographyTitleChar"/>
    <w:rsid w:val="00907DA8"/>
    <w:pPr>
      <w:jc w:val="center"/>
    </w:pPr>
  </w:style>
  <w:style w:type="character" w:customStyle="1" w:styleId="EndNoteBibliographyTitleChar">
    <w:name w:val="EndNote Bibliography Title Char"/>
    <w:basedOn w:val="DefaultParagraphFont"/>
    <w:link w:val="EndNoteBibliographyTitle"/>
    <w:rsid w:val="00907DA8"/>
    <w:rPr>
      <w:rFonts w:ascii="Times New Roman" w:eastAsia="Times New Roman" w:hAnsi="Times New Roman" w:cs="Times New Roman"/>
    </w:rPr>
  </w:style>
  <w:style w:type="paragraph" w:customStyle="1" w:styleId="EndNoteBibliography">
    <w:name w:val="EndNote Bibliography"/>
    <w:basedOn w:val="Normal"/>
    <w:link w:val="EndNoteBibliographyChar"/>
    <w:rsid w:val="00907DA8"/>
  </w:style>
  <w:style w:type="character" w:customStyle="1" w:styleId="EndNoteBibliographyChar">
    <w:name w:val="EndNote Bibliography Char"/>
    <w:basedOn w:val="DefaultParagraphFont"/>
    <w:link w:val="EndNoteBibliography"/>
    <w:rsid w:val="00907DA8"/>
    <w:rPr>
      <w:rFonts w:ascii="Times New Roman" w:eastAsia="Times New Roman" w:hAnsi="Times New Roman" w:cs="Times New Roman"/>
    </w:rPr>
  </w:style>
  <w:style w:type="paragraph" w:customStyle="1" w:styleId="Heading4">
    <w:name w:val="Heading4"/>
    <w:aliases w:val="H4"/>
    <w:basedOn w:val="Normal"/>
    <w:qFormat/>
    <w:rsid w:val="003D0EEF"/>
    <w:pPr>
      <w:keepNext/>
      <w:spacing w:before="120" w:after="120"/>
      <w:outlineLvl w:val="3"/>
    </w:pPr>
    <w:rPr>
      <w:rFonts w:ascii="Arial" w:hAnsi="Arial" w:cs="Arial"/>
      <w:i/>
      <w:sz w:val="22"/>
      <w:szCs w:val="20"/>
      <w:lang w:val="en-CA"/>
    </w:rPr>
  </w:style>
  <w:style w:type="table" w:styleId="TableGrid">
    <w:name w:val="Table Grid"/>
    <w:basedOn w:val="TableNormal"/>
    <w:uiPriority w:val="39"/>
    <w:rsid w:val="003D0EEF"/>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3D0EEF"/>
    <w:rPr>
      <w:rFonts w:ascii="Times New Roman" w:eastAsia="Times New Roman" w:hAnsi="Times New Roman" w:cs="Times New Roman"/>
      <w:sz w:val="20"/>
      <w:szCs w:val="20"/>
      <w:lang w:val="pt-BR" w:eastAsia="pt-B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normaltextrun">
    <w:name w:val="normaltextrun"/>
    <w:basedOn w:val="DefaultParagraphFont"/>
    <w:rsid w:val="00AE42DF"/>
  </w:style>
  <w:style w:type="paragraph" w:styleId="NormalWeb">
    <w:name w:val="Normal (Web)"/>
    <w:basedOn w:val="Normal"/>
    <w:uiPriority w:val="99"/>
    <w:semiHidden/>
    <w:unhideWhenUsed/>
    <w:rsid w:val="00365861"/>
    <w:pPr>
      <w:spacing w:before="100" w:beforeAutospacing="1" w:after="100" w:afterAutospacing="1"/>
    </w:pPr>
  </w:style>
  <w:style w:type="character" w:styleId="PlaceholderText">
    <w:name w:val="Placeholder Text"/>
    <w:basedOn w:val="DefaultParagraphFont"/>
    <w:uiPriority w:val="99"/>
    <w:semiHidden/>
    <w:rsid w:val="00216882"/>
    <w:rPr>
      <w:color w:val="808080"/>
    </w:rPr>
  </w:style>
  <w:style w:type="table" w:styleId="TableGridLight">
    <w:name w:val="Grid Table Light"/>
    <w:basedOn w:val="TableNormal"/>
    <w:uiPriority w:val="40"/>
    <w:rsid w:val="003D1CED"/>
    <w:rPr>
      <w:sz w:val="22"/>
      <w:szCs w:val="22"/>
      <w:lang w:val="en-C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E64D7C"/>
    <w:rPr>
      <w:rFonts w:ascii="Times New Roman" w:eastAsia="Times New Roman" w:hAnsi="Times New Roman" w:cs="Times New Roman"/>
      <w:sz w:val="20"/>
      <w:szCs w:val="20"/>
      <w:lang w:val="pt-BR" w:eastAsia="pt-BR"/>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FA30FA"/>
    <w:rPr>
      <w:i/>
      <w:iCs/>
    </w:rPr>
  </w:style>
  <w:style w:type="character" w:styleId="LineNumber">
    <w:name w:val="line number"/>
    <w:basedOn w:val="DefaultParagraphFont"/>
    <w:uiPriority w:val="99"/>
    <w:semiHidden/>
    <w:unhideWhenUsed/>
    <w:rsid w:val="008F5E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36960">
      <w:bodyDiv w:val="1"/>
      <w:marLeft w:val="0"/>
      <w:marRight w:val="0"/>
      <w:marTop w:val="0"/>
      <w:marBottom w:val="0"/>
      <w:divBdr>
        <w:top w:val="none" w:sz="0" w:space="0" w:color="auto"/>
        <w:left w:val="none" w:sz="0" w:space="0" w:color="auto"/>
        <w:bottom w:val="none" w:sz="0" w:space="0" w:color="auto"/>
        <w:right w:val="none" w:sz="0" w:space="0" w:color="auto"/>
      </w:divBdr>
    </w:div>
    <w:div w:id="218831447">
      <w:bodyDiv w:val="1"/>
      <w:marLeft w:val="0"/>
      <w:marRight w:val="0"/>
      <w:marTop w:val="0"/>
      <w:marBottom w:val="0"/>
      <w:divBdr>
        <w:top w:val="none" w:sz="0" w:space="0" w:color="auto"/>
        <w:left w:val="none" w:sz="0" w:space="0" w:color="auto"/>
        <w:bottom w:val="none" w:sz="0" w:space="0" w:color="auto"/>
        <w:right w:val="none" w:sz="0" w:space="0" w:color="auto"/>
      </w:divBdr>
    </w:div>
    <w:div w:id="245388347">
      <w:bodyDiv w:val="1"/>
      <w:marLeft w:val="0"/>
      <w:marRight w:val="0"/>
      <w:marTop w:val="0"/>
      <w:marBottom w:val="0"/>
      <w:divBdr>
        <w:top w:val="none" w:sz="0" w:space="0" w:color="auto"/>
        <w:left w:val="none" w:sz="0" w:space="0" w:color="auto"/>
        <w:bottom w:val="none" w:sz="0" w:space="0" w:color="auto"/>
        <w:right w:val="none" w:sz="0" w:space="0" w:color="auto"/>
      </w:divBdr>
    </w:div>
    <w:div w:id="256448809">
      <w:bodyDiv w:val="1"/>
      <w:marLeft w:val="0"/>
      <w:marRight w:val="0"/>
      <w:marTop w:val="0"/>
      <w:marBottom w:val="0"/>
      <w:divBdr>
        <w:top w:val="none" w:sz="0" w:space="0" w:color="auto"/>
        <w:left w:val="none" w:sz="0" w:space="0" w:color="auto"/>
        <w:bottom w:val="none" w:sz="0" w:space="0" w:color="auto"/>
        <w:right w:val="none" w:sz="0" w:space="0" w:color="auto"/>
      </w:divBdr>
    </w:div>
    <w:div w:id="266233403">
      <w:bodyDiv w:val="1"/>
      <w:marLeft w:val="0"/>
      <w:marRight w:val="0"/>
      <w:marTop w:val="0"/>
      <w:marBottom w:val="0"/>
      <w:divBdr>
        <w:top w:val="none" w:sz="0" w:space="0" w:color="auto"/>
        <w:left w:val="none" w:sz="0" w:space="0" w:color="auto"/>
        <w:bottom w:val="none" w:sz="0" w:space="0" w:color="auto"/>
        <w:right w:val="none" w:sz="0" w:space="0" w:color="auto"/>
      </w:divBdr>
      <w:divsChild>
        <w:div w:id="1689210045">
          <w:marLeft w:val="0"/>
          <w:marRight w:val="0"/>
          <w:marTop w:val="0"/>
          <w:marBottom w:val="0"/>
          <w:divBdr>
            <w:top w:val="none" w:sz="0" w:space="0" w:color="auto"/>
            <w:left w:val="none" w:sz="0" w:space="0" w:color="auto"/>
            <w:bottom w:val="none" w:sz="0" w:space="0" w:color="auto"/>
            <w:right w:val="none" w:sz="0" w:space="0" w:color="auto"/>
          </w:divBdr>
          <w:divsChild>
            <w:div w:id="1682927012">
              <w:marLeft w:val="0"/>
              <w:marRight w:val="0"/>
              <w:marTop w:val="0"/>
              <w:marBottom w:val="0"/>
              <w:divBdr>
                <w:top w:val="none" w:sz="0" w:space="0" w:color="auto"/>
                <w:left w:val="none" w:sz="0" w:space="0" w:color="auto"/>
                <w:bottom w:val="none" w:sz="0" w:space="0" w:color="auto"/>
                <w:right w:val="none" w:sz="0" w:space="0" w:color="auto"/>
              </w:divBdr>
              <w:divsChild>
                <w:div w:id="16739238">
                  <w:marLeft w:val="0"/>
                  <w:marRight w:val="0"/>
                  <w:marTop w:val="0"/>
                  <w:marBottom w:val="0"/>
                  <w:divBdr>
                    <w:top w:val="none" w:sz="0" w:space="0" w:color="auto"/>
                    <w:left w:val="none" w:sz="0" w:space="0" w:color="auto"/>
                    <w:bottom w:val="none" w:sz="0" w:space="0" w:color="auto"/>
                    <w:right w:val="none" w:sz="0" w:space="0" w:color="auto"/>
                  </w:divBdr>
                  <w:divsChild>
                    <w:div w:id="529924693">
                      <w:marLeft w:val="0"/>
                      <w:marRight w:val="0"/>
                      <w:marTop w:val="0"/>
                      <w:marBottom w:val="0"/>
                      <w:divBdr>
                        <w:top w:val="none" w:sz="0" w:space="0" w:color="auto"/>
                        <w:left w:val="none" w:sz="0" w:space="0" w:color="auto"/>
                        <w:bottom w:val="none" w:sz="0" w:space="0" w:color="auto"/>
                        <w:right w:val="none" w:sz="0" w:space="0" w:color="auto"/>
                      </w:divBdr>
                      <w:divsChild>
                        <w:div w:id="159805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1523820">
      <w:bodyDiv w:val="1"/>
      <w:marLeft w:val="0"/>
      <w:marRight w:val="0"/>
      <w:marTop w:val="0"/>
      <w:marBottom w:val="0"/>
      <w:divBdr>
        <w:top w:val="none" w:sz="0" w:space="0" w:color="auto"/>
        <w:left w:val="none" w:sz="0" w:space="0" w:color="auto"/>
        <w:bottom w:val="none" w:sz="0" w:space="0" w:color="auto"/>
        <w:right w:val="none" w:sz="0" w:space="0" w:color="auto"/>
      </w:divBdr>
    </w:div>
    <w:div w:id="302776866">
      <w:bodyDiv w:val="1"/>
      <w:marLeft w:val="0"/>
      <w:marRight w:val="0"/>
      <w:marTop w:val="0"/>
      <w:marBottom w:val="0"/>
      <w:divBdr>
        <w:top w:val="none" w:sz="0" w:space="0" w:color="auto"/>
        <w:left w:val="none" w:sz="0" w:space="0" w:color="auto"/>
        <w:bottom w:val="none" w:sz="0" w:space="0" w:color="auto"/>
        <w:right w:val="none" w:sz="0" w:space="0" w:color="auto"/>
      </w:divBdr>
    </w:div>
    <w:div w:id="445318404">
      <w:bodyDiv w:val="1"/>
      <w:marLeft w:val="0"/>
      <w:marRight w:val="0"/>
      <w:marTop w:val="0"/>
      <w:marBottom w:val="0"/>
      <w:divBdr>
        <w:top w:val="none" w:sz="0" w:space="0" w:color="auto"/>
        <w:left w:val="none" w:sz="0" w:space="0" w:color="auto"/>
        <w:bottom w:val="none" w:sz="0" w:space="0" w:color="auto"/>
        <w:right w:val="none" w:sz="0" w:space="0" w:color="auto"/>
      </w:divBdr>
    </w:div>
    <w:div w:id="667371828">
      <w:bodyDiv w:val="1"/>
      <w:marLeft w:val="0"/>
      <w:marRight w:val="0"/>
      <w:marTop w:val="0"/>
      <w:marBottom w:val="0"/>
      <w:divBdr>
        <w:top w:val="none" w:sz="0" w:space="0" w:color="auto"/>
        <w:left w:val="none" w:sz="0" w:space="0" w:color="auto"/>
        <w:bottom w:val="none" w:sz="0" w:space="0" w:color="auto"/>
        <w:right w:val="none" w:sz="0" w:space="0" w:color="auto"/>
      </w:divBdr>
    </w:div>
    <w:div w:id="695153655">
      <w:bodyDiv w:val="1"/>
      <w:marLeft w:val="0"/>
      <w:marRight w:val="0"/>
      <w:marTop w:val="0"/>
      <w:marBottom w:val="0"/>
      <w:divBdr>
        <w:top w:val="none" w:sz="0" w:space="0" w:color="auto"/>
        <w:left w:val="none" w:sz="0" w:space="0" w:color="auto"/>
        <w:bottom w:val="none" w:sz="0" w:space="0" w:color="auto"/>
        <w:right w:val="none" w:sz="0" w:space="0" w:color="auto"/>
      </w:divBdr>
    </w:div>
    <w:div w:id="736905003">
      <w:bodyDiv w:val="1"/>
      <w:marLeft w:val="0"/>
      <w:marRight w:val="0"/>
      <w:marTop w:val="0"/>
      <w:marBottom w:val="0"/>
      <w:divBdr>
        <w:top w:val="none" w:sz="0" w:space="0" w:color="auto"/>
        <w:left w:val="none" w:sz="0" w:space="0" w:color="auto"/>
        <w:bottom w:val="none" w:sz="0" w:space="0" w:color="auto"/>
        <w:right w:val="none" w:sz="0" w:space="0" w:color="auto"/>
      </w:divBdr>
    </w:div>
    <w:div w:id="853305967">
      <w:bodyDiv w:val="1"/>
      <w:marLeft w:val="0"/>
      <w:marRight w:val="0"/>
      <w:marTop w:val="0"/>
      <w:marBottom w:val="0"/>
      <w:divBdr>
        <w:top w:val="none" w:sz="0" w:space="0" w:color="auto"/>
        <w:left w:val="none" w:sz="0" w:space="0" w:color="auto"/>
        <w:bottom w:val="none" w:sz="0" w:space="0" w:color="auto"/>
        <w:right w:val="none" w:sz="0" w:space="0" w:color="auto"/>
      </w:divBdr>
    </w:div>
    <w:div w:id="1165172769">
      <w:bodyDiv w:val="1"/>
      <w:marLeft w:val="0"/>
      <w:marRight w:val="0"/>
      <w:marTop w:val="0"/>
      <w:marBottom w:val="0"/>
      <w:divBdr>
        <w:top w:val="none" w:sz="0" w:space="0" w:color="auto"/>
        <w:left w:val="none" w:sz="0" w:space="0" w:color="auto"/>
        <w:bottom w:val="none" w:sz="0" w:space="0" w:color="auto"/>
        <w:right w:val="none" w:sz="0" w:space="0" w:color="auto"/>
      </w:divBdr>
    </w:div>
    <w:div w:id="1216042594">
      <w:bodyDiv w:val="1"/>
      <w:marLeft w:val="0"/>
      <w:marRight w:val="0"/>
      <w:marTop w:val="0"/>
      <w:marBottom w:val="0"/>
      <w:divBdr>
        <w:top w:val="none" w:sz="0" w:space="0" w:color="auto"/>
        <w:left w:val="none" w:sz="0" w:space="0" w:color="auto"/>
        <w:bottom w:val="none" w:sz="0" w:space="0" w:color="auto"/>
        <w:right w:val="none" w:sz="0" w:space="0" w:color="auto"/>
      </w:divBdr>
    </w:div>
    <w:div w:id="1279142702">
      <w:bodyDiv w:val="1"/>
      <w:marLeft w:val="0"/>
      <w:marRight w:val="0"/>
      <w:marTop w:val="0"/>
      <w:marBottom w:val="0"/>
      <w:divBdr>
        <w:top w:val="none" w:sz="0" w:space="0" w:color="auto"/>
        <w:left w:val="none" w:sz="0" w:space="0" w:color="auto"/>
        <w:bottom w:val="none" w:sz="0" w:space="0" w:color="auto"/>
        <w:right w:val="none" w:sz="0" w:space="0" w:color="auto"/>
      </w:divBdr>
    </w:div>
    <w:div w:id="1558708795">
      <w:bodyDiv w:val="1"/>
      <w:marLeft w:val="0"/>
      <w:marRight w:val="0"/>
      <w:marTop w:val="0"/>
      <w:marBottom w:val="0"/>
      <w:divBdr>
        <w:top w:val="none" w:sz="0" w:space="0" w:color="auto"/>
        <w:left w:val="none" w:sz="0" w:space="0" w:color="auto"/>
        <w:bottom w:val="none" w:sz="0" w:space="0" w:color="auto"/>
        <w:right w:val="none" w:sz="0" w:space="0" w:color="auto"/>
      </w:divBdr>
      <w:divsChild>
        <w:div w:id="599021913">
          <w:marLeft w:val="0"/>
          <w:marRight w:val="0"/>
          <w:marTop w:val="0"/>
          <w:marBottom w:val="0"/>
          <w:divBdr>
            <w:top w:val="none" w:sz="0" w:space="0" w:color="auto"/>
            <w:left w:val="none" w:sz="0" w:space="0" w:color="auto"/>
            <w:bottom w:val="none" w:sz="0" w:space="0" w:color="auto"/>
            <w:right w:val="none" w:sz="0" w:space="0" w:color="auto"/>
          </w:divBdr>
        </w:div>
        <w:div w:id="721443654">
          <w:marLeft w:val="0"/>
          <w:marRight w:val="0"/>
          <w:marTop w:val="0"/>
          <w:marBottom w:val="0"/>
          <w:divBdr>
            <w:top w:val="none" w:sz="0" w:space="0" w:color="auto"/>
            <w:left w:val="none" w:sz="0" w:space="0" w:color="auto"/>
            <w:bottom w:val="none" w:sz="0" w:space="0" w:color="auto"/>
            <w:right w:val="none" w:sz="0" w:space="0" w:color="auto"/>
          </w:divBdr>
        </w:div>
        <w:div w:id="1962803495">
          <w:marLeft w:val="0"/>
          <w:marRight w:val="0"/>
          <w:marTop w:val="0"/>
          <w:marBottom w:val="0"/>
          <w:divBdr>
            <w:top w:val="none" w:sz="0" w:space="0" w:color="auto"/>
            <w:left w:val="none" w:sz="0" w:space="0" w:color="auto"/>
            <w:bottom w:val="none" w:sz="0" w:space="0" w:color="auto"/>
            <w:right w:val="none" w:sz="0" w:space="0" w:color="auto"/>
          </w:divBdr>
        </w:div>
      </w:divsChild>
    </w:div>
    <w:div w:id="1670716276">
      <w:bodyDiv w:val="1"/>
      <w:marLeft w:val="0"/>
      <w:marRight w:val="0"/>
      <w:marTop w:val="0"/>
      <w:marBottom w:val="0"/>
      <w:divBdr>
        <w:top w:val="none" w:sz="0" w:space="0" w:color="auto"/>
        <w:left w:val="none" w:sz="0" w:space="0" w:color="auto"/>
        <w:bottom w:val="none" w:sz="0" w:space="0" w:color="auto"/>
        <w:right w:val="none" w:sz="0" w:space="0" w:color="auto"/>
      </w:divBdr>
    </w:div>
    <w:div w:id="20008889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immunology-and-microbiology/agar-plate" TargetMode="External"/><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ettings" Target="settings.xml"/><Relationship Id="rId21" Type="http://schemas.openxmlformats.org/officeDocument/2006/relationships/chart" Target="charts/chart11.xml"/><Relationship Id="rId7" Type="http://schemas.openxmlformats.org/officeDocument/2006/relationships/hyperlink" Target="mailto:" TargetMode="Externa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hart" Target="charts/chart5.xml"/><Relationship Id="rId23" Type="http://schemas.openxmlformats.org/officeDocument/2006/relationships/chart" Target="charts/chart12.xml"/><Relationship Id="rId10" Type="http://schemas.openxmlformats.org/officeDocument/2006/relationships/image" Target="media/image1.tiff"/><Relationship Id="rId19" Type="http://schemas.openxmlformats.org/officeDocument/2006/relationships/chart" Target="charts/chart9.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4.xml"/><Relationship Id="rId22" Type="http://schemas.openxmlformats.org/officeDocument/2006/relationships/image" Target="media/image3.tiff"/></Relationships>
</file>

<file path=word/charts/_rels/chart1.xml.rels><?xml version="1.0" encoding="UTF-8" standalone="yes"?>
<Relationships xmlns="http://schemas.openxmlformats.org/package/2006/relationships"><Relationship Id="rId3" Type="http://schemas.openxmlformats.org/officeDocument/2006/relationships/oleObject" Target="file:////Users\rezadavoodi\Downloads\1st%20Oct-kk.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2.xml"/></Relationships>
</file>

<file path=word/charts/_rels/chart4.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3.xml"/></Relationships>
</file>

<file path=word/charts/_rels/chart5.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chartUserShapes" Target="../drawings/drawing4.xml"/></Relationships>
</file>

<file path=word/charts/_rels/chart6.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5.xml"/></Relationships>
</file>

<file path=word/charts/_rels/chart7.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chartUserShapes" Target="../drawings/drawing6.xml"/></Relationships>
</file>

<file path=word/charts/_rels/chart8.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7.xml"/></Relationships>
</file>

<file path=word/charts/_rels/chart9.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chartUserShapes" Target="../drawings/drawing8.xml"/></Relationships>
</file>

<file path=word/charts/_rels/chart10.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9.xml"/></Relationships>
</file>

<file path=word/charts/_rels/chart11.xml.rels><?xml version="1.0" encoding="UTF-8" standalone="yes"?>
<Relationships xmlns="http://schemas.openxmlformats.org/package/2006/relationships"><Relationship Id="rId3" Type="http://schemas.openxmlformats.org/officeDocument/2006/relationships/oleObject" Target="file:////Users/rezadavoodi/Downloads/dgdf-Saba%20Mod.xlsx" TargetMode="Externa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10.xml"/></Relationships>
</file>

<file path=word/charts/_rels/chart12.xml.rels><?xml version="1.0" encoding="UTF-8" standalone="yes"?>
<Relationships xmlns="http://schemas.openxmlformats.org/package/2006/relationships"><Relationship Id="rId3" Type="http://schemas.openxmlformats.org/officeDocument/2006/relationships/oleObject" Target="file:////Users/rezadavoodi/Documents/dgdf.xlsx"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80994951879187"/>
          <c:y val="6.8918965909508634E-2"/>
          <c:w val="0.82056109969750735"/>
          <c:h val="0.74989043440918413"/>
        </c:manualLayout>
      </c:layout>
      <c:scatterChart>
        <c:scatterStyle val="lineMarker"/>
        <c:varyColors val="0"/>
        <c:ser>
          <c:idx val="1"/>
          <c:order val="0"/>
          <c:tx>
            <c:v>Anthracene</c:v>
          </c:tx>
          <c:spPr>
            <a:ln w="9525" cap="rnd">
              <a:solidFill>
                <a:schemeClr val="tx1"/>
              </a:solidFill>
              <a:prstDash val="dash"/>
              <a:round/>
            </a:ln>
            <a:effectLst/>
          </c:spPr>
          <c:marker>
            <c:symbol val="triangle"/>
            <c:size val="9"/>
            <c:spPr>
              <a:solidFill>
                <a:schemeClr val="bg1"/>
              </a:solidFill>
              <a:ln w="9525">
                <a:solidFill>
                  <a:schemeClr val="tx1"/>
                </a:solidFill>
              </a:ln>
              <a:effectLst/>
            </c:spPr>
          </c:marker>
          <c:errBars>
            <c:errDir val="y"/>
            <c:errBarType val="both"/>
            <c:errValType val="cust"/>
            <c:noEndCap val="0"/>
            <c:plus>
              <c:numRef>
                <c:f>'Sheet1 (2)'!$P$16:$P$21</c:f>
                <c:numCache>
                  <c:formatCode>General</c:formatCode>
                  <c:ptCount val="6"/>
                  <c:pt idx="0">
                    <c:v>0</c:v>
                  </c:pt>
                  <c:pt idx="1">
                    <c:v>3.3333333333333333E-2</c:v>
                  </c:pt>
                  <c:pt idx="2">
                    <c:v>9.9999999999999992E-2</c:v>
                  </c:pt>
                  <c:pt idx="3">
                    <c:v>0.06</c:v>
                  </c:pt>
                  <c:pt idx="4">
                    <c:v>6.6666666666666666E-2</c:v>
                  </c:pt>
                  <c:pt idx="5">
                    <c:v>3.3333333333333333E-2</c:v>
                  </c:pt>
                </c:numCache>
              </c:numRef>
            </c:plus>
            <c:minus>
              <c:numRef>
                <c:f>'Sheet1 (2)'!$P$16:$P$21</c:f>
                <c:numCache>
                  <c:formatCode>General</c:formatCode>
                  <c:ptCount val="6"/>
                  <c:pt idx="0">
                    <c:v>0</c:v>
                  </c:pt>
                  <c:pt idx="1">
                    <c:v>3.3333333333333333E-2</c:v>
                  </c:pt>
                  <c:pt idx="2">
                    <c:v>9.9999999999999992E-2</c:v>
                  </c:pt>
                  <c:pt idx="3">
                    <c:v>0.06</c:v>
                  </c:pt>
                  <c:pt idx="4">
                    <c:v>6.6666666666666666E-2</c:v>
                  </c:pt>
                  <c:pt idx="5">
                    <c:v>3.3333333333333333E-2</c:v>
                  </c:pt>
                </c:numCache>
              </c:numRef>
            </c:minus>
            <c:spPr>
              <a:noFill/>
              <a:ln w="9525" cap="flat" cmpd="sng" algn="ctr">
                <a:solidFill>
                  <a:schemeClr val="tx1"/>
                </a:solidFill>
                <a:round/>
              </a:ln>
              <a:effectLst/>
            </c:spPr>
          </c:errBars>
          <c:xVal>
            <c:numRef>
              <c:f>'Sheet1 (2)'!$I$16:$I$21</c:f>
              <c:numCache>
                <c:formatCode>General</c:formatCode>
                <c:ptCount val="6"/>
                <c:pt idx="0">
                  <c:v>0</c:v>
                </c:pt>
                <c:pt idx="1">
                  <c:v>15</c:v>
                </c:pt>
                <c:pt idx="2">
                  <c:v>30</c:v>
                </c:pt>
                <c:pt idx="3">
                  <c:v>45</c:v>
                </c:pt>
                <c:pt idx="4">
                  <c:v>120</c:v>
                </c:pt>
                <c:pt idx="5">
                  <c:v>120</c:v>
                </c:pt>
              </c:numCache>
            </c:numRef>
          </c:xVal>
          <c:yVal>
            <c:numRef>
              <c:f>'Sheet1 (2)'!$K$16:$K$21</c:f>
              <c:numCache>
                <c:formatCode>General</c:formatCode>
                <c:ptCount val="6"/>
                <c:pt idx="0">
                  <c:v>0</c:v>
                </c:pt>
                <c:pt idx="1">
                  <c:v>0.51188363905973999</c:v>
                </c:pt>
                <c:pt idx="2">
                  <c:v>0.78805788087798001</c:v>
                </c:pt>
                <c:pt idx="3">
                  <c:v>0.87011117784129999</c:v>
                </c:pt>
                <c:pt idx="4">
                  <c:v>0.99177025295097998</c:v>
                </c:pt>
                <c:pt idx="5">
                  <c:v>24</c:v>
                </c:pt>
              </c:numCache>
            </c:numRef>
          </c:yVal>
          <c:smooth val="0"/>
          <c:extLst>
            <c:ext xmlns:c16="http://schemas.microsoft.com/office/drawing/2014/chart" uri="{C3380CC4-5D6E-409C-BE32-E72D297353CC}">
              <c16:uniqueId val="{00000000-9F9C-3441-88C1-9F6FF41AFA9B}"/>
            </c:ext>
          </c:extLst>
        </c:ser>
        <c:ser>
          <c:idx val="2"/>
          <c:order val="1"/>
          <c:tx>
            <c:v>Phenanthrene</c:v>
          </c:tx>
          <c:spPr>
            <a:ln w="9525" cap="rnd">
              <a:solidFill>
                <a:schemeClr val="tx1"/>
              </a:solidFill>
              <a:prstDash val="dash"/>
              <a:round/>
            </a:ln>
            <a:effectLst/>
          </c:spPr>
          <c:marker>
            <c:symbol val="square"/>
            <c:size val="8"/>
            <c:spPr>
              <a:solidFill>
                <a:schemeClr val="bg1"/>
              </a:solidFill>
              <a:ln w="9525">
                <a:solidFill>
                  <a:schemeClr val="tx1"/>
                </a:solidFill>
              </a:ln>
              <a:effectLst/>
            </c:spPr>
          </c:marker>
          <c:errBars>
            <c:errDir val="y"/>
            <c:errBarType val="both"/>
            <c:errValType val="cust"/>
            <c:noEndCap val="0"/>
            <c:plus>
              <c:numRef>
                <c:f>'Sheet1 (2)'!$Q$16:$Q$21</c:f>
                <c:numCache>
                  <c:formatCode>General</c:formatCode>
                  <c:ptCount val="6"/>
                  <c:pt idx="0">
                    <c:v>0</c:v>
                  </c:pt>
                  <c:pt idx="1">
                    <c:v>1.2500000000000001E-2</c:v>
                  </c:pt>
                  <c:pt idx="2">
                    <c:v>2.5000000000000001E-2</c:v>
                  </c:pt>
                  <c:pt idx="3">
                    <c:v>7.4999999999999997E-2</c:v>
                  </c:pt>
                  <c:pt idx="4">
                    <c:v>0.05</c:v>
                  </c:pt>
                  <c:pt idx="5">
                    <c:v>2.5000000000000001E-2</c:v>
                  </c:pt>
                </c:numCache>
              </c:numRef>
            </c:plus>
            <c:minus>
              <c:numRef>
                <c:f>'Sheet1 (2)'!$Q$16:$Q$21</c:f>
                <c:numCache>
                  <c:formatCode>General</c:formatCode>
                  <c:ptCount val="6"/>
                  <c:pt idx="0">
                    <c:v>0</c:v>
                  </c:pt>
                  <c:pt idx="1">
                    <c:v>1.2500000000000001E-2</c:v>
                  </c:pt>
                  <c:pt idx="2">
                    <c:v>2.5000000000000001E-2</c:v>
                  </c:pt>
                  <c:pt idx="3">
                    <c:v>7.4999999999999997E-2</c:v>
                  </c:pt>
                  <c:pt idx="4">
                    <c:v>0.05</c:v>
                  </c:pt>
                  <c:pt idx="5">
                    <c:v>2.5000000000000001E-2</c:v>
                  </c:pt>
                </c:numCache>
              </c:numRef>
            </c:minus>
            <c:spPr>
              <a:noFill/>
              <a:ln w="9525" cap="flat" cmpd="sng" algn="ctr">
                <a:solidFill>
                  <a:schemeClr val="tx1">
                    <a:lumMod val="65000"/>
                    <a:lumOff val="35000"/>
                  </a:schemeClr>
                </a:solidFill>
                <a:round/>
              </a:ln>
              <a:effectLst/>
            </c:spPr>
          </c:errBars>
          <c:xVal>
            <c:numRef>
              <c:f>'Sheet1 (2)'!$I$16:$I$21</c:f>
              <c:numCache>
                <c:formatCode>General</c:formatCode>
                <c:ptCount val="6"/>
                <c:pt idx="0">
                  <c:v>0</c:v>
                </c:pt>
                <c:pt idx="1">
                  <c:v>15</c:v>
                </c:pt>
                <c:pt idx="2">
                  <c:v>30</c:v>
                </c:pt>
                <c:pt idx="3">
                  <c:v>45</c:v>
                </c:pt>
                <c:pt idx="4">
                  <c:v>120</c:v>
                </c:pt>
                <c:pt idx="5">
                  <c:v>120</c:v>
                </c:pt>
              </c:numCache>
            </c:numRef>
          </c:xVal>
          <c:yVal>
            <c:numRef>
              <c:f>'Sheet1 (2)'!$L$16:$L$21</c:f>
              <c:numCache>
                <c:formatCode>General</c:formatCode>
                <c:ptCount val="6"/>
                <c:pt idx="0">
                  <c:v>0</c:v>
                </c:pt>
                <c:pt idx="1">
                  <c:v>0.41801849429999999</c:v>
                </c:pt>
                <c:pt idx="2">
                  <c:v>0.58289476570919996</c:v>
                </c:pt>
                <c:pt idx="3">
                  <c:v>0.79735002300000002</c:v>
                </c:pt>
                <c:pt idx="4">
                  <c:v>0.96526474105526139</c:v>
                </c:pt>
                <c:pt idx="5">
                  <c:v>21</c:v>
                </c:pt>
              </c:numCache>
            </c:numRef>
          </c:yVal>
          <c:smooth val="0"/>
          <c:extLst>
            <c:ext xmlns:c16="http://schemas.microsoft.com/office/drawing/2014/chart" uri="{C3380CC4-5D6E-409C-BE32-E72D297353CC}">
              <c16:uniqueId val="{00000001-9F9C-3441-88C1-9F6FF41AFA9B}"/>
            </c:ext>
          </c:extLst>
        </c:ser>
        <c:ser>
          <c:idx val="3"/>
          <c:order val="2"/>
          <c:tx>
            <c:v>Pyrene</c:v>
          </c:tx>
          <c:spPr>
            <a:ln w="9525" cap="rnd">
              <a:solidFill>
                <a:schemeClr val="tx1"/>
              </a:solidFill>
              <a:prstDash val="dash"/>
              <a:round/>
            </a:ln>
            <a:effectLst/>
          </c:spPr>
          <c:marker>
            <c:symbol val="x"/>
            <c:size val="7"/>
            <c:spPr>
              <a:solidFill>
                <a:schemeClr val="bg1"/>
              </a:solidFill>
              <a:ln w="9525">
                <a:solidFill>
                  <a:schemeClr val="tx1"/>
                </a:solidFill>
              </a:ln>
              <a:effectLst/>
            </c:spPr>
          </c:marker>
          <c:errBars>
            <c:errDir val="y"/>
            <c:errBarType val="both"/>
            <c:errValType val="cust"/>
            <c:noEndCap val="0"/>
            <c:plus>
              <c:numRef>
                <c:f>'Sheet1 (2)'!$S$16:$S$21</c:f>
                <c:numCache>
                  <c:formatCode>General</c:formatCode>
                  <c:ptCount val="6"/>
                  <c:pt idx="0">
                    <c:v>0</c:v>
                  </c:pt>
                  <c:pt idx="1">
                    <c:v>3.3333333333333333E-2</c:v>
                  </c:pt>
                  <c:pt idx="2">
                    <c:v>0.05</c:v>
                  </c:pt>
                  <c:pt idx="3">
                    <c:v>0.05</c:v>
                  </c:pt>
                  <c:pt idx="4">
                    <c:v>6.6666666666666666E-2</c:v>
                  </c:pt>
                  <c:pt idx="5">
                    <c:v>3.3333333333333333E-2</c:v>
                  </c:pt>
                </c:numCache>
              </c:numRef>
            </c:plus>
            <c:minus>
              <c:numRef>
                <c:f>'Sheet1 (2)'!$S$16:$S$21</c:f>
                <c:numCache>
                  <c:formatCode>General</c:formatCode>
                  <c:ptCount val="6"/>
                  <c:pt idx="0">
                    <c:v>0</c:v>
                  </c:pt>
                  <c:pt idx="1">
                    <c:v>3.3333333333333333E-2</c:v>
                  </c:pt>
                  <c:pt idx="2">
                    <c:v>0.05</c:v>
                  </c:pt>
                  <c:pt idx="3">
                    <c:v>0.05</c:v>
                  </c:pt>
                  <c:pt idx="4">
                    <c:v>6.6666666666666666E-2</c:v>
                  </c:pt>
                  <c:pt idx="5">
                    <c:v>3.3333333333333333E-2</c:v>
                  </c:pt>
                </c:numCache>
              </c:numRef>
            </c:minus>
            <c:spPr>
              <a:noFill/>
              <a:ln w="9525" cap="flat" cmpd="sng" algn="ctr">
                <a:solidFill>
                  <a:schemeClr val="tx1">
                    <a:lumMod val="65000"/>
                    <a:lumOff val="35000"/>
                  </a:schemeClr>
                </a:solidFill>
                <a:round/>
              </a:ln>
              <a:effectLst/>
            </c:spPr>
          </c:errBars>
          <c:xVal>
            <c:numRef>
              <c:f>'Sheet1 (2)'!$I$16:$I$21</c:f>
              <c:numCache>
                <c:formatCode>General</c:formatCode>
                <c:ptCount val="6"/>
                <c:pt idx="0">
                  <c:v>0</c:v>
                </c:pt>
                <c:pt idx="1">
                  <c:v>15</c:v>
                </c:pt>
                <c:pt idx="2">
                  <c:v>30</c:v>
                </c:pt>
                <c:pt idx="3">
                  <c:v>45</c:v>
                </c:pt>
                <c:pt idx="4">
                  <c:v>120</c:v>
                </c:pt>
                <c:pt idx="5">
                  <c:v>120</c:v>
                </c:pt>
              </c:numCache>
            </c:numRef>
          </c:xVal>
          <c:yVal>
            <c:numRef>
              <c:f>'Sheet1 (2)'!$M$16:$M$21</c:f>
              <c:numCache>
                <c:formatCode>General</c:formatCode>
                <c:ptCount val="6"/>
                <c:pt idx="0">
                  <c:v>0</c:v>
                </c:pt>
                <c:pt idx="1">
                  <c:v>0.31036620505662998</c:v>
                </c:pt>
                <c:pt idx="2">
                  <c:v>0.54251747626010005</c:v>
                </c:pt>
                <c:pt idx="3">
                  <c:v>0.75141933777059</c:v>
                </c:pt>
                <c:pt idx="4">
                  <c:v>0.88467487896193742</c:v>
                </c:pt>
                <c:pt idx="5">
                  <c:v>9</c:v>
                </c:pt>
              </c:numCache>
            </c:numRef>
          </c:yVal>
          <c:smooth val="0"/>
          <c:extLst>
            <c:ext xmlns:c16="http://schemas.microsoft.com/office/drawing/2014/chart" uri="{C3380CC4-5D6E-409C-BE32-E72D297353CC}">
              <c16:uniqueId val="{00000002-9F9C-3441-88C1-9F6FF41AFA9B}"/>
            </c:ext>
          </c:extLst>
        </c:ser>
        <c:dLbls>
          <c:showLegendKey val="0"/>
          <c:showVal val="0"/>
          <c:showCatName val="0"/>
          <c:showSerName val="0"/>
          <c:showPercent val="0"/>
          <c:showBubbleSize val="0"/>
        </c:dLbls>
        <c:axId val="1021984160"/>
        <c:axId val="912205376"/>
      </c:scatterChart>
      <c:valAx>
        <c:axId val="1021984160"/>
        <c:scaling>
          <c:orientation val="minMax"/>
          <c:max val="120"/>
        </c:scaling>
        <c:delete val="0"/>
        <c:axPos val="b"/>
        <c:title>
          <c:tx>
            <c:rich>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t>Time (min)</a:t>
                </a:r>
              </a:p>
            </c:rich>
          </c:tx>
          <c:layout>
            <c:manualLayout>
              <c:xMode val="edge"/>
              <c:yMode val="edge"/>
              <c:x val="0.45239304612722459"/>
              <c:y val="0.90928263216257477"/>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912205376"/>
        <c:crosses val="autoZero"/>
        <c:crossBetween val="midCat"/>
      </c:valAx>
      <c:valAx>
        <c:axId val="912205376"/>
        <c:scaling>
          <c:orientation val="minMax"/>
          <c:max val="1"/>
          <c:min val="0"/>
        </c:scaling>
        <c:delete val="0"/>
        <c:axPos val="l"/>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t>Normalized concentration</a:t>
                </a:r>
              </a:p>
            </c:rich>
          </c:tx>
          <c:layout>
            <c:manualLayout>
              <c:xMode val="edge"/>
              <c:yMode val="edge"/>
              <c:x val="1.5415437808105613E-2"/>
              <c:y val="0.2274211275192024"/>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021984160"/>
        <c:crosses val="autoZero"/>
        <c:crossBetween val="midCat"/>
      </c:valAx>
      <c:spPr>
        <a:noFill/>
        <a:ln>
          <a:noFill/>
        </a:ln>
        <a:effectLst/>
      </c:spPr>
    </c:plotArea>
    <c:legend>
      <c:legendPos val="b"/>
      <c:layout>
        <c:manualLayout>
          <c:xMode val="edge"/>
          <c:yMode val="edge"/>
          <c:x val="0.69959244677748611"/>
          <c:y val="0.36940958282188857"/>
          <c:w val="0.2415710362593565"/>
          <c:h val="0.39415704078515029"/>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v>URS-5</c:v>
          </c:tx>
          <c:spPr>
            <a:solidFill>
              <a:schemeClr val="accent1"/>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(2)'!$B$9:$B$16</c:f>
              <c:numCache>
                <c:formatCode>General</c:formatCode>
                <c:ptCount val="8"/>
                <c:pt idx="0">
                  <c:v>1.6</c:v>
                </c:pt>
                <c:pt idx="1">
                  <c:v>2.4</c:v>
                </c:pt>
                <c:pt idx="2">
                  <c:v>3.9599999999999995</c:v>
                </c:pt>
                <c:pt idx="3">
                  <c:v>17.672727272727272</c:v>
                </c:pt>
                <c:pt idx="4">
                  <c:v>14.727272727272727</c:v>
                </c:pt>
                <c:pt idx="5">
                  <c:v>8.35</c:v>
                </c:pt>
                <c:pt idx="6">
                  <c:v>8</c:v>
                </c:pt>
                <c:pt idx="7">
                  <c:v>6.1538461538461533</c:v>
                </c:pt>
              </c:numCache>
            </c:numRef>
          </c:val>
          <c:extLst>
            <c:ext xmlns:c16="http://schemas.microsoft.com/office/drawing/2014/chart" uri="{C3380CC4-5D6E-409C-BE32-E72D297353CC}">
              <c16:uniqueId val="{00000000-7A9E-0B4D-BEB3-675C54445AAA}"/>
            </c:ext>
          </c:extLst>
        </c:ser>
        <c:ser>
          <c:idx val="1"/>
          <c:order val="1"/>
          <c:tx>
            <c:v>URS-6</c:v>
          </c:tx>
          <c:spPr>
            <a:solidFill>
              <a:schemeClr val="accent2"/>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(2)'!$C$9:$C$16</c:f>
              <c:numCache>
                <c:formatCode>General</c:formatCode>
                <c:ptCount val="8"/>
                <c:pt idx="0">
                  <c:v>0</c:v>
                </c:pt>
                <c:pt idx="1">
                  <c:v>7.1</c:v>
                </c:pt>
                <c:pt idx="2">
                  <c:v>12.360000000000001</c:v>
                </c:pt>
                <c:pt idx="3">
                  <c:v>34</c:v>
                </c:pt>
                <c:pt idx="4">
                  <c:v>28.333333333333336</c:v>
                </c:pt>
                <c:pt idx="5">
                  <c:v>18.149999999999999</c:v>
                </c:pt>
                <c:pt idx="6">
                  <c:v>15.5</c:v>
                </c:pt>
                <c:pt idx="7">
                  <c:v>14.115384615384617</c:v>
                </c:pt>
              </c:numCache>
            </c:numRef>
          </c:val>
          <c:extLst>
            <c:ext xmlns:c16="http://schemas.microsoft.com/office/drawing/2014/chart" uri="{C3380CC4-5D6E-409C-BE32-E72D297353CC}">
              <c16:uniqueId val="{00000001-7A9E-0B4D-BEB3-675C54445AAA}"/>
            </c:ext>
          </c:extLst>
        </c:ser>
        <c:ser>
          <c:idx val="2"/>
          <c:order val="2"/>
          <c:tx>
            <c:v>URS-8</c:v>
          </c:tx>
          <c:spPr>
            <a:solidFill>
              <a:schemeClr val="accent3"/>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(2)'!$D$9:$D$16</c:f>
              <c:numCache>
                <c:formatCode>General</c:formatCode>
                <c:ptCount val="8"/>
                <c:pt idx="0">
                  <c:v>1.4</c:v>
                </c:pt>
                <c:pt idx="1">
                  <c:v>0</c:v>
                </c:pt>
                <c:pt idx="2">
                  <c:v>2.76</c:v>
                </c:pt>
                <c:pt idx="3">
                  <c:v>11.781818181818181</c:v>
                </c:pt>
                <c:pt idx="4">
                  <c:v>9.8181818181818183</c:v>
                </c:pt>
                <c:pt idx="5">
                  <c:v>6.8</c:v>
                </c:pt>
                <c:pt idx="6">
                  <c:v>6.15</c:v>
                </c:pt>
                <c:pt idx="7">
                  <c:v>4.7307692307692308</c:v>
                </c:pt>
              </c:numCache>
            </c:numRef>
          </c:val>
          <c:extLst>
            <c:ext xmlns:c16="http://schemas.microsoft.com/office/drawing/2014/chart" uri="{C3380CC4-5D6E-409C-BE32-E72D297353CC}">
              <c16:uniqueId val="{00000002-7A9E-0B4D-BEB3-675C54445AAA}"/>
            </c:ext>
          </c:extLst>
        </c:ser>
        <c:ser>
          <c:idx val="3"/>
          <c:order val="3"/>
          <c:tx>
            <c:v>URS-10</c:v>
          </c:tx>
          <c:spPr>
            <a:solidFill>
              <a:schemeClr val="accent4"/>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(2)'!$E$9:$E$15</c:f>
              <c:numCache>
                <c:formatCode>General</c:formatCode>
                <c:ptCount val="7"/>
                <c:pt idx="0">
                  <c:v>0</c:v>
                </c:pt>
                <c:pt idx="1">
                  <c:v>0</c:v>
                </c:pt>
                <c:pt idx="2">
                  <c:v>0</c:v>
                </c:pt>
                <c:pt idx="3">
                  <c:v>0</c:v>
                </c:pt>
                <c:pt idx="4">
                  <c:v>0</c:v>
                </c:pt>
                <c:pt idx="5">
                  <c:v>0</c:v>
                </c:pt>
                <c:pt idx="6">
                  <c:v>0</c:v>
                </c:pt>
              </c:numCache>
            </c:numRef>
          </c:val>
          <c:extLst>
            <c:ext xmlns:c16="http://schemas.microsoft.com/office/drawing/2014/chart" uri="{C3380CC4-5D6E-409C-BE32-E72D297353CC}">
              <c16:uniqueId val="{00000003-7A9E-0B4D-BEB3-675C54445AAA}"/>
            </c:ext>
          </c:extLst>
        </c:ser>
        <c:ser>
          <c:idx val="4"/>
          <c:order val="4"/>
          <c:tx>
            <c:v>Mix 1</c:v>
          </c:tx>
          <c:spPr>
            <a:solidFill>
              <a:schemeClr val="accent5"/>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(2)'!$F$9:$F$16</c:f>
              <c:numCache>
                <c:formatCode>General</c:formatCode>
                <c:ptCount val="8"/>
                <c:pt idx="0">
                  <c:v>3.4</c:v>
                </c:pt>
                <c:pt idx="1">
                  <c:v>7.2</c:v>
                </c:pt>
                <c:pt idx="2">
                  <c:v>13.799999999999999</c:v>
                </c:pt>
                <c:pt idx="3">
                  <c:v>43.5</c:v>
                </c:pt>
                <c:pt idx="4">
                  <c:v>36.25</c:v>
                </c:pt>
                <c:pt idx="5">
                  <c:v>18</c:v>
                </c:pt>
                <c:pt idx="6">
                  <c:v>16.5</c:v>
                </c:pt>
                <c:pt idx="7">
                  <c:v>16.69230769230769</c:v>
                </c:pt>
              </c:numCache>
            </c:numRef>
          </c:val>
          <c:extLst>
            <c:ext xmlns:c16="http://schemas.microsoft.com/office/drawing/2014/chart" uri="{C3380CC4-5D6E-409C-BE32-E72D297353CC}">
              <c16:uniqueId val="{00000004-7A9E-0B4D-BEB3-675C54445AAA}"/>
            </c:ext>
          </c:extLst>
        </c:ser>
        <c:ser>
          <c:idx val="5"/>
          <c:order val="5"/>
          <c:tx>
            <c:v>Mix 2</c:v>
          </c:tx>
          <c:spPr>
            <a:solidFill>
              <a:schemeClr val="accent6"/>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(2)'!$G$9:$G$16</c:f>
              <c:numCache>
                <c:formatCode>General</c:formatCode>
                <c:ptCount val="8"/>
                <c:pt idx="0">
                  <c:v>2.7868852459016393</c:v>
                </c:pt>
                <c:pt idx="1">
                  <c:v>5.9016393442622954</c:v>
                </c:pt>
                <c:pt idx="2">
                  <c:v>11.311475409836065</c:v>
                </c:pt>
                <c:pt idx="3">
                  <c:v>35.655737704918032</c:v>
                </c:pt>
                <c:pt idx="4">
                  <c:v>29.71311475409836</c:v>
                </c:pt>
                <c:pt idx="5">
                  <c:v>14.754098360655737</c:v>
                </c:pt>
                <c:pt idx="6">
                  <c:v>12.5</c:v>
                </c:pt>
                <c:pt idx="7">
                  <c:v>14</c:v>
                </c:pt>
              </c:numCache>
            </c:numRef>
          </c:val>
          <c:extLst>
            <c:ext xmlns:c16="http://schemas.microsoft.com/office/drawing/2014/chart" uri="{C3380CC4-5D6E-409C-BE32-E72D297353CC}">
              <c16:uniqueId val="{00000005-7A9E-0B4D-BEB3-675C54445AAA}"/>
            </c:ext>
          </c:extLst>
        </c:ser>
        <c:ser>
          <c:idx val="6"/>
          <c:order val="6"/>
          <c:spPr>
            <a:solidFill>
              <a:schemeClr val="accent1">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(2)'!$H$9:$H$16</c:f>
              <c:numCache>
                <c:formatCode>General</c:formatCode>
                <c:ptCount val="8"/>
                <c:pt idx="0">
                  <c:v>2.2666666666666666</c:v>
                </c:pt>
                <c:pt idx="1">
                  <c:v>4.8</c:v>
                </c:pt>
                <c:pt idx="2">
                  <c:v>9.1999999999999993</c:v>
                </c:pt>
                <c:pt idx="3">
                  <c:v>24</c:v>
                </c:pt>
                <c:pt idx="4">
                  <c:v>20</c:v>
                </c:pt>
                <c:pt idx="5">
                  <c:v>11</c:v>
                </c:pt>
                <c:pt idx="6">
                  <c:v>11</c:v>
                </c:pt>
                <c:pt idx="7">
                  <c:v>11.128205128205126</c:v>
                </c:pt>
              </c:numCache>
            </c:numRef>
          </c:val>
          <c:extLst>
            <c:ext xmlns:c16="http://schemas.microsoft.com/office/drawing/2014/chart" uri="{C3380CC4-5D6E-409C-BE32-E72D297353CC}">
              <c16:uniqueId val="{00000006-7A9E-0B4D-BEB3-675C54445AAA}"/>
            </c:ext>
          </c:extLst>
        </c:ser>
        <c:ser>
          <c:idx val="7"/>
          <c:order val="7"/>
          <c:tx>
            <c:v>Mix 4</c:v>
          </c:tx>
          <c:spPr>
            <a:solidFill>
              <a:schemeClr val="accent2">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(2)'!$I$9:$I$16</c:f>
              <c:numCache>
                <c:formatCode>General</c:formatCode>
                <c:ptCount val="8"/>
                <c:pt idx="0">
                  <c:v>5</c:v>
                </c:pt>
                <c:pt idx="1">
                  <c:v>5.0999999999999996</c:v>
                </c:pt>
                <c:pt idx="2">
                  <c:v>10.68</c:v>
                </c:pt>
                <c:pt idx="3">
                  <c:v>14.4</c:v>
                </c:pt>
                <c:pt idx="4">
                  <c:v>12</c:v>
                </c:pt>
                <c:pt idx="5">
                  <c:v>5.5</c:v>
                </c:pt>
                <c:pt idx="6">
                  <c:v>5.5</c:v>
                </c:pt>
                <c:pt idx="7">
                  <c:v>5.5</c:v>
                </c:pt>
              </c:numCache>
            </c:numRef>
          </c:val>
          <c:extLst>
            <c:ext xmlns:c16="http://schemas.microsoft.com/office/drawing/2014/chart" uri="{C3380CC4-5D6E-409C-BE32-E72D297353CC}">
              <c16:uniqueId val="{00000007-7A9E-0B4D-BEB3-675C54445AAA}"/>
            </c:ext>
          </c:extLst>
        </c:ser>
        <c:ser>
          <c:idx val="8"/>
          <c:order val="8"/>
          <c:tx>
            <c:v>Mix 5</c:v>
          </c:tx>
          <c:spPr>
            <a:solidFill>
              <a:schemeClr val="accent3">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(2)'!$J$9:$J$16</c:f>
              <c:numCache>
                <c:formatCode>General</c:formatCode>
                <c:ptCount val="8"/>
                <c:pt idx="0">
                  <c:v>2.1794871794871793</c:v>
                </c:pt>
                <c:pt idx="1">
                  <c:v>4.615384615384615</c:v>
                </c:pt>
                <c:pt idx="2">
                  <c:v>8.8461538461538449</c:v>
                </c:pt>
                <c:pt idx="3">
                  <c:v>23.4</c:v>
                </c:pt>
                <c:pt idx="4">
                  <c:v>19.5</c:v>
                </c:pt>
                <c:pt idx="5">
                  <c:v>6</c:v>
                </c:pt>
                <c:pt idx="6">
                  <c:v>6.5</c:v>
                </c:pt>
                <c:pt idx="7">
                  <c:v>6.5</c:v>
                </c:pt>
              </c:numCache>
            </c:numRef>
          </c:val>
          <c:extLst>
            <c:ext xmlns:c16="http://schemas.microsoft.com/office/drawing/2014/chart" uri="{C3380CC4-5D6E-409C-BE32-E72D297353CC}">
              <c16:uniqueId val="{00000008-7A9E-0B4D-BEB3-675C54445AAA}"/>
            </c:ext>
          </c:extLst>
        </c:ser>
        <c:ser>
          <c:idx val="9"/>
          <c:order val="9"/>
          <c:tx>
            <c:v>Mix 6</c:v>
          </c:tx>
          <c:spPr>
            <a:solidFill>
              <a:schemeClr val="accent4">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(2)'!$K$9:$K$16</c:f>
              <c:numCache>
                <c:formatCode>General</c:formatCode>
                <c:ptCount val="8"/>
                <c:pt idx="0">
                  <c:v>0</c:v>
                </c:pt>
                <c:pt idx="1">
                  <c:v>0</c:v>
                </c:pt>
                <c:pt idx="2">
                  <c:v>1.9199999999999997</c:v>
                </c:pt>
                <c:pt idx="3">
                  <c:v>11</c:v>
                </c:pt>
                <c:pt idx="4">
                  <c:v>9.1666666666666679</c:v>
                </c:pt>
                <c:pt idx="5">
                  <c:v>8</c:v>
                </c:pt>
                <c:pt idx="6">
                  <c:v>8</c:v>
                </c:pt>
                <c:pt idx="7">
                  <c:v>7</c:v>
                </c:pt>
              </c:numCache>
            </c:numRef>
          </c:val>
          <c:extLst>
            <c:ext xmlns:c16="http://schemas.microsoft.com/office/drawing/2014/chart" uri="{C3380CC4-5D6E-409C-BE32-E72D297353CC}">
              <c16:uniqueId val="{00000009-7A9E-0B4D-BEB3-675C54445AAA}"/>
            </c:ext>
          </c:extLst>
        </c:ser>
        <c:ser>
          <c:idx val="10"/>
          <c:order val="10"/>
          <c:tx>
            <c:v>Mix 7</c:v>
          </c:tx>
          <c:spPr>
            <a:solidFill>
              <a:schemeClr val="accent5">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(2)'!$L$9:$L$16</c:f>
              <c:numCache>
                <c:formatCode>General</c:formatCode>
                <c:ptCount val="8"/>
                <c:pt idx="0">
                  <c:v>4.5</c:v>
                </c:pt>
                <c:pt idx="1">
                  <c:v>7.3</c:v>
                </c:pt>
                <c:pt idx="2">
                  <c:v>14.76</c:v>
                </c:pt>
                <c:pt idx="3">
                  <c:v>20</c:v>
                </c:pt>
                <c:pt idx="4">
                  <c:v>16.666666666666668</c:v>
                </c:pt>
                <c:pt idx="5">
                  <c:v>13</c:v>
                </c:pt>
                <c:pt idx="6">
                  <c:v>13</c:v>
                </c:pt>
                <c:pt idx="7">
                  <c:v>15.769230769230768</c:v>
                </c:pt>
              </c:numCache>
            </c:numRef>
          </c:val>
          <c:extLst>
            <c:ext xmlns:c16="http://schemas.microsoft.com/office/drawing/2014/chart" uri="{C3380CC4-5D6E-409C-BE32-E72D297353CC}">
              <c16:uniqueId val="{0000000A-7A9E-0B4D-BEB3-675C54445AAA}"/>
            </c:ext>
          </c:extLst>
        </c:ser>
        <c:ser>
          <c:idx val="11"/>
          <c:order val="11"/>
          <c:tx>
            <c:v>Mix 8</c:v>
          </c:tx>
          <c:spPr>
            <a:solidFill>
              <a:schemeClr val="accent6">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(2)'!$M$9:$M$16</c:f>
              <c:numCache>
                <c:formatCode>General</c:formatCode>
                <c:ptCount val="8"/>
                <c:pt idx="0">
                  <c:v>2.6</c:v>
                </c:pt>
                <c:pt idx="1">
                  <c:v>2.7</c:v>
                </c:pt>
                <c:pt idx="2">
                  <c:v>7.8</c:v>
                </c:pt>
                <c:pt idx="3">
                  <c:v>13.4</c:v>
                </c:pt>
                <c:pt idx="4">
                  <c:v>11.166666666666668</c:v>
                </c:pt>
                <c:pt idx="5">
                  <c:v>10.4</c:v>
                </c:pt>
                <c:pt idx="6">
                  <c:v>10.3</c:v>
                </c:pt>
                <c:pt idx="7">
                  <c:v>4.4000000000000004</c:v>
                </c:pt>
              </c:numCache>
            </c:numRef>
          </c:val>
          <c:extLst>
            <c:ext xmlns:c16="http://schemas.microsoft.com/office/drawing/2014/chart" uri="{C3380CC4-5D6E-409C-BE32-E72D297353CC}">
              <c16:uniqueId val="{0000000B-7A9E-0B4D-BEB3-675C54445AAA}"/>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scaling>
        <c:delete val="0"/>
        <c:axPos val="l"/>
        <c:title>
          <c:tx>
            <c:rich>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Specific Enzyme Activity</a:t>
                </a:r>
                <a:r>
                  <a:rPr lang="en-US" baseline="0"/>
                  <a:t> (U/mg protein)</a:t>
                </a:r>
                <a:endParaRPr lang="en-US"/>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lgn="l">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209124144566807"/>
          <c:y val="7.9565995604126458E-2"/>
          <c:w val="0.81577272388703115"/>
          <c:h val="0.77024548738527188"/>
        </c:manualLayout>
      </c:layout>
      <c:barChart>
        <c:barDir val="col"/>
        <c:grouping val="stacked"/>
        <c:varyColors val="0"/>
        <c:ser>
          <c:idx val="0"/>
          <c:order val="0"/>
          <c:tx>
            <c:v>URS-5</c:v>
          </c:tx>
          <c:spPr>
            <a:solidFill>
              <a:schemeClr val="accent1"/>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(2)'!$P$9:$P$16</c:f>
              <c:numCache>
                <c:formatCode>General</c:formatCode>
                <c:ptCount val="8"/>
                <c:pt idx="0">
                  <c:v>1</c:v>
                </c:pt>
                <c:pt idx="1">
                  <c:v>1.4999999999999998</c:v>
                </c:pt>
                <c:pt idx="2">
                  <c:v>2.4749999999999996</c:v>
                </c:pt>
                <c:pt idx="3">
                  <c:v>6</c:v>
                </c:pt>
                <c:pt idx="4">
                  <c:v>7.6923076923076916</c:v>
                </c:pt>
                <c:pt idx="5">
                  <c:v>9</c:v>
                </c:pt>
                <c:pt idx="6">
                  <c:v>10</c:v>
                </c:pt>
                <c:pt idx="7">
                  <c:v>2.7472527472527473</c:v>
                </c:pt>
              </c:numCache>
            </c:numRef>
          </c:val>
          <c:extLst>
            <c:ext xmlns:c16="http://schemas.microsoft.com/office/drawing/2014/chart" uri="{C3380CC4-5D6E-409C-BE32-E72D297353CC}">
              <c16:uniqueId val="{00000000-0B93-524E-9936-F9D4BE4C17CD}"/>
            </c:ext>
          </c:extLst>
        </c:ser>
        <c:ser>
          <c:idx val="1"/>
          <c:order val="1"/>
          <c:tx>
            <c:v>URS-6</c:v>
          </c:tx>
          <c:spPr>
            <a:solidFill>
              <a:schemeClr val="accent2"/>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(2)'!$Q$9:$Q$16</c:f>
              <c:numCache>
                <c:formatCode>General</c:formatCode>
                <c:ptCount val="8"/>
                <c:pt idx="0">
                  <c:v>0</c:v>
                </c:pt>
                <c:pt idx="1">
                  <c:v>4.4374999999999991</c:v>
                </c:pt>
                <c:pt idx="2">
                  <c:v>7.7250000000000005</c:v>
                </c:pt>
                <c:pt idx="3">
                  <c:v>10</c:v>
                </c:pt>
                <c:pt idx="4">
                  <c:v>12.307692307692307</c:v>
                </c:pt>
                <c:pt idx="5">
                  <c:v>15</c:v>
                </c:pt>
                <c:pt idx="6">
                  <c:v>16</c:v>
                </c:pt>
                <c:pt idx="7">
                  <c:v>7.8571428571428577</c:v>
                </c:pt>
              </c:numCache>
            </c:numRef>
          </c:val>
          <c:extLst>
            <c:ext xmlns:c16="http://schemas.microsoft.com/office/drawing/2014/chart" uri="{C3380CC4-5D6E-409C-BE32-E72D297353CC}">
              <c16:uniqueId val="{00000001-0B93-524E-9936-F9D4BE4C17CD}"/>
            </c:ext>
          </c:extLst>
        </c:ser>
        <c:ser>
          <c:idx val="2"/>
          <c:order val="2"/>
          <c:tx>
            <c:v>URS-8</c:v>
          </c:tx>
          <c:spPr>
            <a:solidFill>
              <a:schemeClr val="accent3"/>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(2)'!$R$9:$R$16</c:f>
              <c:numCache>
                <c:formatCode>General</c:formatCode>
                <c:ptCount val="8"/>
                <c:pt idx="0">
                  <c:v>0.87499999999999989</c:v>
                </c:pt>
                <c:pt idx="1">
                  <c:v>0</c:v>
                </c:pt>
                <c:pt idx="2">
                  <c:v>1.7249999999999999</c:v>
                </c:pt>
                <c:pt idx="3">
                  <c:v>4.3999999999999995</c:v>
                </c:pt>
                <c:pt idx="4">
                  <c:v>5.6923076923076925</c:v>
                </c:pt>
                <c:pt idx="5">
                  <c:v>6.6</c:v>
                </c:pt>
                <c:pt idx="6">
                  <c:v>7.4</c:v>
                </c:pt>
                <c:pt idx="7">
                  <c:v>2.1119505494505497</c:v>
                </c:pt>
              </c:numCache>
            </c:numRef>
          </c:val>
          <c:extLst>
            <c:ext xmlns:c16="http://schemas.microsoft.com/office/drawing/2014/chart" uri="{C3380CC4-5D6E-409C-BE32-E72D297353CC}">
              <c16:uniqueId val="{00000002-0B93-524E-9936-F9D4BE4C17CD}"/>
            </c:ext>
          </c:extLst>
        </c:ser>
        <c:ser>
          <c:idx val="3"/>
          <c:order val="3"/>
          <c:tx>
            <c:v>URS-10</c:v>
          </c:tx>
          <c:spPr>
            <a:solidFill>
              <a:schemeClr val="accent4"/>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(2)'!$E$9:$E$15</c:f>
              <c:numCache>
                <c:formatCode>General</c:formatCode>
                <c:ptCount val="7"/>
                <c:pt idx="0">
                  <c:v>0</c:v>
                </c:pt>
                <c:pt idx="1">
                  <c:v>0</c:v>
                </c:pt>
                <c:pt idx="2">
                  <c:v>0</c:v>
                </c:pt>
                <c:pt idx="3">
                  <c:v>0</c:v>
                </c:pt>
                <c:pt idx="4">
                  <c:v>0</c:v>
                </c:pt>
                <c:pt idx="5">
                  <c:v>0</c:v>
                </c:pt>
                <c:pt idx="6">
                  <c:v>0</c:v>
                </c:pt>
              </c:numCache>
            </c:numRef>
          </c:val>
          <c:extLst>
            <c:ext xmlns:c16="http://schemas.microsoft.com/office/drawing/2014/chart" uri="{C3380CC4-5D6E-409C-BE32-E72D297353CC}">
              <c16:uniqueId val="{00000003-0B93-524E-9936-F9D4BE4C17CD}"/>
            </c:ext>
          </c:extLst>
        </c:ser>
        <c:ser>
          <c:idx val="4"/>
          <c:order val="4"/>
          <c:tx>
            <c:v>Mix 1</c:v>
          </c:tx>
          <c:spPr>
            <a:solidFill>
              <a:schemeClr val="accent5"/>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(2)'!$T$9:$T$16</c:f>
              <c:numCache>
                <c:formatCode>General</c:formatCode>
                <c:ptCount val="8"/>
                <c:pt idx="0">
                  <c:v>0.90909090909090906</c:v>
                </c:pt>
                <c:pt idx="1">
                  <c:v>1.3636363636363633</c:v>
                </c:pt>
                <c:pt idx="2">
                  <c:v>2.2499999999999996</c:v>
                </c:pt>
                <c:pt idx="3">
                  <c:v>5.4545454545454541</c:v>
                </c:pt>
                <c:pt idx="4">
                  <c:v>6.9930069930069916</c:v>
                </c:pt>
                <c:pt idx="5">
                  <c:v>8.1818181818181817</c:v>
                </c:pt>
                <c:pt idx="6">
                  <c:v>9.0909090909090899</c:v>
                </c:pt>
                <c:pt idx="7">
                  <c:v>2.4975024975024973</c:v>
                </c:pt>
              </c:numCache>
            </c:numRef>
          </c:val>
          <c:extLst>
            <c:ext xmlns:c16="http://schemas.microsoft.com/office/drawing/2014/chart" uri="{C3380CC4-5D6E-409C-BE32-E72D297353CC}">
              <c16:uniqueId val="{00000004-0B93-524E-9936-F9D4BE4C17CD}"/>
            </c:ext>
          </c:extLst>
        </c:ser>
        <c:ser>
          <c:idx val="5"/>
          <c:order val="5"/>
          <c:tx>
            <c:v>Mix 2</c:v>
          </c:tx>
          <c:spPr>
            <a:solidFill>
              <a:schemeClr val="accent6"/>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(2)'!$U$9:$U$16</c:f>
              <c:numCache>
                <c:formatCode>General</c:formatCode>
                <c:ptCount val="8"/>
                <c:pt idx="0">
                  <c:v>1.4</c:v>
                </c:pt>
                <c:pt idx="1">
                  <c:v>2.7</c:v>
                </c:pt>
                <c:pt idx="2">
                  <c:v>9.4</c:v>
                </c:pt>
                <c:pt idx="3">
                  <c:v>11.3</c:v>
                </c:pt>
                <c:pt idx="4">
                  <c:v>22.2</c:v>
                </c:pt>
                <c:pt idx="5">
                  <c:v>33.4</c:v>
                </c:pt>
                <c:pt idx="6">
                  <c:v>20.714285714285715</c:v>
                </c:pt>
                <c:pt idx="7">
                  <c:v>20.714285714285715</c:v>
                </c:pt>
              </c:numCache>
            </c:numRef>
          </c:val>
          <c:extLst>
            <c:ext xmlns:c16="http://schemas.microsoft.com/office/drawing/2014/chart" uri="{C3380CC4-5D6E-409C-BE32-E72D297353CC}">
              <c16:uniqueId val="{00000005-0B93-524E-9936-F9D4BE4C17CD}"/>
            </c:ext>
          </c:extLst>
        </c:ser>
        <c:ser>
          <c:idx val="6"/>
          <c:order val="6"/>
          <c:tx>
            <c:v>Mix 3</c:v>
          </c:tx>
          <c:spPr>
            <a:solidFill>
              <a:schemeClr val="accent1">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(2)'!$V$9:$V$16</c:f>
              <c:numCache>
                <c:formatCode>General</c:formatCode>
                <c:ptCount val="8"/>
                <c:pt idx="0">
                  <c:v>0.83333333333333337</c:v>
                </c:pt>
                <c:pt idx="1">
                  <c:v>1.2499999999999998</c:v>
                </c:pt>
                <c:pt idx="2">
                  <c:v>2.0625</c:v>
                </c:pt>
                <c:pt idx="3">
                  <c:v>5</c:v>
                </c:pt>
                <c:pt idx="4">
                  <c:v>6.4102564102564097</c:v>
                </c:pt>
                <c:pt idx="5">
                  <c:v>7.5</c:v>
                </c:pt>
                <c:pt idx="6">
                  <c:v>8.3333333333333339</c:v>
                </c:pt>
                <c:pt idx="7">
                  <c:v>2.2893772893772897</c:v>
                </c:pt>
              </c:numCache>
            </c:numRef>
          </c:val>
          <c:extLst>
            <c:ext xmlns:c16="http://schemas.microsoft.com/office/drawing/2014/chart" uri="{C3380CC4-5D6E-409C-BE32-E72D297353CC}">
              <c16:uniqueId val="{00000006-0B93-524E-9936-F9D4BE4C17CD}"/>
            </c:ext>
          </c:extLst>
        </c:ser>
        <c:ser>
          <c:idx val="7"/>
          <c:order val="7"/>
          <c:tx>
            <c:v>Mix 4</c:v>
          </c:tx>
          <c:spPr>
            <a:solidFill>
              <a:schemeClr val="accent2">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(2)'!$W$9:$W$16</c:f>
              <c:numCache>
                <c:formatCode>General</c:formatCode>
                <c:ptCount val="8"/>
                <c:pt idx="0">
                  <c:v>4.166666666666667</c:v>
                </c:pt>
                <c:pt idx="1">
                  <c:v>4.25</c:v>
                </c:pt>
                <c:pt idx="2">
                  <c:v>8.9</c:v>
                </c:pt>
                <c:pt idx="3">
                  <c:v>8.5555555555555571</c:v>
                </c:pt>
                <c:pt idx="4">
                  <c:v>7.3076923076923084</c:v>
                </c:pt>
                <c:pt idx="5">
                  <c:v>12.833333333333334</c:v>
                </c:pt>
                <c:pt idx="6">
                  <c:v>9.5</c:v>
                </c:pt>
                <c:pt idx="7">
                  <c:v>6.1904761904761916</c:v>
                </c:pt>
              </c:numCache>
            </c:numRef>
          </c:val>
          <c:extLst>
            <c:ext xmlns:c16="http://schemas.microsoft.com/office/drawing/2014/chart" uri="{C3380CC4-5D6E-409C-BE32-E72D297353CC}">
              <c16:uniqueId val="{00000007-0B93-524E-9936-F9D4BE4C17CD}"/>
            </c:ext>
          </c:extLst>
        </c:ser>
        <c:ser>
          <c:idx val="8"/>
          <c:order val="8"/>
          <c:tx>
            <c:v>Mix 5</c:v>
          </c:tx>
          <c:spPr>
            <a:solidFill>
              <a:schemeClr val="accent3">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(2)'!$X$9:$X$16</c:f>
              <c:numCache>
                <c:formatCode>General</c:formatCode>
                <c:ptCount val="8"/>
                <c:pt idx="0">
                  <c:v>0.58275058275058267</c:v>
                </c:pt>
                <c:pt idx="1">
                  <c:v>0.87412587412587384</c:v>
                </c:pt>
                <c:pt idx="2">
                  <c:v>1.4423076923076921</c:v>
                </c:pt>
                <c:pt idx="3">
                  <c:v>16.666666666666668</c:v>
                </c:pt>
                <c:pt idx="4">
                  <c:v>16.153846153846153</c:v>
                </c:pt>
                <c:pt idx="5">
                  <c:v>25</c:v>
                </c:pt>
                <c:pt idx="6">
                  <c:v>21</c:v>
                </c:pt>
                <c:pt idx="7">
                  <c:v>2.7014652014652016</c:v>
                </c:pt>
              </c:numCache>
            </c:numRef>
          </c:val>
          <c:extLst>
            <c:ext xmlns:c16="http://schemas.microsoft.com/office/drawing/2014/chart" uri="{C3380CC4-5D6E-409C-BE32-E72D297353CC}">
              <c16:uniqueId val="{00000008-0B93-524E-9936-F9D4BE4C17CD}"/>
            </c:ext>
          </c:extLst>
        </c:ser>
        <c:ser>
          <c:idx val="9"/>
          <c:order val="9"/>
          <c:tx>
            <c:v>Mix 6</c:v>
          </c:tx>
          <c:spPr>
            <a:solidFill>
              <a:schemeClr val="accent4">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(2)'!$Y$9:$Y$16</c:f>
              <c:numCache>
                <c:formatCode>General</c:formatCode>
                <c:ptCount val="8"/>
                <c:pt idx="0">
                  <c:v>1.1666666666666667</c:v>
                </c:pt>
                <c:pt idx="1">
                  <c:v>4.5000000000000009</c:v>
                </c:pt>
                <c:pt idx="2">
                  <c:v>17.75</c:v>
                </c:pt>
                <c:pt idx="3">
                  <c:v>18</c:v>
                </c:pt>
                <c:pt idx="4">
                  <c:v>20.512820512820511</c:v>
                </c:pt>
                <c:pt idx="5">
                  <c:v>27</c:v>
                </c:pt>
                <c:pt idx="6">
                  <c:v>26.666666666666668</c:v>
                </c:pt>
                <c:pt idx="7">
                  <c:v>13</c:v>
                </c:pt>
              </c:numCache>
            </c:numRef>
          </c:val>
          <c:extLst>
            <c:ext xmlns:c16="http://schemas.microsoft.com/office/drawing/2014/chart" uri="{C3380CC4-5D6E-409C-BE32-E72D297353CC}">
              <c16:uniqueId val="{00000009-0B93-524E-9936-F9D4BE4C17CD}"/>
            </c:ext>
          </c:extLst>
        </c:ser>
        <c:ser>
          <c:idx val="10"/>
          <c:order val="10"/>
          <c:tx>
            <c:v>Mix 7</c:v>
          </c:tx>
          <c:spPr>
            <a:solidFill>
              <a:schemeClr val="accent5">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(2)'!$Z$9:$Z$16</c:f>
              <c:numCache>
                <c:formatCode>General</c:formatCode>
                <c:ptCount val="8"/>
                <c:pt idx="0">
                  <c:v>1.9</c:v>
                </c:pt>
                <c:pt idx="1">
                  <c:v>2.4</c:v>
                </c:pt>
                <c:pt idx="2">
                  <c:v>5.4</c:v>
                </c:pt>
                <c:pt idx="3">
                  <c:v>6.666666666666667</c:v>
                </c:pt>
                <c:pt idx="4">
                  <c:v>2.6923076923076921</c:v>
                </c:pt>
                <c:pt idx="5">
                  <c:v>10</c:v>
                </c:pt>
                <c:pt idx="6">
                  <c:v>3.5</c:v>
                </c:pt>
                <c:pt idx="7">
                  <c:v>1</c:v>
                </c:pt>
              </c:numCache>
            </c:numRef>
          </c:val>
          <c:extLst>
            <c:ext xmlns:c16="http://schemas.microsoft.com/office/drawing/2014/chart" uri="{C3380CC4-5D6E-409C-BE32-E72D297353CC}">
              <c16:uniqueId val="{0000000A-0B93-524E-9936-F9D4BE4C17CD}"/>
            </c:ext>
          </c:extLst>
        </c:ser>
        <c:ser>
          <c:idx val="11"/>
          <c:order val="11"/>
          <c:tx>
            <c:v>Mix 8</c:v>
          </c:tx>
          <c:spPr>
            <a:solidFill>
              <a:schemeClr val="accent6">
                <a:lumMod val="60000"/>
              </a:schemeClr>
            </a:solidFill>
            <a:ln>
              <a:noFill/>
            </a:ln>
            <a:effectLst/>
          </c:spPr>
          <c:invertIfNegative val="0"/>
          <c:cat>
            <c:numRef>
              <c:f>'ND (2)'!$A$9:$A$16</c:f>
              <c:numCache>
                <c:formatCode>General</c:formatCode>
                <c:ptCount val="8"/>
                <c:pt idx="0">
                  <c:v>2</c:v>
                </c:pt>
                <c:pt idx="1">
                  <c:v>4</c:v>
                </c:pt>
                <c:pt idx="2">
                  <c:v>6</c:v>
                </c:pt>
                <c:pt idx="3">
                  <c:v>8</c:v>
                </c:pt>
                <c:pt idx="4">
                  <c:v>10</c:v>
                </c:pt>
                <c:pt idx="5">
                  <c:v>12</c:v>
                </c:pt>
                <c:pt idx="6">
                  <c:v>14</c:v>
                </c:pt>
                <c:pt idx="7">
                  <c:v>16</c:v>
                </c:pt>
              </c:numCache>
            </c:numRef>
          </c:cat>
          <c:val>
            <c:numRef>
              <c:f>'ND (2)'!$AA$9:$AA$16</c:f>
              <c:numCache>
                <c:formatCode>General</c:formatCode>
                <c:ptCount val="8"/>
                <c:pt idx="0">
                  <c:v>0</c:v>
                </c:pt>
                <c:pt idx="1">
                  <c:v>0</c:v>
                </c:pt>
                <c:pt idx="2">
                  <c:v>4.3</c:v>
                </c:pt>
                <c:pt idx="3">
                  <c:v>12.733333333333334</c:v>
                </c:pt>
                <c:pt idx="4">
                  <c:v>7.2307692307692308</c:v>
                </c:pt>
                <c:pt idx="5">
                  <c:v>19.100000000000001</c:v>
                </c:pt>
                <c:pt idx="6">
                  <c:v>9.4</c:v>
                </c:pt>
                <c:pt idx="7">
                  <c:v>6.7142857142857153</c:v>
                </c:pt>
              </c:numCache>
            </c:numRef>
          </c:val>
          <c:extLst>
            <c:ext xmlns:c16="http://schemas.microsoft.com/office/drawing/2014/chart" uri="{C3380CC4-5D6E-409C-BE32-E72D297353CC}">
              <c16:uniqueId val="{0000000B-0B93-524E-9936-F9D4BE4C17CD}"/>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400" b="1" i="0" baseline="0">
                    <a:effectLst/>
                  </a:rPr>
                  <a:t>Time of incubation (hour)</a:t>
                </a:r>
                <a:endParaRPr lang="en-US" sz="1400">
                  <a:effectLst/>
                </a:endParaRP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max val="300"/>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'Pyrene dioxygenase activity'!$B$5</c:f>
              <c:strCache>
                <c:ptCount val="1"/>
                <c:pt idx="0">
                  <c:v>URS-5</c:v>
                </c:pt>
              </c:strCache>
            </c:strRef>
          </c:tx>
          <c:spPr>
            <a:solidFill>
              <a:schemeClr val="accent1"/>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activity'!$B$6:$B$13</c:f>
              <c:numCache>
                <c:formatCode>General</c:formatCode>
                <c:ptCount val="8"/>
              </c:numCache>
            </c:numRef>
          </c:val>
          <c:extLst>
            <c:ext xmlns:c16="http://schemas.microsoft.com/office/drawing/2014/chart" uri="{C3380CC4-5D6E-409C-BE32-E72D297353CC}">
              <c16:uniqueId val="{00000000-6D5E-2C4C-8423-6C83F4E0BAD7}"/>
            </c:ext>
          </c:extLst>
        </c:ser>
        <c:ser>
          <c:idx val="1"/>
          <c:order val="1"/>
          <c:tx>
            <c:strRef>
              <c:f>'Pyrene dioxygenase activity'!$C$5</c:f>
              <c:strCache>
                <c:ptCount val="1"/>
                <c:pt idx="0">
                  <c:v>URS-6</c:v>
                </c:pt>
              </c:strCache>
            </c:strRef>
          </c:tx>
          <c:spPr>
            <a:solidFill>
              <a:schemeClr val="accent2"/>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activity'!$C$6:$C$13</c:f>
              <c:numCache>
                <c:formatCode>General</c:formatCode>
                <c:ptCount val="8"/>
              </c:numCache>
            </c:numRef>
          </c:val>
          <c:extLst>
            <c:ext xmlns:c16="http://schemas.microsoft.com/office/drawing/2014/chart" uri="{C3380CC4-5D6E-409C-BE32-E72D297353CC}">
              <c16:uniqueId val="{00000001-6D5E-2C4C-8423-6C83F4E0BAD7}"/>
            </c:ext>
          </c:extLst>
        </c:ser>
        <c:ser>
          <c:idx val="2"/>
          <c:order val="2"/>
          <c:tx>
            <c:strRef>
              <c:f>'Pyrene dioxygenase activity'!$D$5</c:f>
              <c:strCache>
                <c:ptCount val="1"/>
                <c:pt idx="0">
                  <c:v>URS-8</c:v>
                </c:pt>
              </c:strCache>
            </c:strRef>
          </c:tx>
          <c:spPr>
            <a:solidFill>
              <a:schemeClr val="accent3"/>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activity'!$D$6:$D$13</c:f>
              <c:numCache>
                <c:formatCode>General</c:formatCode>
                <c:ptCount val="8"/>
              </c:numCache>
            </c:numRef>
          </c:val>
          <c:extLst>
            <c:ext xmlns:c16="http://schemas.microsoft.com/office/drawing/2014/chart" uri="{C3380CC4-5D6E-409C-BE32-E72D297353CC}">
              <c16:uniqueId val="{00000002-6D5E-2C4C-8423-6C83F4E0BAD7}"/>
            </c:ext>
          </c:extLst>
        </c:ser>
        <c:ser>
          <c:idx val="3"/>
          <c:order val="3"/>
          <c:tx>
            <c:v>URS-10</c:v>
          </c:tx>
          <c:spPr>
            <a:solidFill>
              <a:schemeClr val="accent4"/>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activity'!$E$6:$E$13</c:f>
              <c:numCache>
                <c:formatCode>General</c:formatCode>
                <c:ptCount val="8"/>
                <c:pt idx="0">
                  <c:v>0</c:v>
                </c:pt>
                <c:pt idx="1">
                  <c:v>1</c:v>
                </c:pt>
                <c:pt idx="2">
                  <c:v>2</c:v>
                </c:pt>
                <c:pt idx="3">
                  <c:v>2</c:v>
                </c:pt>
                <c:pt idx="4">
                  <c:v>6.5</c:v>
                </c:pt>
                <c:pt idx="5">
                  <c:v>19</c:v>
                </c:pt>
                <c:pt idx="6">
                  <c:v>14</c:v>
                </c:pt>
                <c:pt idx="7">
                  <c:v>4.4000000000000004</c:v>
                </c:pt>
              </c:numCache>
            </c:numRef>
          </c:val>
          <c:extLst>
            <c:ext xmlns:c16="http://schemas.microsoft.com/office/drawing/2014/chart" uri="{C3380CC4-5D6E-409C-BE32-E72D297353CC}">
              <c16:uniqueId val="{00000003-6D5E-2C4C-8423-6C83F4E0BAD7}"/>
            </c:ext>
          </c:extLst>
        </c:ser>
        <c:ser>
          <c:idx val="4"/>
          <c:order val="4"/>
          <c:tx>
            <c:v>Mix 1</c:v>
          </c:tx>
          <c:spPr>
            <a:solidFill>
              <a:schemeClr val="accent5"/>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activity'!$F$6:$F$13</c:f>
              <c:numCache>
                <c:formatCode>General</c:formatCode>
                <c:ptCount val="8"/>
                <c:pt idx="3">
                  <c:v>0</c:v>
                </c:pt>
                <c:pt idx="4">
                  <c:v>0</c:v>
                </c:pt>
              </c:numCache>
            </c:numRef>
          </c:val>
          <c:extLst>
            <c:ext xmlns:c16="http://schemas.microsoft.com/office/drawing/2014/chart" uri="{C3380CC4-5D6E-409C-BE32-E72D297353CC}">
              <c16:uniqueId val="{00000004-6D5E-2C4C-8423-6C83F4E0BAD7}"/>
            </c:ext>
          </c:extLst>
        </c:ser>
        <c:ser>
          <c:idx val="5"/>
          <c:order val="5"/>
          <c:tx>
            <c:v>Mix 2</c:v>
          </c:tx>
          <c:spPr>
            <a:solidFill>
              <a:schemeClr val="accent6"/>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activity'!$G$6:$G$13</c:f>
              <c:numCache>
                <c:formatCode>General</c:formatCode>
                <c:ptCount val="8"/>
                <c:pt idx="3">
                  <c:v>0</c:v>
                </c:pt>
                <c:pt idx="4">
                  <c:v>0</c:v>
                </c:pt>
              </c:numCache>
            </c:numRef>
          </c:val>
          <c:extLst>
            <c:ext xmlns:c16="http://schemas.microsoft.com/office/drawing/2014/chart" uri="{C3380CC4-5D6E-409C-BE32-E72D297353CC}">
              <c16:uniqueId val="{00000005-6D5E-2C4C-8423-6C83F4E0BAD7}"/>
            </c:ext>
          </c:extLst>
        </c:ser>
        <c:ser>
          <c:idx val="6"/>
          <c:order val="6"/>
          <c:tx>
            <c:v>Mix 3</c:v>
          </c:tx>
          <c:spPr>
            <a:solidFill>
              <a:schemeClr val="accent1">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activity'!$H$6:$H$13</c:f>
              <c:numCache>
                <c:formatCode>General</c:formatCode>
                <c:ptCount val="8"/>
                <c:pt idx="0">
                  <c:v>0</c:v>
                </c:pt>
                <c:pt idx="1">
                  <c:v>1</c:v>
                </c:pt>
                <c:pt idx="2">
                  <c:v>2</c:v>
                </c:pt>
                <c:pt idx="3">
                  <c:v>2</c:v>
                </c:pt>
                <c:pt idx="4">
                  <c:v>6.7</c:v>
                </c:pt>
                <c:pt idx="5">
                  <c:v>14.5</c:v>
                </c:pt>
                <c:pt idx="6">
                  <c:v>15.4</c:v>
                </c:pt>
                <c:pt idx="7">
                  <c:v>9.4</c:v>
                </c:pt>
              </c:numCache>
            </c:numRef>
          </c:val>
          <c:extLst>
            <c:ext xmlns:c16="http://schemas.microsoft.com/office/drawing/2014/chart" uri="{C3380CC4-5D6E-409C-BE32-E72D297353CC}">
              <c16:uniqueId val="{00000006-6D5E-2C4C-8423-6C83F4E0BAD7}"/>
            </c:ext>
          </c:extLst>
        </c:ser>
        <c:ser>
          <c:idx val="7"/>
          <c:order val="7"/>
          <c:tx>
            <c:v>Mix 4</c:v>
          </c:tx>
          <c:spPr>
            <a:solidFill>
              <a:schemeClr val="accent2">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activity'!$I$6:$I$13</c:f>
              <c:numCache>
                <c:formatCode>General</c:formatCode>
                <c:ptCount val="8"/>
                <c:pt idx="0">
                  <c:v>0</c:v>
                </c:pt>
                <c:pt idx="1">
                  <c:v>1</c:v>
                </c:pt>
                <c:pt idx="2">
                  <c:v>2</c:v>
                </c:pt>
                <c:pt idx="3">
                  <c:v>2</c:v>
                </c:pt>
                <c:pt idx="4">
                  <c:v>6.2</c:v>
                </c:pt>
                <c:pt idx="5">
                  <c:v>12.4</c:v>
                </c:pt>
                <c:pt idx="6">
                  <c:v>12.2</c:v>
                </c:pt>
                <c:pt idx="7">
                  <c:v>5.5</c:v>
                </c:pt>
              </c:numCache>
            </c:numRef>
          </c:val>
          <c:extLst>
            <c:ext xmlns:c16="http://schemas.microsoft.com/office/drawing/2014/chart" uri="{C3380CC4-5D6E-409C-BE32-E72D297353CC}">
              <c16:uniqueId val="{00000007-6D5E-2C4C-8423-6C83F4E0BAD7}"/>
            </c:ext>
          </c:extLst>
        </c:ser>
        <c:ser>
          <c:idx val="8"/>
          <c:order val="8"/>
          <c:tx>
            <c:v>Mix 5</c:v>
          </c:tx>
          <c:spPr>
            <a:solidFill>
              <a:schemeClr val="accent3">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activity'!$J$6:$J$13</c:f>
              <c:numCache>
                <c:formatCode>General</c:formatCode>
                <c:ptCount val="8"/>
                <c:pt idx="0">
                  <c:v>0</c:v>
                </c:pt>
                <c:pt idx="1">
                  <c:v>1</c:v>
                </c:pt>
                <c:pt idx="2">
                  <c:v>1</c:v>
                </c:pt>
                <c:pt idx="3">
                  <c:v>2</c:v>
                </c:pt>
                <c:pt idx="4">
                  <c:v>2.0499999999999998</c:v>
                </c:pt>
                <c:pt idx="5">
                  <c:v>4.0999999999999996</c:v>
                </c:pt>
                <c:pt idx="6">
                  <c:v>3.9</c:v>
                </c:pt>
                <c:pt idx="7">
                  <c:v>0</c:v>
                </c:pt>
              </c:numCache>
            </c:numRef>
          </c:val>
          <c:extLst>
            <c:ext xmlns:c16="http://schemas.microsoft.com/office/drawing/2014/chart" uri="{C3380CC4-5D6E-409C-BE32-E72D297353CC}">
              <c16:uniqueId val="{00000008-6D5E-2C4C-8423-6C83F4E0BAD7}"/>
            </c:ext>
          </c:extLst>
        </c:ser>
        <c:ser>
          <c:idx val="9"/>
          <c:order val="9"/>
          <c:tx>
            <c:v>Mix 6</c:v>
          </c:tx>
          <c:spPr>
            <a:solidFill>
              <a:schemeClr val="accent4">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activity'!$K$6:$K$13</c:f>
              <c:numCache>
                <c:formatCode>General</c:formatCode>
                <c:ptCount val="8"/>
                <c:pt idx="0">
                  <c:v>0</c:v>
                </c:pt>
                <c:pt idx="1">
                  <c:v>1</c:v>
                </c:pt>
                <c:pt idx="2">
                  <c:v>2</c:v>
                </c:pt>
                <c:pt idx="3">
                  <c:v>2</c:v>
                </c:pt>
                <c:pt idx="4">
                  <c:v>5.5</c:v>
                </c:pt>
                <c:pt idx="5">
                  <c:v>11</c:v>
                </c:pt>
                <c:pt idx="6">
                  <c:v>11</c:v>
                </c:pt>
                <c:pt idx="7">
                  <c:v>6.5</c:v>
                </c:pt>
              </c:numCache>
            </c:numRef>
          </c:val>
          <c:extLst>
            <c:ext xmlns:c16="http://schemas.microsoft.com/office/drawing/2014/chart" uri="{C3380CC4-5D6E-409C-BE32-E72D297353CC}">
              <c16:uniqueId val="{00000009-6D5E-2C4C-8423-6C83F4E0BAD7}"/>
            </c:ext>
          </c:extLst>
        </c:ser>
        <c:ser>
          <c:idx val="10"/>
          <c:order val="10"/>
          <c:tx>
            <c:v>Mix 7</c:v>
          </c:tx>
          <c:spPr>
            <a:solidFill>
              <a:schemeClr val="accent5">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activity'!$L$6:$L$13</c:f>
              <c:numCache>
                <c:formatCode>General</c:formatCode>
                <c:ptCount val="8"/>
                <c:pt idx="0">
                  <c:v>0</c:v>
                </c:pt>
                <c:pt idx="1">
                  <c:v>1</c:v>
                </c:pt>
                <c:pt idx="2">
                  <c:v>2</c:v>
                </c:pt>
                <c:pt idx="3">
                  <c:v>2</c:v>
                </c:pt>
                <c:pt idx="4">
                  <c:v>5.5</c:v>
                </c:pt>
                <c:pt idx="5">
                  <c:v>4.5</c:v>
                </c:pt>
                <c:pt idx="6">
                  <c:v>10.4</c:v>
                </c:pt>
                <c:pt idx="7">
                  <c:v>5.5</c:v>
                </c:pt>
              </c:numCache>
            </c:numRef>
          </c:val>
          <c:extLst>
            <c:ext xmlns:c16="http://schemas.microsoft.com/office/drawing/2014/chart" uri="{C3380CC4-5D6E-409C-BE32-E72D297353CC}">
              <c16:uniqueId val="{0000000A-6D5E-2C4C-8423-6C83F4E0BAD7}"/>
            </c:ext>
          </c:extLst>
        </c:ser>
        <c:ser>
          <c:idx val="11"/>
          <c:order val="11"/>
          <c:spPr>
            <a:solidFill>
              <a:schemeClr val="accent6">
                <a:lumMod val="60000"/>
              </a:schemeClr>
            </a:solidFill>
            <a:ln>
              <a:noFill/>
            </a:ln>
            <a:effectLst/>
          </c:spPr>
          <c:invertIfNegative val="0"/>
          <c:cat>
            <c:numRef>
              <c:f>'Pyrene dioxygenase activity'!$A$6:$A$13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activity'!$M$6:$M$13</c:f>
              <c:numCache>
                <c:formatCode>General</c:formatCode>
                <c:ptCount val="8"/>
                <c:pt idx="0">
                  <c:v>0</c:v>
                </c:pt>
                <c:pt idx="1">
                  <c:v>1.4</c:v>
                </c:pt>
                <c:pt idx="2">
                  <c:v>2.8</c:v>
                </c:pt>
                <c:pt idx="3">
                  <c:v>2</c:v>
                </c:pt>
                <c:pt idx="4">
                  <c:v>6.6</c:v>
                </c:pt>
                <c:pt idx="5">
                  <c:v>18.3</c:v>
                </c:pt>
                <c:pt idx="6">
                  <c:v>5.5</c:v>
                </c:pt>
                <c:pt idx="7">
                  <c:v>5.5</c:v>
                </c:pt>
              </c:numCache>
            </c:numRef>
          </c:val>
          <c:extLst>
            <c:ext xmlns:c16="http://schemas.microsoft.com/office/drawing/2014/chart" uri="{C3380CC4-5D6E-409C-BE32-E72D297353CC}">
              <c16:uniqueId val="{0000000B-6D5E-2C4C-8423-6C83F4E0BAD7}"/>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727135"/>
        <c:crosses val="autoZero"/>
        <c:auto val="1"/>
        <c:lblAlgn val="ctr"/>
        <c:lblOffset val="100"/>
        <c:noMultiLvlLbl val="0"/>
      </c:catAx>
      <c:valAx>
        <c:axId val="2056727135"/>
        <c:scaling>
          <c:orientation val="minMax"/>
        </c:scaling>
        <c:delete val="0"/>
        <c:axPos val="l"/>
        <c:title>
          <c:tx>
            <c:rich>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Specific Enzyme Activity (U/mg protein)</a:t>
                </a:r>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800143"/>
        <c:crosses val="autoZero"/>
        <c:crossBetween val="between"/>
        <c:majorUnit val="30"/>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pitchFamily="2" charset="0"/>
        </a:defRPr>
      </a:pPr>
      <a:endParaRPr lang="en-U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'Pyrene dioxygenase activity'!$B$5</c:f>
              <c:strCache>
                <c:ptCount val="1"/>
                <c:pt idx="0">
                  <c:v>URS-5</c:v>
                </c:pt>
              </c:strCache>
            </c:strRef>
          </c:tx>
          <c:spPr>
            <a:solidFill>
              <a:schemeClr val="accent1"/>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activity'!$P$6:$P$13</c:f>
              <c:numCache>
                <c:formatCode>General</c:formatCode>
                <c:ptCount val="8"/>
              </c:numCache>
            </c:numRef>
          </c:val>
          <c:extLst>
            <c:ext xmlns:c16="http://schemas.microsoft.com/office/drawing/2014/chart" uri="{C3380CC4-5D6E-409C-BE32-E72D297353CC}">
              <c16:uniqueId val="{00000000-78FF-9244-AAC1-28032BF64C68}"/>
            </c:ext>
          </c:extLst>
        </c:ser>
        <c:ser>
          <c:idx val="1"/>
          <c:order val="1"/>
          <c:tx>
            <c:strRef>
              <c:f>'Pyrene dioxygenase activity'!$C$5</c:f>
              <c:strCache>
                <c:ptCount val="1"/>
                <c:pt idx="0">
                  <c:v>URS-6</c:v>
                </c:pt>
              </c:strCache>
            </c:strRef>
          </c:tx>
          <c:spPr>
            <a:solidFill>
              <a:schemeClr val="accent2"/>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activity'!$Q$6:$Q$13</c:f>
              <c:numCache>
                <c:formatCode>General</c:formatCode>
                <c:ptCount val="8"/>
              </c:numCache>
            </c:numRef>
          </c:val>
          <c:extLst>
            <c:ext xmlns:c16="http://schemas.microsoft.com/office/drawing/2014/chart" uri="{C3380CC4-5D6E-409C-BE32-E72D297353CC}">
              <c16:uniqueId val="{00000001-78FF-9244-AAC1-28032BF64C68}"/>
            </c:ext>
          </c:extLst>
        </c:ser>
        <c:ser>
          <c:idx val="2"/>
          <c:order val="2"/>
          <c:tx>
            <c:strRef>
              <c:f>'Pyrene dioxygenase activity'!$D$5</c:f>
              <c:strCache>
                <c:ptCount val="1"/>
                <c:pt idx="0">
                  <c:v>URS-8</c:v>
                </c:pt>
              </c:strCache>
            </c:strRef>
          </c:tx>
          <c:spPr>
            <a:solidFill>
              <a:schemeClr val="accent3"/>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activity'!$R$6:$R$13</c:f>
              <c:numCache>
                <c:formatCode>General</c:formatCode>
                <c:ptCount val="8"/>
              </c:numCache>
            </c:numRef>
          </c:val>
          <c:extLst>
            <c:ext xmlns:c16="http://schemas.microsoft.com/office/drawing/2014/chart" uri="{C3380CC4-5D6E-409C-BE32-E72D297353CC}">
              <c16:uniqueId val="{00000002-78FF-9244-AAC1-28032BF64C68}"/>
            </c:ext>
          </c:extLst>
        </c:ser>
        <c:ser>
          <c:idx val="3"/>
          <c:order val="3"/>
          <c:spPr>
            <a:solidFill>
              <a:schemeClr val="accent4"/>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activity'!$S$6:$S$13</c:f>
              <c:numCache>
                <c:formatCode>General</c:formatCode>
                <c:ptCount val="8"/>
                <c:pt idx="0">
                  <c:v>0</c:v>
                </c:pt>
                <c:pt idx="1">
                  <c:v>1</c:v>
                </c:pt>
                <c:pt idx="2">
                  <c:v>2</c:v>
                </c:pt>
                <c:pt idx="3">
                  <c:v>2.1</c:v>
                </c:pt>
                <c:pt idx="4">
                  <c:v>5.9</c:v>
                </c:pt>
                <c:pt idx="5">
                  <c:v>3.3</c:v>
                </c:pt>
                <c:pt idx="6">
                  <c:v>2.1</c:v>
                </c:pt>
                <c:pt idx="7">
                  <c:v>1</c:v>
                </c:pt>
              </c:numCache>
            </c:numRef>
          </c:val>
          <c:extLst>
            <c:ext xmlns:c16="http://schemas.microsoft.com/office/drawing/2014/chart" uri="{C3380CC4-5D6E-409C-BE32-E72D297353CC}">
              <c16:uniqueId val="{00000003-78FF-9244-AAC1-28032BF64C68}"/>
            </c:ext>
          </c:extLst>
        </c:ser>
        <c:ser>
          <c:idx val="4"/>
          <c:order val="4"/>
          <c:spPr>
            <a:solidFill>
              <a:schemeClr val="accent5"/>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activity'!$T$6:$T$13</c:f>
              <c:numCache>
                <c:formatCode>General</c:formatCode>
                <c:ptCount val="8"/>
                <c:pt idx="3">
                  <c:v>0</c:v>
                </c:pt>
                <c:pt idx="4">
                  <c:v>0</c:v>
                </c:pt>
                <c:pt idx="5">
                  <c:v>0</c:v>
                </c:pt>
              </c:numCache>
            </c:numRef>
          </c:val>
          <c:extLst>
            <c:ext xmlns:c16="http://schemas.microsoft.com/office/drawing/2014/chart" uri="{C3380CC4-5D6E-409C-BE32-E72D297353CC}">
              <c16:uniqueId val="{00000004-78FF-9244-AAC1-28032BF64C68}"/>
            </c:ext>
          </c:extLst>
        </c:ser>
        <c:ser>
          <c:idx val="5"/>
          <c:order val="5"/>
          <c:spPr>
            <a:solidFill>
              <a:schemeClr val="accent6"/>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activity'!$U$6:$U$13</c:f>
              <c:numCache>
                <c:formatCode>General</c:formatCode>
                <c:ptCount val="8"/>
                <c:pt idx="3">
                  <c:v>0</c:v>
                </c:pt>
                <c:pt idx="4">
                  <c:v>0</c:v>
                </c:pt>
                <c:pt idx="5">
                  <c:v>0</c:v>
                </c:pt>
              </c:numCache>
            </c:numRef>
          </c:val>
          <c:extLst>
            <c:ext xmlns:c16="http://schemas.microsoft.com/office/drawing/2014/chart" uri="{C3380CC4-5D6E-409C-BE32-E72D297353CC}">
              <c16:uniqueId val="{00000005-78FF-9244-AAC1-28032BF64C68}"/>
            </c:ext>
          </c:extLst>
        </c:ser>
        <c:ser>
          <c:idx val="6"/>
          <c:order val="6"/>
          <c:spPr>
            <a:solidFill>
              <a:schemeClr val="accent1">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activity'!$V$6:$V$13</c:f>
              <c:numCache>
                <c:formatCode>General</c:formatCode>
                <c:ptCount val="8"/>
                <c:pt idx="0">
                  <c:v>0</c:v>
                </c:pt>
                <c:pt idx="1">
                  <c:v>1</c:v>
                </c:pt>
                <c:pt idx="2">
                  <c:v>2</c:v>
                </c:pt>
                <c:pt idx="3">
                  <c:v>4.8</c:v>
                </c:pt>
                <c:pt idx="4">
                  <c:v>2.8571428571428572</c:v>
                </c:pt>
                <c:pt idx="5">
                  <c:v>4</c:v>
                </c:pt>
                <c:pt idx="6">
                  <c:v>4</c:v>
                </c:pt>
                <c:pt idx="7">
                  <c:v>3</c:v>
                </c:pt>
              </c:numCache>
            </c:numRef>
          </c:val>
          <c:extLst>
            <c:ext xmlns:c16="http://schemas.microsoft.com/office/drawing/2014/chart" uri="{C3380CC4-5D6E-409C-BE32-E72D297353CC}">
              <c16:uniqueId val="{00000006-78FF-9244-AAC1-28032BF64C68}"/>
            </c:ext>
          </c:extLst>
        </c:ser>
        <c:ser>
          <c:idx val="7"/>
          <c:order val="7"/>
          <c:spPr>
            <a:solidFill>
              <a:schemeClr val="accent2">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activity'!$W$6:$W$13</c:f>
              <c:numCache>
                <c:formatCode>General</c:formatCode>
                <c:ptCount val="8"/>
                <c:pt idx="0">
                  <c:v>0</c:v>
                </c:pt>
                <c:pt idx="1">
                  <c:v>1</c:v>
                </c:pt>
                <c:pt idx="2">
                  <c:v>2</c:v>
                </c:pt>
                <c:pt idx="3">
                  <c:v>25</c:v>
                </c:pt>
                <c:pt idx="4">
                  <c:v>9</c:v>
                </c:pt>
                <c:pt idx="5">
                  <c:v>2.2999999999999998</c:v>
                </c:pt>
                <c:pt idx="6">
                  <c:v>1.3</c:v>
                </c:pt>
                <c:pt idx="7">
                  <c:v>0.7</c:v>
                </c:pt>
              </c:numCache>
            </c:numRef>
          </c:val>
          <c:extLst>
            <c:ext xmlns:c16="http://schemas.microsoft.com/office/drawing/2014/chart" uri="{C3380CC4-5D6E-409C-BE32-E72D297353CC}">
              <c16:uniqueId val="{00000007-78FF-9244-AAC1-28032BF64C68}"/>
            </c:ext>
          </c:extLst>
        </c:ser>
        <c:ser>
          <c:idx val="8"/>
          <c:order val="8"/>
          <c:spPr>
            <a:solidFill>
              <a:schemeClr val="accent3">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activity'!$X$6:$X$13</c:f>
              <c:numCache>
                <c:formatCode>General</c:formatCode>
                <c:ptCount val="8"/>
                <c:pt idx="0">
                  <c:v>0</c:v>
                </c:pt>
                <c:pt idx="1">
                  <c:v>1</c:v>
                </c:pt>
                <c:pt idx="2">
                  <c:v>1</c:v>
                </c:pt>
                <c:pt idx="3">
                  <c:v>4.08</c:v>
                </c:pt>
                <c:pt idx="4">
                  <c:v>2.4285714285714288</c:v>
                </c:pt>
                <c:pt idx="5">
                  <c:v>3.4</c:v>
                </c:pt>
                <c:pt idx="6">
                  <c:v>5</c:v>
                </c:pt>
                <c:pt idx="7">
                  <c:v>3.4</c:v>
                </c:pt>
              </c:numCache>
            </c:numRef>
          </c:val>
          <c:extLst>
            <c:ext xmlns:c16="http://schemas.microsoft.com/office/drawing/2014/chart" uri="{C3380CC4-5D6E-409C-BE32-E72D297353CC}">
              <c16:uniqueId val="{00000008-78FF-9244-AAC1-28032BF64C68}"/>
            </c:ext>
          </c:extLst>
        </c:ser>
        <c:ser>
          <c:idx val="9"/>
          <c:order val="9"/>
          <c:spPr>
            <a:solidFill>
              <a:schemeClr val="accent4">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activity'!$Y$6:$Y$13</c:f>
              <c:numCache>
                <c:formatCode>General</c:formatCode>
                <c:ptCount val="8"/>
                <c:pt idx="0">
                  <c:v>0</c:v>
                </c:pt>
                <c:pt idx="1">
                  <c:v>1</c:v>
                </c:pt>
                <c:pt idx="2">
                  <c:v>2</c:v>
                </c:pt>
                <c:pt idx="3">
                  <c:v>4.08</c:v>
                </c:pt>
                <c:pt idx="4">
                  <c:v>5.6</c:v>
                </c:pt>
                <c:pt idx="5">
                  <c:v>3.4</c:v>
                </c:pt>
                <c:pt idx="6">
                  <c:v>1.3</c:v>
                </c:pt>
                <c:pt idx="7">
                  <c:v>1.3</c:v>
                </c:pt>
              </c:numCache>
            </c:numRef>
          </c:val>
          <c:extLst>
            <c:ext xmlns:c16="http://schemas.microsoft.com/office/drawing/2014/chart" uri="{C3380CC4-5D6E-409C-BE32-E72D297353CC}">
              <c16:uniqueId val="{00000009-78FF-9244-AAC1-28032BF64C68}"/>
            </c:ext>
          </c:extLst>
        </c:ser>
        <c:ser>
          <c:idx val="10"/>
          <c:order val="10"/>
          <c:spPr>
            <a:solidFill>
              <a:schemeClr val="accent5">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activity'!$Z$6:$Z$13</c:f>
              <c:numCache>
                <c:formatCode>General</c:formatCode>
                <c:ptCount val="8"/>
                <c:pt idx="0">
                  <c:v>0</c:v>
                </c:pt>
                <c:pt idx="1">
                  <c:v>1.2</c:v>
                </c:pt>
                <c:pt idx="2">
                  <c:v>2.4</c:v>
                </c:pt>
                <c:pt idx="3">
                  <c:v>1.56</c:v>
                </c:pt>
                <c:pt idx="4">
                  <c:v>3</c:v>
                </c:pt>
                <c:pt idx="5">
                  <c:v>1.3</c:v>
                </c:pt>
                <c:pt idx="6">
                  <c:v>1.1000000000000001</c:v>
                </c:pt>
                <c:pt idx="7">
                  <c:v>0.8</c:v>
                </c:pt>
              </c:numCache>
            </c:numRef>
          </c:val>
          <c:extLst>
            <c:ext xmlns:c16="http://schemas.microsoft.com/office/drawing/2014/chart" uri="{C3380CC4-5D6E-409C-BE32-E72D297353CC}">
              <c16:uniqueId val="{0000000A-78FF-9244-AAC1-28032BF64C68}"/>
            </c:ext>
          </c:extLst>
        </c:ser>
        <c:ser>
          <c:idx val="11"/>
          <c:order val="11"/>
          <c:spPr>
            <a:solidFill>
              <a:schemeClr val="accent6">
                <a:lumMod val="60000"/>
              </a:schemeClr>
            </a:solidFill>
            <a:ln>
              <a:noFill/>
            </a:ln>
            <a:effectLst/>
          </c:spPr>
          <c:invertIfNegative val="0"/>
          <c:cat>
            <c:numRef>
              <c:f>'Pyrene dioxygenase activity'!$O$6:$O$13</c:f>
              <c:numCache>
                <c:formatCode>General</c:formatCode>
                <c:ptCount val="8"/>
                <c:pt idx="0">
                  <c:v>2</c:v>
                </c:pt>
                <c:pt idx="1">
                  <c:v>4</c:v>
                </c:pt>
                <c:pt idx="2">
                  <c:v>6</c:v>
                </c:pt>
                <c:pt idx="3">
                  <c:v>8</c:v>
                </c:pt>
                <c:pt idx="4">
                  <c:v>10</c:v>
                </c:pt>
                <c:pt idx="5">
                  <c:v>12</c:v>
                </c:pt>
                <c:pt idx="6">
                  <c:v>14</c:v>
                </c:pt>
                <c:pt idx="7">
                  <c:v>16</c:v>
                </c:pt>
              </c:numCache>
            </c:numRef>
          </c:cat>
          <c:val>
            <c:numRef>
              <c:f>'Pyrene dioxygenase activity'!$AA$6:$AA$13</c:f>
              <c:numCache>
                <c:formatCode>General</c:formatCode>
                <c:ptCount val="8"/>
                <c:pt idx="0">
                  <c:v>0</c:v>
                </c:pt>
                <c:pt idx="1">
                  <c:v>1</c:v>
                </c:pt>
                <c:pt idx="2">
                  <c:v>2</c:v>
                </c:pt>
                <c:pt idx="3">
                  <c:v>19.399999999999999</c:v>
                </c:pt>
                <c:pt idx="4">
                  <c:v>3.5</c:v>
                </c:pt>
                <c:pt idx="5">
                  <c:v>1.2</c:v>
                </c:pt>
                <c:pt idx="6">
                  <c:v>1.2</c:v>
                </c:pt>
                <c:pt idx="7">
                  <c:v>2.2000000000000002</c:v>
                </c:pt>
              </c:numCache>
            </c:numRef>
          </c:val>
          <c:extLst>
            <c:ext xmlns:c16="http://schemas.microsoft.com/office/drawing/2014/chart" uri="{C3380CC4-5D6E-409C-BE32-E72D297353CC}">
              <c16:uniqueId val="{0000000B-78FF-9244-AAC1-28032BF64C68}"/>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lgn="ctr" rtl="0">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Time of incubation (hour)</a:t>
                </a:r>
              </a:p>
            </c:rich>
          </c:tx>
          <c:overlay val="0"/>
          <c:spPr>
            <a:noFill/>
            <a:ln>
              <a:noFill/>
            </a:ln>
            <a:effectLst/>
          </c:spPr>
          <c:txPr>
            <a:bodyPr rot="0" spcFirstLastPara="1" vertOverflow="ellipsis" vert="horz" wrap="square" anchor="ctr" anchorCtr="1"/>
            <a:lstStyle/>
            <a:p>
              <a:pPr algn="ctr" rtl="0">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majorUnit val="3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'Catechol dioxygenase'!$B$8</c:f>
              <c:strCache>
                <c:ptCount val="1"/>
                <c:pt idx="0">
                  <c:v>URS-5</c:v>
                </c:pt>
              </c:strCache>
            </c:strRef>
          </c:tx>
          <c:spPr>
            <a:solidFill>
              <a:schemeClr val="accent1"/>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dioxygenase'!$B$9:$B$17</c:f>
              <c:numCache>
                <c:formatCode>General</c:formatCode>
                <c:ptCount val="9"/>
                <c:pt idx="0">
                  <c:v>0</c:v>
                </c:pt>
                <c:pt idx="1">
                  <c:v>0</c:v>
                </c:pt>
                <c:pt idx="2">
                  <c:v>3.5</c:v>
                </c:pt>
                <c:pt idx="3">
                  <c:v>3.9</c:v>
                </c:pt>
                <c:pt idx="4">
                  <c:v>23.307692307692307</c:v>
                </c:pt>
                <c:pt idx="5">
                  <c:v>30.3</c:v>
                </c:pt>
                <c:pt idx="6">
                  <c:v>15.15</c:v>
                </c:pt>
                <c:pt idx="7">
                  <c:v>15.15</c:v>
                </c:pt>
              </c:numCache>
            </c:numRef>
          </c:val>
          <c:extLst>
            <c:ext xmlns:c16="http://schemas.microsoft.com/office/drawing/2014/chart" uri="{C3380CC4-5D6E-409C-BE32-E72D297353CC}">
              <c16:uniqueId val="{00000000-B8E8-1C40-B159-8B4E7B679159}"/>
            </c:ext>
          </c:extLst>
        </c:ser>
        <c:ser>
          <c:idx val="1"/>
          <c:order val="1"/>
          <c:tx>
            <c:strRef>
              <c:f>'Catechol dioxygenase'!$C$8</c:f>
              <c:strCache>
                <c:ptCount val="1"/>
                <c:pt idx="0">
                  <c:v>URS-6</c:v>
                </c:pt>
              </c:strCache>
            </c:strRef>
          </c:tx>
          <c:spPr>
            <a:solidFill>
              <a:schemeClr val="accent2"/>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dioxygenase'!$C$9:$C$17</c:f>
              <c:numCache>
                <c:formatCode>General</c:formatCode>
                <c:ptCount val="9"/>
                <c:pt idx="0">
                  <c:v>2.4</c:v>
                </c:pt>
                <c:pt idx="1">
                  <c:v>5.6</c:v>
                </c:pt>
                <c:pt idx="2">
                  <c:v>4.5</c:v>
                </c:pt>
                <c:pt idx="3">
                  <c:v>18.600000000000001</c:v>
                </c:pt>
                <c:pt idx="4">
                  <c:v>25.69230769230769</c:v>
                </c:pt>
                <c:pt idx="5">
                  <c:v>33.4</c:v>
                </c:pt>
                <c:pt idx="6">
                  <c:v>33.299999999999997</c:v>
                </c:pt>
                <c:pt idx="7">
                  <c:v>16.7</c:v>
                </c:pt>
              </c:numCache>
            </c:numRef>
          </c:val>
          <c:extLst>
            <c:ext xmlns:c16="http://schemas.microsoft.com/office/drawing/2014/chart" uri="{C3380CC4-5D6E-409C-BE32-E72D297353CC}">
              <c16:uniqueId val="{00000001-B8E8-1C40-B159-8B4E7B679159}"/>
            </c:ext>
          </c:extLst>
        </c:ser>
        <c:ser>
          <c:idx val="2"/>
          <c:order val="2"/>
          <c:tx>
            <c:strRef>
              <c:f>'Catechol dioxygenase'!$D$8</c:f>
              <c:strCache>
                <c:ptCount val="1"/>
                <c:pt idx="0">
                  <c:v>URS-8</c:v>
                </c:pt>
              </c:strCache>
            </c:strRef>
          </c:tx>
          <c:spPr>
            <a:solidFill>
              <a:schemeClr val="accent3"/>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dioxygenase'!$D$9:$D$17</c:f>
              <c:numCache>
                <c:formatCode>General</c:formatCode>
                <c:ptCount val="9"/>
                <c:pt idx="0">
                  <c:v>0</c:v>
                </c:pt>
                <c:pt idx="1">
                  <c:v>0</c:v>
                </c:pt>
                <c:pt idx="2">
                  <c:v>0</c:v>
                </c:pt>
                <c:pt idx="3">
                  <c:v>2.2999999999999998</c:v>
                </c:pt>
                <c:pt idx="4">
                  <c:v>7.8461538461538449</c:v>
                </c:pt>
                <c:pt idx="5">
                  <c:v>10.199999999999999</c:v>
                </c:pt>
                <c:pt idx="6">
                  <c:v>10.199999999999999</c:v>
                </c:pt>
                <c:pt idx="7">
                  <c:v>5.0999999999999996</c:v>
                </c:pt>
              </c:numCache>
            </c:numRef>
          </c:val>
          <c:extLst>
            <c:ext xmlns:c16="http://schemas.microsoft.com/office/drawing/2014/chart" uri="{C3380CC4-5D6E-409C-BE32-E72D297353CC}">
              <c16:uniqueId val="{00000002-B8E8-1C40-B159-8B4E7B679159}"/>
            </c:ext>
          </c:extLst>
        </c:ser>
        <c:ser>
          <c:idx val="3"/>
          <c:order val="3"/>
          <c:spPr>
            <a:solidFill>
              <a:schemeClr val="accent4"/>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dioxygenase'!$E$9:$E$17</c:f>
              <c:numCache>
                <c:formatCode>General</c:formatCode>
                <c:ptCount val="9"/>
                <c:pt idx="0">
                  <c:v>0</c:v>
                </c:pt>
                <c:pt idx="1">
                  <c:v>1</c:v>
                </c:pt>
                <c:pt idx="2">
                  <c:v>2</c:v>
                </c:pt>
                <c:pt idx="3">
                  <c:v>2</c:v>
                </c:pt>
                <c:pt idx="4">
                  <c:v>12.307692307692307</c:v>
                </c:pt>
                <c:pt idx="5">
                  <c:v>16</c:v>
                </c:pt>
                <c:pt idx="6">
                  <c:v>16</c:v>
                </c:pt>
                <c:pt idx="7">
                  <c:v>8</c:v>
                </c:pt>
              </c:numCache>
            </c:numRef>
          </c:val>
          <c:extLst>
            <c:ext xmlns:c16="http://schemas.microsoft.com/office/drawing/2014/chart" uri="{C3380CC4-5D6E-409C-BE32-E72D297353CC}">
              <c16:uniqueId val="{00000003-B8E8-1C40-B159-8B4E7B679159}"/>
            </c:ext>
          </c:extLst>
        </c:ser>
        <c:ser>
          <c:idx val="4"/>
          <c:order val="4"/>
          <c:spPr>
            <a:solidFill>
              <a:schemeClr val="accent5"/>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dioxygenase'!$F$9:$F$17</c:f>
              <c:numCache>
                <c:formatCode>General</c:formatCode>
                <c:ptCount val="9"/>
                <c:pt idx="0">
                  <c:v>1.0714285714285714</c:v>
                </c:pt>
                <c:pt idx="1">
                  <c:v>3.2142857142857144</c:v>
                </c:pt>
                <c:pt idx="2">
                  <c:v>3.8571428571428577</c:v>
                </c:pt>
                <c:pt idx="3">
                  <c:v>10.357142857142858</c:v>
                </c:pt>
                <c:pt idx="4">
                  <c:v>29.46153846153846</c:v>
                </c:pt>
                <c:pt idx="5">
                  <c:v>38.299999999999997</c:v>
                </c:pt>
                <c:pt idx="6">
                  <c:v>13.928571428571429</c:v>
                </c:pt>
                <c:pt idx="7">
                  <c:v>19.149999999999999</c:v>
                </c:pt>
              </c:numCache>
            </c:numRef>
          </c:val>
          <c:extLst>
            <c:ext xmlns:c16="http://schemas.microsoft.com/office/drawing/2014/chart" uri="{C3380CC4-5D6E-409C-BE32-E72D297353CC}">
              <c16:uniqueId val="{00000004-B8E8-1C40-B159-8B4E7B679159}"/>
            </c:ext>
          </c:extLst>
        </c:ser>
        <c:ser>
          <c:idx val="5"/>
          <c:order val="5"/>
          <c:spPr>
            <a:solidFill>
              <a:schemeClr val="accent6"/>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dioxygenase'!$G$9:$G$17</c:f>
              <c:numCache>
                <c:formatCode>General</c:formatCode>
                <c:ptCount val="9"/>
                <c:pt idx="0">
                  <c:v>1.5</c:v>
                </c:pt>
                <c:pt idx="1">
                  <c:v>4.5</c:v>
                </c:pt>
                <c:pt idx="2">
                  <c:v>5.4</c:v>
                </c:pt>
                <c:pt idx="3">
                  <c:v>8.3000000000000007</c:v>
                </c:pt>
                <c:pt idx="4">
                  <c:v>19.3</c:v>
                </c:pt>
                <c:pt idx="5">
                  <c:v>19.399999999999999</c:v>
                </c:pt>
                <c:pt idx="6">
                  <c:v>10.5</c:v>
                </c:pt>
                <c:pt idx="7">
                  <c:v>9.6999999999999993</c:v>
                </c:pt>
              </c:numCache>
            </c:numRef>
          </c:val>
          <c:extLst>
            <c:ext xmlns:c16="http://schemas.microsoft.com/office/drawing/2014/chart" uri="{C3380CC4-5D6E-409C-BE32-E72D297353CC}">
              <c16:uniqueId val="{00000005-B8E8-1C40-B159-8B4E7B679159}"/>
            </c:ext>
          </c:extLst>
        </c:ser>
        <c:ser>
          <c:idx val="6"/>
          <c:order val="6"/>
          <c:spPr>
            <a:solidFill>
              <a:schemeClr val="accent1">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dioxygenase'!$H$9:$H$17</c:f>
              <c:numCache>
                <c:formatCode>General</c:formatCode>
                <c:ptCount val="9"/>
                <c:pt idx="0">
                  <c:v>1.5999999999999999</c:v>
                </c:pt>
                <c:pt idx="1">
                  <c:v>3.7333333333333329</c:v>
                </c:pt>
                <c:pt idx="2">
                  <c:v>3</c:v>
                </c:pt>
                <c:pt idx="3">
                  <c:v>12.4</c:v>
                </c:pt>
                <c:pt idx="4">
                  <c:v>14.076923076923077</c:v>
                </c:pt>
                <c:pt idx="5">
                  <c:v>18.3</c:v>
                </c:pt>
                <c:pt idx="6">
                  <c:v>13.3</c:v>
                </c:pt>
                <c:pt idx="7">
                  <c:v>9.15</c:v>
                </c:pt>
              </c:numCache>
            </c:numRef>
          </c:val>
          <c:extLst>
            <c:ext xmlns:c16="http://schemas.microsoft.com/office/drawing/2014/chart" uri="{C3380CC4-5D6E-409C-BE32-E72D297353CC}">
              <c16:uniqueId val="{00000006-B8E8-1C40-B159-8B4E7B679159}"/>
            </c:ext>
          </c:extLst>
        </c:ser>
        <c:ser>
          <c:idx val="7"/>
          <c:order val="7"/>
          <c:spPr>
            <a:solidFill>
              <a:schemeClr val="accent2">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dioxygenase'!$I$9:$I$17</c:f>
              <c:numCache>
                <c:formatCode>General</c:formatCode>
                <c:ptCount val="9"/>
                <c:pt idx="0">
                  <c:v>1.6666666666666665</c:v>
                </c:pt>
                <c:pt idx="1">
                  <c:v>0</c:v>
                </c:pt>
                <c:pt idx="2">
                  <c:v>0</c:v>
                </c:pt>
                <c:pt idx="3">
                  <c:v>1.5333333333333332</c:v>
                </c:pt>
                <c:pt idx="4">
                  <c:v>5.2307692307692308</c:v>
                </c:pt>
                <c:pt idx="5">
                  <c:v>6.8</c:v>
                </c:pt>
                <c:pt idx="6">
                  <c:v>6.8</c:v>
                </c:pt>
                <c:pt idx="7">
                  <c:v>3.4</c:v>
                </c:pt>
              </c:numCache>
            </c:numRef>
          </c:val>
          <c:extLst>
            <c:ext xmlns:c16="http://schemas.microsoft.com/office/drawing/2014/chart" uri="{C3380CC4-5D6E-409C-BE32-E72D297353CC}">
              <c16:uniqueId val="{00000007-B8E8-1C40-B159-8B4E7B679159}"/>
            </c:ext>
          </c:extLst>
        </c:ser>
        <c:ser>
          <c:idx val="8"/>
          <c:order val="8"/>
          <c:spPr>
            <a:solidFill>
              <a:schemeClr val="accent3">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dioxygenase'!$J$9:$J$17</c:f>
              <c:numCache>
                <c:formatCode>General</c:formatCode>
                <c:ptCount val="9"/>
                <c:pt idx="0">
                  <c:v>1.5</c:v>
                </c:pt>
                <c:pt idx="1">
                  <c:v>4.5</c:v>
                </c:pt>
                <c:pt idx="2">
                  <c:v>5.4</c:v>
                </c:pt>
                <c:pt idx="3">
                  <c:v>14.5</c:v>
                </c:pt>
                <c:pt idx="4">
                  <c:v>14.5</c:v>
                </c:pt>
                <c:pt idx="5">
                  <c:v>13.3</c:v>
                </c:pt>
                <c:pt idx="6">
                  <c:v>14.4</c:v>
                </c:pt>
                <c:pt idx="7">
                  <c:v>11.3</c:v>
                </c:pt>
              </c:numCache>
            </c:numRef>
          </c:val>
          <c:extLst>
            <c:ext xmlns:c16="http://schemas.microsoft.com/office/drawing/2014/chart" uri="{C3380CC4-5D6E-409C-BE32-E72D297353CC}">
              <c16:uniqueId val="{00000008-B8E8-1C40-B159-8B4E7B679159}"/>
            </c:ext>
          </c:extLst>
        </c:ser>
        <c:ser>
          <c:idx val="9"/>
          <c:order val="9"/>
          <c:spPr>
            <a:solidFill>
              <a:schemeClr val="accent4">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dioxygenase'!$K$9:$K$17</c:f>
              <c:numCache>
                <c:formatCode>General</c:formatCode>
                <c:ptCount val="9"/>
                <c:pt idx="0">
                  <c:v>1.0714285714285714</c:v>
                </c:pt>
                <c:pt idx="1">
                  <c:v>3.2142857142857144</c:v>
                </c:pt>
                <c:pt idx="2">
                  <c:v>3.8571428571428577</c:v>
                </c:pt>
                <c:pt idx="3">
                  <c:v>7</c:v>
                </c:pt>
                <c:pt idx="4">
                  <c:v>8.4615384615384617</c:v>
                </c:pt>
                <c:pt idx="5">
                  <c:v>11</c:v>
                </c:pt>
                <c:pt idx="6">
                  <c:v>11</c:v>
                </c:pt>
                <c:pt idx="7">
                  <c:v>5.5</c:v>
                </c:pt>
              </c:numCache>
            </c:numRef>
          </c:val>
          <c:extLst>
            <c:ext xmlns:c16="http://schemas.microsoft.com/office/drawing/2014/chart" uri="{C3380CC4-5D6E-409C-BE32-E72D297353CC}">
              <c16:uniqueId val="{00000009-B8E8-1C40-B159-8B4E7B679159}"/>
            </c:ext>
          </c:extLst>
        </c:ser>
        <c:ser>
          <c:idx val="10"/>
          <c:order val="10"/>
          <c:spPr>
            <a:solidFill>
              <a:schemeClr val="accent5">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dioxygenase'!$L$9:$L$17</c:f>
              <c:numCache>
                <c:formatCode>General</c:formatCode>
                <c:ptCount val="9"/>
                <c:pt idx="0">
                  <c:v>1.5</c:v>
                </c:pt>
                <c:pt idx="1">
                  <c:v>4.5</c:v>
                </c:pt>
                <c:pt idx="2">
                  <c:v>5.4</c:v>
                </c:pt>
                <c:pt idx="3">
                  <c:v>14.5</c:v>
                </c:pt>
                <c:pt idx="4">
                  <c:v>8.6923076923076934</c:v>
                </c:pt>
                <c:pt idx="5">
                  <c:v>11.3</c:v>
                </c:pt>
                <c:pt idx="6">
                  <c:v>19.5</c:v>
                </c:pt>
                <c:pt idx="7">
                  <c:v>5.65</c:v>
                </c:pt>
              </c:numCache>
            </c:numRef>
          </c:val>
          <c:extLst>
            <c:ext xmlns:c16="http://schemas.microsoft.com/office/drawing/2014/chart" uri="{C3380CC4-5D6E-409C-BE32-E72D297353CC}">
              <c16:uniqueId val="{0000000A-B8E8-1C40-B159-8B4E7B679159}"/>
            </c:ext>
          </c:extLst>
        </c:ser>
        <c:ser>
          <c:idx val="11"/>
          <c:order val="11"/>
          <c:spPr>
            <a:solidFill>
              <a:schemeClr val="accent6">
                <a:lumMod val="60000"/>
              </a:schemeClr>
            </a:solidFill>
            <a:ln>
              <a:noFill/>
            </a:ln>
            <a:effectLst/>
          </c:spPr>
          <c:invertIfNegative val="0"/>
          <c:cat>
            <c:numRef>
              <c:f>'Catechol dioxygenase'!$A$9:$A$17</c:f>
              <c:numCache>
                <c:formatCode>General</c:formatCode>
                <c:ptCount val="9"/>
                <c:pt idx="0">
                  <c:v>2</c:v>
                </c:pt>
                <c:pt idx="1">
                  <c:v>4</c:v>
                </c:pt>
                <c:pt idx="2">
                  <c:v>6</c:v>
                </c:pt>
                <c:pt idx="3">
                  <c:v>8</c:v>
                </c:pt>
                <c:pt idx="4">
                  <c:v>10</c:v>
                </c:pt>
                <c:pt idx="5">
                  <c:v>12</c:v>
                </c:pt>
                <c:pt idx="6">
                  <c:v>14</c:v>
                </c:pt>
                <c:pt idx="7">
                  <c:v>16</c:v>
                </c:pt>
              </c:numCache>
            </c:numRef>
          </c:cat>
          <c:val>
            <c:numRef>
              <c:f>'Catechol dioxygenase'!$M$9:$M$17</c:f>
              <c:numCache>
                <c:formatCode>General</c:formatCode>
                <c:ptCount val="9"/>
                <c:pt idx="0">
                  <c:v>1.5</c:v>
                </c:pt>
                <c:pt idx="1">
                  <c:v>4.5</c:v>
                </c:pt>
                <c:pt idx="2">
                  <c:v>5.4</c:v>
                </c:pt>
                <c:pt idx="3">
                  <c:v>9</c:v>
                </c:pt>
                <c:pt idx="4">
                  <c:v>10</c:v>
                </c:pt>
                <c:pt idx="5">
                  <c:v>13</c:v>
                </c:pt>
                <c:pt idx="6">
                  <c:v>13</c:v>
                </c:pt>
                <c:pt idx="7">
                  <c:v>6.5</c:v>
                </c:pt>
              </c:numCache>
            </c:numRef>
          </c:val>
          <c:extLst>
            <c:ext xmlns:c16="http://schemas.microsoft.com/office/drawing/2014/chart" uri="{C3380CC4-5D6E-409C-BE32-E72D297353CC}">
              <c16:uniqueId val="{0000000B-B8E8-1C40-B159-8B4E7B679159}"/>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727135"/>
        <c:crosses val="autoZero"/>
        <c:auto val="1"/>
        <c:lblAlgn val="ctr"/>
        <c:lblOffset val="100"/>
        <c:noMultiLvlLbl val="0"/>
      </c:catAx>
      <c:valAx>
        <c:axId val="2056727135"/>
        <c:scaling>
          <c:orientation val="minMax"/>
        </c:scaling>
        <c:delete val="0"/>
        <c:axPos val="l"/>
        <c:title>
          <c:tx>
            <c:rich>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Specific Enzyme Activity (U/mg protein)</a:t>
                </a:r>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pitchFamily="2" charset="0"/>
        </a:defRPr>
      </a:pPr>
      <a:endParaRPr lang="en-U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363267669936734"/>
          <c:y val="6.5459798143719022E-2"/>
          <c:w val="0.85491452860959516"/>
          <c:h val="0.71874458442189859"/>
        </c:manualLayout>
      </c:layout>
      <c:barChart>
        <c:barDir val="col"/>
        <c:grouping val="stacked"/>
        <c:varyColors val="0"/>
        <c:ser>
          <c:idx val="0"/>
          <c:order val="0"/>
          <c:tx>
            <c:strRef>
              <c:f>'Catechol dioxygenase'!$B$8</c:f>
              <c:strCache>
                <c:ptCount val="1"/>
                <c:pt idx="0">
                  <c:v>URS-5</c:v>
                </c:pt>
              </c:strCache>
            </c:strRef>
          </c:tx>
          <c:spPr>
            <a:solidFill>
              <a:schemeClr val="accent1"/>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dioxygenase'!$Q$9:$Q$17</c:f>
              <c:numCache>
                <c:formatCode>General</c:formatCode>
                <c:ptCount val="9"/>
                <c:pt idx="0">
                  <c:v>0</c:v>
                </c:pt>
                <c:pt idx="1">
                  <c:v>0</c:v>
                </c:pt>
                <c:pt idx="2">
                  <c:v>3.5</c:v>
                </c:pt>
                <c:pt idx="3">
                  <c:v>3.9</c:v>
                </c:pt>
                <c:pt idx="4">
                  <c:v>14</c:v>
                </c:pt>
                <c:pt idx="5">
                  <c:v>7</c:v>
                </c:pt>
                <c:pt idx="6">
                  <c:v>6</c:v>
                </c:pt>
                <c:pt idx="7">
                  <c:v>4</c:v>
                </c:pt>
              </c:numCache>
            </c:numRef>
          </c:val>
          <c:extLst>
            <c:ext xmlns:c16="http://schemas.microsoft.com/office/drawing/2014/chart" uri="{C3380CC4-5D6E-409C-BE32-E72D297353CC}">
              <c16:uniqueId val="{00000000-1070-2049-A872-E0D044967A42}"/>
            </c:ext>
          </c:extLst>
        </c:ser>
        <c:ser>
          <c:idx val="1"/>
          <c:order val="1"/>
          <c:tx>
            <c:strRef>
              <c:f>'Catechol dioxygenase'!$C$8</c:f>
              <c:strCache>
                <c:ptCount val="1"/>
                <c:pt idx="0">
                  <c:v>URS-6</c:v>
                </c:pt>
              </c:strCache>
            </c:strRef>
          </c:tx>
          <c:spPr>
            <a:solidFill>
              <a:schemeClr val="accent2"/>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dioxygenase'!$R$9:$R$17</c:f>
              <c:numCache>
                <c:formatCode>General</c:formatCode>
                <c:ptCount val="9"/>
                <c:pt idx="0">
                  <c:v>2.4</c:v>
                </c:pt>
                <c:pt idx="1">
                  <c:v>5.6</c:v>
                </c:pt>
                <c:pt idx="2">
                  <c:v>4.5</c:v>
                </c:pt>
                <c:pt idx="3">
                  <c:v>7.8</c:v>
                </c:pt>
                <c:pt idx="4">
                  <c:v>15</c:v>
                </c:pt>
                <c:pt idx="5">
                  <c:v>7</c:v>
                </c:pt>
                <c:pt idx="6">
                  <c:v>4</c:v>
                </c:pt>
                <c:pt idx="7">
                  <c:v>4</c:v>
                </c:pt>
              </c:numCache>
            </c:numRef>
          </c:val>
          <c:extLst>
            <c:ext xmlns:c16="http://schemas.microsoft.com/office/drawing/2014/chart" uri="{C3380CC4-5D6E-409C-BE32-E72D297353CC}">
              <c16:uniqueId val="{00000001-1070-2049-A872-E0D044967A42}"/>
            </c:ext>
          </c:extLst>
        </c:ser>
        <c:ser>
          <c:idx val="2"/>
          <c:order val="2"/>
          <c:tx>
            <c:strRef>
              <c:f>'Catechol dioxygenase'!$D$8</c:f>
              <c:strCache>
                <c:ptCount val="1"/>
                <c:pt idx="0">
                  <c:v>URS-8</c:v>
                </c:pt>
              </c:strCache>
            </c:strRef>
          </c:tx>
          <c:spPr>
            <a:solidFill>
              <a:schemeClr val="accent3"/>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dioxygenase'!$S$9:$S$17</c:f>
              <c:numCache>
                <c:formatCode>General</c:formatCode>
                <c:ptCount val="9"/>
                <c:pt idx="0">
                  <c:v>0</c:v>
                </c:pt>
                <c:pt idx="1">
                  <c:v>0</c:v>
                </c:pt>
                <c:pt idx="2">
                  <c:v>0</c:v>
                </c:pt>
                <c:pt idx="3">
                  <c:v>2.2999999999999998</c:v>
                </c:pt>
                <c:pt idx="4">
                  <c:v>5.604395604395604</c:v>
                </c:pt>
                <c:pt idx="5">
                  <c:v>7.2857142857142856</c:v>
                </c:pt>
                <c:pt idx="6">
                  <c:v>7.2857142857142856</c:v>
                </c:pt>
                <c:pt idx="7">
                  <c:v>3.6428571428571428</c:v>
                </c:pt>
              </c:numCache>
            </c:numRef>
          </c:val>
          <c:extLst>
            <c:ext xmlns:c16="http://schemas.microsoft.com/office/drawing/2014/chart" uri="{C3380CC4-5D6E-409C-BE32-E72D297353CC}">
              <c16:uniqueId val="{00000002-1070-2049-A872-E0D044967A42}"/>
            </c:ext>
          </c:extLst>
        </c:ser>
        <c:ser>
          <c:idx val="3"/>
          <c:order val="3"/>
          <c:spPr>
            <a:solidFill>
              <a:schemeClr val="accent4"/>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dioxygenase'!$T$9:$T$17</c:f>
              <c:numCache>
                <c:formatCode>General</c:formatCode>
                <c:ptCount val="9"/>
                <c:pt idx="0">
                  <c:v>0</c:v>
                </c:pt>
                <c:pt idx="1">
                  <c:v>1</c:v>
                </c:pt>
                <c:pt idx="2">
                  <c:v>2</c:v>
                </c:pt>
                <c:pt idx="3">
                  <c:v>2</c:v>
                </c:pt>
                <c:pt idx="4">
                  <c:v>8.7912087912087902</c:v>
                </c:pt>
                <c:pt idx="5">
                  <c:v>11.428571428571429</c:v>
                </c:pt>
                <c:pt idx="6">
                  <c:v>15.4</c:v>
                </c:pt>
                <c:pt idx="7">
                  <c:v>5.7142857142857144</c:v>
                </c:pt>
              </c:numCache>
            </c:numRef>
          </c:val>
          <c:extLst>
            <c:ext xmlns:c16="http://schemas.microsoft.com/office/drawing/2014/chart" uri="{C3380CC4-5D6E-409C-BE32-E72D297353CC}">
              <c16:uniqueId val="{00000003-1070-2049-A872-E0D044967A42}"/>
            </c:ext>
          </c:extLst>
        </c:ser>
        <c:ser>
          <c:idx val="4"/>
          <c:order val="4"/>
          <c:spPr>
            <a:solidFill>
              <a:schemeClr val="accent5"/>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dioxygenase'!$U$9:$U$17</c:f>
              <c:numCache>
                <c:formatCode>General</c:formatCode>
                <c:ptCount val="9"/>
                <c:pt idx="0">
                  <c:v>2</c:v>
                </c:pt>
                <c:pt idx="1">
                  <c:v>2</c:v>
                </c:pt>
                <c:pt idx="2">
                  <c:v>2</c:v>
                </c:pt>
                <c:pt idx="3">
                  <c:v>4</c:v>
                </c:pt>
                <c:pt idx="4">
                  <c:v>4</c:v>
                </c:pt>
                <c:pt idx="5">
                  <c:v>3.4</c:v>
                </c:pt>
                <c:pt idx="6">
                  <c:v>13</c:v>
                </c:pt>
                <c:pt idx="7">
                  <c:v>9.5</c:v>
                </c:pt>
              </c:numCache>
            </c:numRef>
          </c:val>
          <c:extLst>
            <c:ext xmlns:c16="http://schemas.microsoft.com/office/drawing/2014/chart" uri="{C3380CC4-5D6E-409C-BE32-E72D297353CC}">
              <c16:uniqueId val="{00000004-1070-2049-A872-E0D044967A42}"/>
            </c:ext>
          </c:extLst>
        </c:ser>
        <c:ser>
          <c:idx val="5"/>
          <c:order val="5"/>
          <c:spPr>
            <a:solidFill>
              <a:schemeClr val="accent6"/>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dioxygenase'!$V$9:$V$17</c:f>
              <c:numCache>
                <c:formatCode>General</c:formatCode>
                <c:ptCount val="9"/>
                <c:pt idx="0">
                  <c:v>1.1538461538461537</c:v>
                </c:pt>
                <c:pt idx="1">
                  <c:v>2.1</c:v>
                </c:pt>
                <c:pt idx="2">
                  <c:v>1.3</c:v>
                </c:pt>
                <c:pt idx="3">
                  <c:v>3.4</c:v>
                </c:pt>
                <c:pt idx="4">
                  <c:v>3.4</c:v>
                </c:pt>
                <c:pt idx="5">
                  <c:v>17.600000000000001</c:v>
                </c:pt>
                <c:pt idx="6">
                  <c:v>1.3</c:v>
                </c:pt>
                <c:pt idx="7">
                  <c:v>1.3</c:v>
                </c:pt>
              </c:numCache>
            </c:numRef>
          </c:val>
          <c:extLst>
            <c:ext xmlns:c16="http://schemas.microsoft.com/office/drawing/2014/chart" uri="{C3380CC4-5D6E-409C-BE32-E72D297353CC}">
              <c16:uniqueId val="{00000005-1070-2049-A872-E0D044967A42}"/>
            </c:ext>
          </c:extLst>
        </c:ser>
        <c:ser>
          <c:idx val="6"/>
          <c:order val="6"/>
          <c:spPr>
            <a:solidFill>
              <a:schemeClr val="accent1">
                <a:lumMod val="60000"/>
              </a:schemeClr>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dioxygenase'!$W$9:$W$17</c:f>
              <c:numCache>
                <c:formatCode>General</c:formatCode>
                <c:ptCount val="9"/>
                <c:pt idx="0">
                  <c:v>2.4</c:v>
                </c:pt>
                <c:pt idx="1">
                  <c:v>5.6</c:v>
                </c:pt>
                <c:pt idx="2">
                  <c:v>4.5</c:v>
                </c:pt>
                <c:pt idx="3">
                  <c:v>7.8</c:v>
                </c:pt>
                <c:pt idx="4">
                  <c:v>5.5</c:v>
                </c:pt>
                <c:pt idx="5">
                  <c:v>4.5</c:v>
                </c:pt>
                <c:pt idx="6">
                  <c:v>4.4000000000000004</c:v>
                </c:pt>
                <c:pt idx="7">
                  <c:v>4</c:v>
                </c:pt>
              </c:numCache>
            </c:numRef>
          </c:val>
          <c:extLst>
            <c:ext xmlns:c16="http://schemas.microsoft.com/office/drawing/2014/chart" uri="{C3380CC4-5D6E-409C-BE32-E72D297353CC}">
              <c16:uniqueId val="{00000006-1070-2049-A872-E0D044967A42}"/>
            </c:ext>
          </c:extLst>
        </c:ser>
        <c:ser>
          <c:idx val="7"/>
          <c:order val="7"/>
          <c:spPr>
            <a:solidFill>
              <a:schemeClr val="accent2">
                <a:lumMod val="60000"/>
              </a:schemeClr>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dioxygenase'!$X$9:$X$17</c:f>
              <c:numCache>
                <c:formatCode>General</c:formatCode>
                <c:ptCount val="9"/>
                <c:pt idx="0">
                  <c:v>0</c:v>
                </c:pt>
                <c:pt idx="1">
                  <c:v>0</c:v>
                </c:pt>
                <c:pt idx="2">
                  <c:v>0</c:v>
                </c:pt>
                <c:pt idx="3">
                  <c:v>1.5333333333333332</c:v>
                </c:pt>
                <c:pt idx="4">
                  <c:v>3.7362637362637359</c:v>
                </c:pt>
                <c:pt idx="5">
                  <c:v>14.5</c:v>
                </c:pt>
                <c:pt idx="6">
                  <c:v>4.8571428571428568</c:v>
                </c:pt>
                <c:pt idx="7">
                  <c:v>2.4285714285714284</c:v>
                </c:pt>
              </c:numCache>
            </c:numRef>
          </c:val>
          <c:extLst>
            <c:ext xmlns:c16="http://schemas.microsoft.com/office/drawing/2014/chart" uri="{C3380CC4-5D6E-409C-BE32-E72D297353CC}">
              <c16:uniqueId val="{00000007-1070-2049-A872-E0D044967A42}"/>
            </c:ext>
          </c:extLst>
        </c:ser>
        <c:ser>
          <c:idx val="8"/>
          <c:order val="8"/>
          <c:spPr>
            <a:solidFill>
              <a:schemeClr val="accent3">
                <a:lumMod val="60000"/>
              </a:schemeClr>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dioxygenase'!$Y$9:$Y$17</c:f>
              <c:numCache>
                <c:formatCode>General</c:formatCode>
                <c:ptCount val="9"/>
                <c:pt idx="0">
                  <c:v>0.8928571428571429</c:v>
                </c:pt>
                <c:pt idx="1">
                  <c:v>1.4</c:v>
                </c:pt>
                <c:pt idx="2">
                  <c:v>1.4</c:v>
                </c:pt>
                <c:pt idx="3">
                  <c:v>3.4</c:v>
                </c:pt>
                <c:pt idx="4">
                  <c:v>3.4</c:v>
                </c:pt>
                <c:pt idx="5">
                  <c:v>4.3</c:v>
                </c:pt>
                <c:pt idx="6">
                  <c:v>4</c:v>
                </c:pt>
                <c:pt idx="7">
                  <c:v>3</c:v>
                </c:pt>
              </c:numCache>
            </c:numRef>
          </c:val>
          <c:extLst>
            <c:ext xmlns:c16="http://schemas.microsoft.com/office/drawing/2014/chart" uri="{C3380CC4-5D6E-409C-BE32-E72D297353CC}">
              <c16:uniqueId val="{00000008-1070-2049-A872-E0D044967A42}"/>
            </c:ext>
          </c:extLst>
        </c:ser>
        <c:ser>
          <c:idx val="9"/>
          <c:order val="9"/>
          <c:spPr>
            <a:solidFill>
              <a:schemeClr val="accent4">
                <a:lumMod val="60000"/>
              </a:schemeClr>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dioxygenase'!$Z$9:$Z$17</c:f>
              <c:numCache>
                <c:formatCode>General</c:formatCode>
                <c:ptCount val="9"/>
                <c:pt idx="0">
                  <c:v>0.41208791208791207</c:v>
                </c:pt>
                <c:pt idx="1">
                  <c:v>1.2362637362637363</c:v>
                </c:pt>
                <c:pt idx="2">
                  <c:v>1.4835164835164838</c:v>
                </c:pt>
                <c:pt idx="3">
                  <c:v>2.3571428571428572</c:v>
                </c:pt>
                <c:pt idx="4">
                  <c:v>2.3571428571428572</c:v>
                </c:pt>
                <c:pt idx="5">
                  <c:v>20.928571428571431</c:v>
                </c:pt>
                <c:pt idx="6">
                  <c:v>3</c:v>
                </c:pt>
                <c:pt idx="7">
                  <c:v>5</c:v>
                </c:pt>
              </c:numCache>
            </c:numRef>
          </c:val>
          <c:extLst>
            <c:ext xmlns:c16="http://schemas.microsoft.com/office/drawing/2014/chart" uri="{C3380CC4-5D6E-409C-BE32-E72D297353CC}">
              <c16:uniqueId val="{00000009-1070-2049-A872-E0D044967A42}"/>
            </c:ext>
          </c:extLst>
        </c:ser>
        <c:ser>
          <c:idx val="10"/>
          <c:order val="10"/>
          <c:spPr>
            <a:solidFill>
              <a:schemeClr val="accent5">
                <a:lumMod val="60000"/>
              </a:schemeClr>
            </a:solidFill>
            <a:ln>
              <a:noFill/>
            </a:ln>
            <a:effectLst/>
          </c:spPr>
          <c:invertIfNegative val="0"/>
          <c:cat>
            <c:numRef>
              <c:f>'Catechol dioxygenase'!$P$9:$P$17</c:f>
              <c:numCache>
                <c:formatCode>General</c:formatCode>
                <c:ptCount val="9"/>
                <c:pt idx="0">
                  <c:v>2</c:v>
                </c:pt>
                <c:pt idx="1">
                  <c:v>4</c:v>
                </c:pt>
                <c:pt idx="2">
                  <c:v>6</c:v>
                </c:pt>
                <c:pt idx="3">
                  <c:v>8</c:v>
                </c:pt>
                <c:pt idx="4">
                  <c:v>10</c:v>
                </c:pt>
                <c:pt idx="5">
                  <c:v>12</c:v>
                </c:pt>
                <c:pt idx="6">
                  <c:v>14</c:v>
                </c:pt>
                <c:pt idx="7">
                  <c:v>16</c:v>
                </c:pt>
              </c:numCache>
            </c:numRef>
          </c:cat>
          <c:val>
            <c:numRef>
              <c:f>'Catechol dioxygenase'!$AA$9:$AA$17</c:f>
              <c:numCache>
                <c:formatCode>General</c:formatCode>
                <c:ptCount val="9"/>
                <c:pt idx="0">
                  <c:v>1.1538461538461537</c:v>
                </c:pt>
                <c:pt idx="1">
                  <c:v>3.4615384615384612</c:v>
                </c:pt>
                <c:pt idx="2">
                  <c:v>4.1538461538461542</c:v>
                </c:pt>
                <c:pt idx="3">
                  <c:v>6.6</c:v>
                </c:pt>
                <c:pt idx="4">
                  <c:v>14.076923076923077</c:v>
                </c:pt>
                <c:pt idx="5">
                  <c:v>15</c:v>
                </c:pt>
                <c:pt idx="6">
                  <c:v>14</c:v>
                </c:pt>
                <c:pt idx="7">
                  <c:v>14</c:v>
                </c:pt>
              </c:numCache>
            </c:numRef>
          </c:val>
          <c:extLst>
            <c:ext xmlns:c16="http://schemas.microsoft.com/office/drawing/2014/chart" uri="{C3380CC4-5D6E-409C-BE32-E72D297353CC}">
              <c16:uniqueId val="{0000000A-1070-2049-A872-E0D044967A42}"/>
            </c:ext>
          </c:extLst>
        </c:ser>
        <c:ser>
          <c:idx val="11"/>
          <c:order val="11"/>
          <c:tx>
            <c:v>Mix-8</c:v>
          </c:tx>
          <c:spPr>
            <a:solidFill>
              <a:schemeClr val="accent6">
                <a:lumMod val="60000"/>
              </a:schemeClr>
            </a:solidFill>
            <a:ln>
              <a:noFill/>
            </a:ln>
            <a:effectLst/>
          </c:spPr>
          <c:invertIfNegative val="0"/>
          <c:val>
            <c:numRef>
              <c:f>'Catechol dioxygenase'!$AB$9:$AB$16</c:f>
              <c:numCache>
                <c:formatCode>General</c:formatCode>
                <c:ptCount val="8"/>
                <c:pt idx="0">
                  <c:v>0.57692307692307687</c:v>
                </c:pt>
                <c:pt idx="1">
                  <c:v>1.7307692307692306</c:v>
                </c:pt>
                <c:pt idx="2">
                  <c:v>2.0769230769230771</c:v>
                </c:pt>
                <c:pt idx="3">
                  <c:v>3.3</c:v>
                </c:pt>
                <c:pt idx="4">
                  <c:v>3.3</c:v>
                </c:pt>
                <c:pt idx="5">
                  <c:v>29.3</c:v>
                </c:pt>
                <c:pt idx="6">
                  <c:v>6.5</c:v>
                </c:pt>
                <c:pt idx="7">
                  <c:v>3</c:v>
                </c:pt>
              </c:numCache>
            </c:numRef>
          </c:val>
          <c:extLst>
            <c:ext xmlns:c16="http://schemas.microsoft.com/office/drawing/2014/chart" uri="{C3380CC4-5D6E-409C-BE32-E72D297353CC}">
              <c16:uniqueId val="{0000000B-1070-2049-A872-E0D044967A42}"/>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727135"/>
        <c:crosses val="autoZero"/>
        <c:auto val="1"/>
        <c:lblAlgn val="ctr"/>
        <c:lblOffset val="100"/>
        <c:noMultiLvlLbl val="0"/>
      </c:catAx>
      <c:valAx>
        <c:axId val="205672713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pitchFamily="2" charset="0"/>
        </a:defRPr>
      </a:pPr>
      <a:endParaRPr lang="en-US"/>
    </a:p>
  </c:txPr>
  <c:externalData r:id="rId3">
    <c:autoUpdate val="0"/>
  </c:externalData>
  <c:userShapes r:id="rId4"/>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'1-hydroxy-2-naphthoate hydroxyl'!$B$8</c:f>
              <c:strCache>
                <c:ptCount val="1"/>
                <c:pt idx="0">
                  <c:v>URS-5</c:v>
                </c:pt>
              </c:strCache>
            </c:strRef>
          </c:tx>
          <c:spPr>
            <a:solidFill>
              <a:schemeClr val="accent1"/>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hydroxyl'!$B$9:$B$17</c:f>
              <c:numCache>
                <c:formatCode>General</c:formatCode>
                <c:ptCount val="9"/>
                <c:pt idx="0">
                  <c:v>0</c:v>
                </c:pt>
                <c:pt idx="1">
                  <c:v>0</c:v>
                </c:pt>
                <c:pt idx="2">
                  <c:v>0</c:v>
                </c:pt>
                <c:pt idx="3">
                  <c:v>0</c:v>
                </c:pt>
                <c:pt idx="4">
                  <c:v>1.3</c:v>
                </c:pt>
                <c:pt idx="5">
                  <c:v>5.5</c:v>
                </c:pt>
                <c:pt idx="6">
                  <c:v>3.8499999999999996</c:v>
                </c:pt>
                <c:pt idx="7">
                  <c:v>1.2</c:v>
                </c:pt>
              </c:numCache>
            </c:numRef>
          </c:val>
          <c:extLst>
            <c:ext xmlns:c16="http://schemas.microsoft.com/office/drawing/2014/chart" uri="{C3380CC4-5D6E-409C-BE32-E72D297353CC}">
              <c16:uniqueId val="{00000000-2B08-0747-B16A-0C038A5F0C66}"/>
            </c:ext>
          </c:extLst>
        </c:ser>
        <c:ser>
          <c:idx val="1"/>
          <c:order val="1"/>
          <c:tx>
            <c:strRef>
              <c:f>'1-hydroxy-2-naphthoate hydroxyl'!$C$8</c:f>
              <c:strCache>
                <c:ptCount val="1"/>
                <c:pt idx="0">
                  <c:v>URS-6</c:v>
                </c:pt>
              </c:strCache>
            </c:strRef>
          </c:tx>
          <c:spPr>
            <a:solidFill>
              <a:schemeClr val="accent2"/>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hydroxyl'!$C$9:$C$17</c:f>
              <c:numCache>
                <c:formatCode>General</c:formatCode>
                <c:ptCount val="9"/>
                <c:pt idx="0">
                  <c:v>0</c:v>
                </c:pt>
                <c:pt idx="1">
                  <c:v>0</c:v>
                </c:pt>
                <c:pt idx="2">
                  <c:v>0</c:v>
                </c:pt>
                <c:pt idx="3">
                  <c:v>0.4</c:v>
                </c:pt>
                <c:pt idx="4">
                  <c:v>0.5</c:v>
                </c:pt>
                <c:pt idx="5">
                  <c:v>3</c:v>
                </c:pt>
                <c:pt idx="6">
                  <c:v>2.0999999999999996</c:v>
                </c:pt>
                <c:pt idx="7">
                  <c:v>1.4</c:v>
                </c:pt>
              </c:numCache>
            </c:numRef>
          </c:val>
          <c:extLst>
            <c:ext xmlns:c16="http://schemas.microsoft.com/office/drawing/2014/chart" uri="{C3380CC4-5D6E-409C-BE32-E72D297353CC}">
              <c16:uniqueId val="{00000001-2B08-0747-B16A-0C038A5F0C66}"/>
            </c:ext>
          </c:extLst>
        </c:ser>
        <c:ser>
          <c:idx val="2"/>
          <c:order val="2"/>
          <c:tx>
            <c:strRef>
              <c:f>'1-hydroxy-2-naphthoate hydroxyl'!$D$8</c:f>
              <c:strCache>
                <c:ptCount val="1"/>
                <c:pt idx="0">
                  <c:v>URS-8</c:v>
                </c:pt>
              </c:strCache>
            </c:strRef>
          </c:tx>
          <c:spPr>
            <a:solidFill>
              <a:schemeClr val="accent3"/>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hydroxyl'!$D$9:$D$17</c:f>
              <c:numCache>
                <c:formatCode>General</c:formatCode>
                <c:ptCount val="9"/>
                <c:pt idx="0">
                  <c:v>0</c:v>
                </c:pt>
                <c:pt idx="1">
                  <c:v>0</c:v>
                </c:pt>
                <c:pt idx="2">
                  <c:v>0</c:v>
                </c:pt>
                <c:pt idx="3">
                  <c:v>0</c:v>
                </c:pt>
                <c:pt idx="4">
                  <c:v>0</c:v>
                </c:pt>
                <c:pt idx="5">
                  <c:v>0</c:v>
                </c:pt>
                <c:pt idx="6">
                  <c:v>0</c:v>
                </c:pt>
                <c:pt idx="7">
                  <c:v>0</c:v>
                </c:pt>
              </c:numCache>
            </c:numRef>
          </c:val>
          <c:extLst>
            <c:ext xmlns:c16="http://schemas.microsoft.com/office/drawing/2014/chart" uri="{C3380CC4-5D6E-409C-BE32-E72D297353CC}">
              <c16:uniqueId val="{00000002-2B08-0747-B16A-0C038A5F0C66}"/>
            </c:ext>
          </c:extLst>
        </c:ser>
        <c:ser>
          <c:idx val="3"/>
          <c:order val="3"/>
          <c:spPr>
            <a:solidFill>
              <a:schemeClr val="accent4"/>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hydroxyl'!$E$9:$E$17</c:f>
              <c:numCache>
                <c:formatCode>General</c:formatCode>
                <c:ptCount val="9"/>
                <c:pt idx="0">
                  <c:v>0</c:v>
                </c:pt>
                <c:pt idx="1">
                  <c:v>0</c:v>
                </c:pt>
                <c:pt idx="2">
                  <c:v>0</c:v>
                </c:pt>
                <c:pt idx="3">
                  <c:v>0</c:v>
                </c:pt>
                <c:pt idx="4">
                  <c:v>0</c:v>
                </c:pt>
                <c:pt idx="5">
                  <c:v>0</c:v>
                </c:pt>
                <c:pt idx="6">
                  <c:v>0</c:v>
                </c:pt>
                <c:pt idx="7">
                  <c:v>0</c:v>
                </c:pt>
              </c:numCache>
            </c:numRef>
          </c:val>
          <c:extLst>
            <c:ext xmlns:c16="http://schemas.microsoft.com/office/drawing/2014/chart" uri="{C3380CC4-5D6E-409C-BE32-E72D297353CC}">
              <c16:uniqueId val="{00000003-2B08-0747-B16A-0C038A5F0C66}"/>
            </c:ext>
          </c:extLst>
        </c:ser>
        <c:ser>
          <c:idx val="4"/>
          <c:order val="4"/>
          <c:spPr>
            <a:solidFill>
              <a:schemeClr val="accent5"/>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hydroxyl'!$F$9:$F$17</c:f>
              <c:numCache>
                <c:formatCode>General</c:formatCode>
                <c:ptCount val="9"/>
                <c:pt idx="0">
                  <c:v>0</c:v>
                </c:pt>
                <c:pt idx="1">
                  <c:v>0</c:v>
                </c:pt>
                <c:pt idx="2">
                  <c:v>0.5</c:v>
                </c:pt>
                <c:pt idx="3">
                  <c:v>0.6</c:v>
                </c:pt>
                <c:pt idx="4">
                  <c:v>0.5</c:v>
                </c:pt>
                <c:pt idx="5">
                  <c:v>12.5</c:v>
                </c:pt>
                <c:pt idx="6">
                  <c:v>8.75</c:v>
                </c:pt>
                <c:pt idx="7">
                  <c:v>0.3</c:v>
                </c:pt>
              </c:numCache>
            </c:numRef>
          </c:val>
          <c:extLst>
            <c:ext xmlns:c16="http://schemas.microsoft.com/office/drawing/2014/chart" uri="{C3380CC4-5D6E-409C-BE32-E72D297353CC}">
              <c16:uniqueId val="{00000004-2B08-0747-B16A-0C038A5F0C66}"/>
            </c:ext>
          </c:extLst>
        </c:ser>
        <c:ser>
          <c:idx val="5"/>
          <c:order val="5"/>
          <c:spPr>
            <a:solidFill>
              <a:schemeClr val="accent6"/>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hydroxyl'!$G$9:$G$17</c:f>
              <c:numCache>
                <c:formatCode>General</c:formatCode>
                <c:ptCount val="9"/>
                <c:pt idx="0">
                  <c:v>0</c:v>
                </c:pt>
                <c:pt idx="1">
                  <c:v>0</c:v>
                </c:pt>
                <c:pt idx="2">
                  <c:v>0.6</c:v>
                </c:pt>
                <c:pt idx="3">
                  <c:v>0.7</c:v>
                </c:pt>
                <c:pt idx="4">
                  <c:v>0.5</c:v>
                </c:pt>
                <c:pt idx="5">
                  <c:v>1.4</c:v>
                </c:pt>
                <c:pt idx="6">
                  <c:v>0.97999999999999987</c:v>
                </c:pt>
                <c:pt idx="7">
                  <c:v>0</c:v>
                </c:pt>
              </c:numCache>
            </c:numRef>
          </c:val>
          <c:extLst>
            <c:ext xmlns:c16="http://schemas.microsoft.com/office/drawing/2014/chart" uri="{C3380CC4-5D6E-409C-BE32-E72D297353CC}">
              <c16:uniqueId val="{00000005-2B08-0747-B16A-0C038A5F0C66}"/>
            </c:ext>
          </c:extLst>
        </c:ser>
        <c:ser>
          <c:idx val="6"/>
          <c:order val="6"/>
          <c:spPr>
            <a:solidFill>
              <a:schemeClr val="accent1">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hydroxyl'!$H$9:$H$17</c:f>
              <c:numCache>
                <c:formatCode>General</c:formatCode>
                <c:ptCount val="9"/>
                <c:pt idx="0">
                  <c:v>0</c:v>
                </c:pt>
                <c:pt idx="1">
                  <c:v>0</c:v>
                </c:pt>
                <c:pt idx="2">
                  <c:v>0</c:v>
                </c:pt>
                <c:pt idx="3">
                  <c:v>0</c:v>
                </c:pt>
                <c:pt idx="4">
                  <c:v>2.6</c:v>
                </c:pt>
                <c:pt idx="5">
                  <c:v>7.7</c:v>
                </c:pt>
                <c:pt idx="6">
                  <c:v>13.4</c:v>
                </c:pt>
                <c:pt idx="7">
                  <c:v>1.2</c:v>
                </c:pt>
              </c:numCache>
            </c:numRef>
          </c:val>
          <c:extLst>
            <c:ext xmlns:c16="http://schemas.microsoft.com/office/drawing/2014/chart" uri="{C3380CC4-5D6E-409C-BE32-E72D297353CC}">
              <c16:uniqueId val="{00000006-2B08-0747-B16A-0C038A5F0C66}"/>
            </c:ext>
          </c:extLst>
        </c:ser>
        <c:ser>
          <c:idx val="7"/>
          <c:order val="7"/>
          <c:spPr>
            <a:solidFill>
              <a:schemeClr val="accent2">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hydroxyl'!$I$9:$I$16</c:f>
              <c:numCache>
                <c:formatCode>General</c:formatCode>
                <c:ptCount val="8"/>
                <c:pt idx="0">
                  <c:v>0</c:v>
                </c:pt>
                <c:pt idx="1">
                  <c:v>0</c:v>
                </c:pt>
                <c:pt idx="2">
                  <c:v>0</c:v>
                </c:pt>
                <c:pt idx="3">
                  <c:v>0</c:v>
                </c:pt>
                <c:pt idx="4">
                  <c:v>2.5</c:v>
                </c:pt>
                <c:pt idx="5">
                  <c:v>10.576923076923077</c:v>
                </c:pt>
                <c:pt idx="6">
                  <c:v>7.4038461538461533</c:v>
                </c:pt>
                <c:pt idx="7">
                  <c:v>0</c:v>
                </c:pt>
              </c:numCache>
            </c:numRef>
          </c:val>
          <c:extLst>
            <c:ext xmlns:c16="http://schemas.microsoft.com/office/drawing/2014/chart" uri="{C3380CC4-5D6E-409C-BE32-E72D297353CC}">
              <c16:uniqueId val="{00000007-2B08-0747-B16A-0C038A5F0C66}"/>
            </c:ext>
          </c:extLst>
        </c:ser>
        <c:ser>
          <c:idx val="8"/>
          <c:order val="8"/>
          <c:spPr>
            <a:solidFill>
              <a:schemeClr val="accent3">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hydroxyl'!$J$9:$J$17</c:f>
              <c:numCache>
                <c:formatCode>General</c:formatCode>
                <c:ptCount val="9"/>
                <c:pt idx="0">
                  <c:v>0</c:v>
                </c:pt>
                <c:pt idx="1">
                  <c:v>0</c:v>
                </c:pt>
                <c:pt idx="2">
                  <c:v>0</c:v>
                </c:pt>
                <c:pt idx="3">
                  <c:v>0</c:v>
                </c:pt>
                <c:pt idx="4">
                  <c:v>1.3</c:v>
                </c:pt>
                <c:pt idx="5">
                  <c:v>5.5</c:v>
                </c:pt>
                <c:pt idx="6">
                  <c:v>3.8499999999999996</c:v>
                </c:pt>
                <c:pt idx="7">
                  <c:v>1.4</c:v>
                </c:pt>
              </c:numCache>
            </c:numRef>
          </c:val>
          <c:extLst>
            <c:ext xmlns:c16="http://schemas.microsoft.com/office/drawing/2014/chart" uri="{C3380CC4-5D6E-409C-BE32-E72D297353CC}">
              <c16:uniqueId val="{00000008-2B08-0747-B16A-0C038A5F0C66}"/>
            </c:ext>
          </c:extLst>
        </c:ser>
        <c:ser>
          <c:idx val="9"/>
          <c:order val="9"/>
          <c:spPr>
            <a:solidFill>
              <a:schemeClr val="accent4">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hydroxyl'!$K$9:$K$17</c:f>
              <c:numCache>
                <c:formatCode>General</c:formatCode>
                <c:ptCount val="9"/>
                <c:pt idx="0">
                  <c:v>0</c:v>
                </c:pt>
                <c:pt idx="1">
                  <c:v>0</c:v>
                </c:pt>
                <c:pt idx="2">
                  <c:v>0</c:v>
                </c:pt>
                <c:pt idx="3">
                  <c:v>0</c:v>
                </c:pt>
                <c:pt idx="4">
                  <c:v>1.3</c:v>
                </c:pt>
                <c:pt idx="5">
                  <c:v>5.5</c:v>
                </c:pt>
                <c:pt idx="6">
                  <c:v>3.8499999999999996</c:v>
                </c:pt>
                <c:pt idx="7">
                  <c:v>0</c:v>
                </c:pt>
              </c:numCache>
            </c:numRef>
          </c:val>
          <c:extLst>
            <c:ext xmlns:c16="http://schemas.microsoft.com/office/drawing/2014/chart" uri="{C3380CC4-5D6E-409C-BE32-E72D297353CC}">
              <c16:uniqueId val="{00000009-2B08-0747-B16A-0C038A5F0C66}"/>
            </c:ext>
          </c:extLst>
        </c:ser>
        <c:ser>
          <c:idx val="10"/>
          <c:order val="10"/>
          <c:spPr>
            <a:solidFill>
              <a:schemeClr val="accent5">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hydroxyl'!$L$9:$L$17</c:f>
              <c:numCache>
                <c:formatCode>General</c:formatCode>
                <c:ptCount val="9"/>
                <c:pt idx="0">
                  <c:v>0</c:v>
                </c:pt>
                <c:pt idx="1">
                  <c:v>0</c:v>
                </c:pt>
                <c:pt idx="2">
                  <c:v>0</c:v>
                </c:pt>
                <c:pt idx="3">
                  <c:v>0.18181818181818182</c:v>
                </c:pt>
                <c:pt idx="4">
                  <c:v>0.81818181818181812</c:v>
                </c:pt>
                <c:pt idx="5">
                  <c:v>5.6</c:v>
                </c:pt>
                <c:pt idx="6">
                  <c:v>3.9199999999999995</c:v>
                </c:pt>
                <c:pt idx="7">
                  <c:v>1</c:v>
                </c:pt>
              </c:numCache>
            </c:numRef>
          </c:val>
          <c:extLst>
            <c:ext xmlns:c16="http://schemas.microsoft.com/office/drawing/2014/chart" uri="{C3380CC4-5D6E-409C-BE32-E72D297353CC}">
              <c16:uniqueId val="{0000000A-2B08-0747-B16A-0C038A5F0C66}"/>
            </c:ext>
          </c:extLst>
        </c:ser>
        <c:ser>
          <c:idx val="11"/>
          <c:order val="11"/>
          <c:spPr>
            <a:solidFill>
              <a:schemeClr val="accent6">
                <a:lumMod val="60000"/>
              </a:schemeClr>
            </a:solidFill>
            <a:ln>
              <a:noFill/>
            </a:ln>
            <a:effectLst/>
          </c:spPr>
          <c:invertIfNegative val="0"/>
          <c:cat>
            <c:numRef>
              <c:f>'1-hydroxy-2-naphthoate hydroxyl'!$A$9:$A$17</c:f>
              <c:numCache>
                <c:formatCode>General</c:formatCode>
                <c:ptCount val="9"/>
                <c:pt idx="0">
                  <c:v>2</c:v>
                </c:pt>
                <c:pt idx="1">
                  <c:v>4</c:v>
                </c:pt>
                <c:pt idx="2">
                  <c:v>6</c:v>
                </c:pt>
                <c:pt idx="3">
                  <c:v>8</c:v>
                </c:pt>
                <c:pt idx="4">
                  <c:v>10</c:v>
                </c:pt>
                <c:pt idx="5">
                  <c:v>12</c:v>
                </c:pt>
                <c:pt idx="6">
                  <c:v>14</c:v>
                </c:pt>
                <c:pt idx="7">
                  <c:v>16</c:v>
                </c:pt>
              </c:numCache>
            </c:numRef>
          </c:cat>
          <c:val>
            <c:numRef>
              <c:f>'1-hydroxy-2-naphthoate hydroxyl'!$M$9:$M$17</c:f>
              <c:numCache>
                <c:formatCode>General</c:formatCode>
                <c:ptCount val="9"/>
                <c:pt idx="0">
                  <c:v>0</c:v>
                </c:pt>
                <c:pt idx="1">
                  <c:v>0</c:v>
                </c:pt>
                <c:pt idx="2">
                  <c:v>0</c:v>
                </c:pt>
                <c:pt idx="3">
                  <c:v>0.2</c:v>
                </c:pt>
                <c:pt idx="4">
                  <c:v>0.9</c:v>
                </c:pt>
                <c:pt idx="5">
                  <c:v>4.25</c:v>
                </c:pt>
                <c:pt idx="6">
                  <c:v>2.9749999999999996</c:v>
                </c:pt>
                <c:pt idx="7">
                  <c:v>1</c:v>
                </c:pt>
              </c:numCache>
            </c:numRef>
          </c:val>
          <c:extLst>
            <c:ext xmlns:c16="http://schemas.microsoft.com/office/drawing/2014/chart" uri="{C3380CC4-5D6E-409C-BE32-E72D297353CC}">
              <c16:uniqueId val="{0000000B-2B08-0747-B16A-0C038A5F0C66}"/>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scaling>
        <c:delete val="0"/>
        <c:axPos val="l"/>
        <c:title>
          <c:tx>
            <c:rich>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Specific Enzyme Activity (U/mg protein)</a:t>
                </a:r>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'1-hydroxy-2-naphthoate hydroxyl'!$B$8</c:f>
              <c:strCache>
                <c:ptCount val="1"/>
                <c:pt idx="0">
                  <c:v>URS-5</c:v>
                </c:pt>
              </c:strCache>
            </c:strRef>
          </c:tx>
          <c:spPr>
            <a:solidFill>
              <a:schemeClr val="accent1"/>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hydroxyl'!$P$9:$P$17</c:f>
              <c:numCache>
                <c:formatCode>General</c:formatCode>
                <c:ptCount val="9"/>
                <c:pt idx="0">
                  <c:v>0</c:v>
                </c:pt>
                <c:pt idx="1">
                  <c:v>0</c:v>
                </c:pt>
                <c:pt idx="2">
                  <c:v>0</c:v>
                </c:pt>
                <c:pt idx="3">
                  <c:v>0</c:v>
                </c:pt>
                <c:pt idx="4">
                  <c:v>1.3</c:v>
                </c:pt>
                <c:pt idx="5">
                  <c:v>5.5</c:v>
                </c:pt>
                <c:pt idx="6">
                  <c:v>4.4000000000000004</c:v>
                </c:pt>
              </c:numCache>
            </c:numRef>
          </c:val>
          <c:extLst>
            <c:ext xmlns:c16="http://schemas.microsoft.com/office/drawing/2014/chart" uri="{C3380CC4-5D6E-409C-BE32-E72D297353CC}">
              <c16:uniqueId val="{00000000-8076-FA4A-AFAD-05CB9D33080D}"/>
            </c:ext>
          </c:extLst>
        </c:ser>
        <c:ser>
          <c:idx val="1"/>
          <c:order val="1"/>
          <c:tx>
            <c:strRef>
              <c:f>'1-hydroxy-2-naphthoate hydroxyl'!$C$8</c:f>
              <c:strCache>
                <c:ptCount val="1"/>
                <c:pt idx="0">
                  <c:v>URS-6</c:v>
                </c:pt>
              </c:strCache>
            </c:strRef>
          </c:tx>
          <c:spPr>
            <a:solidFill>
              <a:schemeClr val="accent2"/>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hydroxyl'!$Q$9:$Q$17</c:f>
              <c:numCache>
                <c:formatCode>General</c:formatCode>
                <c:ptCount val="9"/>
                <c:pt idx="0">
                  <c:v>0</c:v>
                </c:pt>
                <c:pt idx="1">
                  <c:v>0</c:v>
                </c:pt>
                <c:pt idx="2">
                  <c:v>0</c:v>
                </c:pt>
                <c:pt idx="3">
                  <c:v>0.4</c:v>
                </c:pt>
                <c:pt idx="4">
                  <c:v>0.5</c:v>
                </c:pt>
                <c:pt idx="5">
                  <c:v>3</c:v>
                </c:pt>
                <c:pt idx="6">
                  <c:v>2.4000000000000004</c:v>
                </c:pt>
              </c:numCache>
            </c:numRef>
          </c:val>
          <c:extLst>
            <c:ext xmlns:c16="http://schemas.microsoft.com/office/drawing/2014/chart" uri="{C3380CC4-5D6E-409C-BE32-E72D297353CC}">
              <c16:uniqueId val="{00000001-8076-FA4A-AFAD-05CB9D33080D}"/>
            </c:ext>
          </c:extLst>
        </c:ser>
        <c:ser>
          <c:idx val="2"/>
          <c:order val="2"/>
          <c:tx>
            <c:strRef>
              <c:f>'1-hydroxy-2-naphthoate hydroxyl'!$D$8</c:f>
              <c:strCache>
                <c:ptCount val="1"/>
                <c:pt idx="0">
                  <c:v>URS-8</c:v>
                </c:pt>
              </c:strCache>
            </c:strRef>
          </c:tx>
          <c:spPr>
            <a:solidFill>
              <a:schemeClr val="accent3"/>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hydroxyl'!$R$9:$R$17</c:f>
              <c:numCache>
                <c:formatCode>General</c:formatCode>
                <c:ptCount val="9"/>
                <c:pt idx="0">
                  <c:v>0</c:v>
                </c:pt>
                <c:pt idx="1">
                  <c:v>0</c:v>
                </c:pt>
                <c:pt idx="2">
                  <c:v>0</c:v>
                </c:pt>
                <c:pt idx="3">
                  <c:v>0.52</c:v>
                </c:pt>
                <c:pt idx="4">
                  <c:v>0.65</c:v>
                </c:pt>
                <c:pt idx="5">
                  <c:v>1.1000000000000001</c:v>
                </c:pt>
                <c:pt idx="6">
                  <c:v>0.88000000000000012</c:v>
                </c:pt>
              </c:numCache>
            </c:numRef>
          </c:val>
          <c:extLst>
            <c:ext xmlns:c16="http://schemas.microsoft.com/office/drawing/2014/chart" uri="{C3380CC4-5D6E-409C-BE32-E72D297353CC}">
              <c16:uniqueId val="{00000002-8076-FA4A-AFAD-05CB9D33080D}"/>
            </c:ext>
          </c:extLst>
        </c:ser>
        <c:ser>
          <c:idx val="3"/>
          <c:order val="3"/>
          <c:spPr>
            <a:solidFill>
              <a:schemeClr val="accent4"/>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hydroxyl'!$S$9:$S$17</c:f>
              <c:numCache>
                <c:formatCode>General</c:formatCode>
                <c:ptCount val="9"/>
                <c:pt idx="0">
                  <c:v>0</c:v>
                </c:pt>
                <c:pt idx="1">
                  <c:v>0</c:v>
                </c:pt>
                <c:pt idx="2">
                  <c:v>0</c:v>
                </c:pt>
                <c:pt idx="3">
                  <c:v>0</c:v>
                </c:pt>
                <c:pt idx="4">
                  <c:v>0</c:v>
                </c:pt>
                <c:pt idx="5">
                  <c:v>0</c:v>
                </c:pt>
                <c:pt idx="6">
                  <c:v>0</c:v>
                </c:pt>
              </c:numCache>
            </c:numRef>
          </c:val>
          <c:extLst>
            <c:ext xmlns:c16="http://schemas.microsoft.com/office/drawing/2014/chart" uri="{C3380CC4-5D6E-409C-BE32-E72D297353CC}">
              <c16:uniqueId val="{00000003-8076-FA4A-AFAD-05CB9D33080D}"/>
            </c:ext>
          </c:extLst>
        </c:ser>
        <c:ser>
          <c:idx val="4"/>
          <c:order val="4"/>
          <c:spPr>
            <a:solidFill>
              <a:schemeClr val="accent5"/>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hydroxyl'!$T$9:$T$17</c:f>
              <c:numCache>
                <c:formatCode>General</c:formatCode>
                <c:ptCount val="9"/>
                <c:pt idx="0">
                  <c:v>0</c:v>
                </c:pt>
                <c:pt idx="1">
                  <c:v>0</c:v>
                </c:pt>
                <c:pt idx="2">
                  <c:v>0</c:v>
                </c:pt>
                <c:pt idx="3">
                  <c:v>0</c:v>
                </c:pt>
                <c:pt idx="4">
                  <c:v>1</c:v>
                </c:pt>
                <c:pt idx="5">
                  <c:v>3.3</c:v>
                </c:pt>
                <c:pt idx="6">
                  <c:v>2.64</c:v>
                </c:pt>
              </c:numCache>
            </c:numRef>
          </c:val>
          <c:extLst>
            <c:ext xmlns:c16="http://schemas.microsoft.com/office/drawing/2014/chart" uri="{C3380CC4-5D6E-409C-BE32-E72D297353CC}">
              <c16:uniqueId val="{00000004-8076-FA4A-AFAD-05CB9D33080D}"/>
            </c:ext>
          </c:extLst>
        </c:ser>
        <c:ser>
          <c:idx val="5"/>
          <c:order val="5"/>
          <c:spPr>
            <a:solidFill>
              <a:schemeClr val="accent6"/>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hydroxyl'!$U$9:$U$17</c:f>
              <c:numCache>
                <c:formatCode>General</c:formatCode>
                <c:ptCount val="9"/>
                <c:pt idx="0">
                  <c:v>0</c:v>
                </c:pt>
                <c:pt idx="1">
                  <c:v>0</c:v>
                </c:pt>
                <c:pt idx="2">
                  <c:v>0</c:v>
                </c:pt>
                <c:pt idx="3">
                  <c:v>0</c:v>
                </c:pt>
                <c:pt idx="4">
                  <c:v>2.6</c:v>
                </c:pt>
                <c:pt idx="5">
                  <c:v>5.5</c:v>
                </c:pt>
                <c:pt idx="6">
                  <c:v>4.4000000000000004</c:v>
                </c:pt>
              </c:numCache>
            </c:numRef>
          </c:val>
          <c:extLst>
            <c:ext xmlns:c16="http://schemas.microsoft.com/office/drawing/2014/chart" uri="{C3380CC4-5D6E-409C-BE32-E72D297353CC}">
              <c16:uniqueId val="{00000005-8076-FA4A-AFAD-05CB9D33080D}"/>
            </c:ext>
          </c:extLst>
        </c:ser>
        <c:ser>
          <c:idx val="6"/>
          <c:order val="6"/>
          <c:spPr>
            <a:solidFill>
              <a:schemeClr val="accent1">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hydroxyl'!$V$9:$V$17</c:f>
              <c:numCache>
                <c:formatCode>General</c:formatCode>
                <c:ptCount val="9"/>
                <c:pt idx="0">
                  <c:v>0</c:v>
                </c:pt>
                <c:pt idx="1">
                  <c:v>0</c:v>
                </c:pt>
                <c:pt idx="2">
                  <c:v>0</c:v>
                </c:pt>
                <c:pt idx="3">
                  <c:v>0</c:v>
                </c:pt>
                <c:pt idx="4">
                  <c:v>3.4</c:v>
                </c:pt>
                <c:pt idx="5">
                  <c:v>5.4</c:v>
                </c:pt>
                <c:pt idx="6">
                  <c:v>4.32</c:v>
                </c:pt>
              </c:numCache>
            </c:numRef>
          </c:val>
          <c:extLst>
            <c:ext xmlns:c16="http://schemas.microsoft.com/office/drawing/2014/chart" uri="{C3380CC4-5D6E-409C-BE32-E72D297353CC}">
              <c16:uniqueId val="{00000006-8076-FA4A-AFAD-05CB9D33080D}"/>
            </c:ext>
          </c:extLst>
        </c:ser>
        <c:ser>
          <c:idx val="7"/>
          <c:order val="7"/>
          <c:spPr>
            <a:solidFill>
              <a:schemeClr val="accent2">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hydroxyl'!$W$9:$W$17</c:f>
              <c:numCache>
                <c:formatCode>General</c:formatCode>
                <c:ptCount val="9"/>
                <c:pt idx="0">
                  <c:v>0</c:v>
                </c:pt>
                <c:pt idx="1">
                  <c:v>0</c:v>
                </c:pt>
                <c:pt idx="2">
                  <c:v>0</c:v>
                </c:pt>
                <c:pt idx="3">
                  <c:v>0</c:v>
                </c:pt>
                <c:pt idx="4">
                  <c:v>1.3</c:v>
                </c:pt>
                <c:pt idx="5">
                  <c:v>7.8000000000000007</c:v>
                </c:pt>
                <c:pt idx="6">
                  <c:v>6.2400000000000011</c:v>
                </c:pt>
              </c:numCache>
            </c:numRef>
          </c:val>
          <c:extLst>
            <c:ext xmlns:c16="http://schemas.microsoft.com/office/drawing/2014/chart" uri="{C3380CC4-5D6E-409C-BE32-E72D297353CC}">
              <c16:uniqueId val="{00000007-8076-FA4A-AFAD-05CB9D33080D}"/>
            </c:ext>
          </c:extLst>
        </c:ser>
        <c:ser>
          <c:idx val="8"/>
          <c:order val="8"/>
          <c:spPr>
            <a:solidFill>
              <a:schemeClr val="accent3">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hydroxyl'!$X$9:$X$17</c:f>
              <c:numCache>
                <c:formatCode>General</c:formatCode>
                <c:ptCount val="9"/>
                <c:pt idx="0">
                  <c:v>0</c:v>
                </c:pt>
                <c:pt idx="1">
                  <c:v>0</c:v>
                </c:pt>
                <c:pt idx="2">
                  <c:v>0</c:v>
                </c:pt>
                <c:pt idx="3">
                  <c:v>0.44000000000000006</c:v>
                </c:pt>
                <c:pt idx="4">
                  <c:v>0.55000000000000004</c:v>
                </c:pt>
                <c:pt idx="5">
                  <c:v>3.3000000000000003</c:v>
                </c:pt>
                <c:pt idx="6">
                  <c:v>2.6400000000000006</c:v>
                </c:pt>
              </c:numCache>
            </c:numRef>
          </c:val>
          <c:extLst>
            <c:ext xmlns:c16="http://schemas.microsoft.com/office/drawing/2014/chart" uri="{C3380CC4-5D6E-409C-BE32-E72D297353CC}">
              <c16:uniqueId val="{00000008-8076-FA4A-AFAD-05CB9D33080D}"/>
            </c:ext>
          </c:extLst>
        </c:ser>
        <c:ser>
          <c:idx val="9"/>
          <c:order val="9"/>
          <c:spPr>
            <a:solidFill>
              <a:schemeClr val="accent4">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hydroxyl'!$Y$9:$Y$17</c:f>
              <c:numCache>
                <c:formatCode>General</c:formatCode>
                <c:ptCount val="9"/>
                <c:pt idx="0">
                  <c:v>0</c:v>
                </c:pt>
                <c:pt idx="1">
                  <c:v>0</c:v>
                </c:pt>
                <c:pt idx="2">
                  <c:v>0</c:v>
                </c:pt>
                <c:pt idx="3">
                  <c:v>0</c:v>
                </c:pt>
                <c:pt idx="4">
                  <c:v>1.3</c:v>
                </c:pt>
                <c:pt idx="5">
                  <c:v>6.5</c:v>
                </c:pt>
                <c:pt idx="6">
                  <c:v>5.2</c:v>
                </c:pt>
              </c:numCache>
            </c:numRef>
          </c:val>
          <c:extLst>
            <c:ext xmlns:c16="http://schemas.microsoft.com/office/drawing/2014/chart" uri="{C3380CC4-5D6E-409C-BE32-E72D297353CC}">
              <c16:uniqueId val="{00000009-8076-FA4A-AFAD-05CB9D33080D}"/>
            </c:ext>
          </c:extLst>
        </c:ser>
        <c:ser>
          <c:idx val="10"/>
          <c:order val="10"/>
          <c:spPr>
            <a:solidFill>
              <a:schemeClr val="accent5">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hydroxyl'!$Z$9:$Z$17</c:f>
              <c:numCache>
                <c:formatCode>General</c:formatCode>
                <c:ptCount val="9"/>
                <c:pt idx="0">
                  <c:v>0</c:v>
                </c:pt>
                <c:pt idx="1">
                  <c:v>0</c:v>
                </c:pt>
                <c:pt idx="2">
                  <c:v>0</c:v>
                </c:pt>
                <c:pt idx="3">
                  <c:v>0</c:v>
                </c:pt>
                <c:pt idx="4">
                  <c:v>3.4</c:v>
                </c:pt>
                <c:pt idx="5">
                  <c:v>5.4</c:v>
                </c:pt>
                <c:pt idx="6">
                  <c:v>4.32</c:v>
                </c:pt>
              </c:numCache>
            </c:numRef>
          </c:val>
          <c:extLst>
            <c:ext xmlns:c16="http://schemas.microsoft.com/office/drawing/2014/chart" uri="{C3380CC4-5D6E-409C-BE32-E72D297353CC}">
              <c16:uniqueId val="{0000000A-8076-FA4A-AFAD-05CB9D33080D}"/>
            </c:ext>
          </c:extLst>
        </c:ser>
        <c:ser>
          <c:idx val="11"/>
          <c:order val="11"/>
          <c:spPr>
            <a:solidFill>
              <a:schemeClr val="accent6">
                <a:lumMod val="60000"/>
              </a:schemeClr>
            </a:solidFill>
            <a:ln>
              <a:noFill/>
            </a:ln>
            <a:effectLst/>
          </c:spPr>
          <c:invertIfNegative val="0"/>
          <c:cat>
            <c:numRef>
              <c:f>'1-hydroxy-2-naphthoate hydroxyl'!$O$9:$O$17</c:f>
              <c:numCache>
                <c:formatCode>General</c:formatCode>
                <c:ptCount val="9"/>
                <c:pt idx="0">
                  <c:v>2</c:v>
                </c:pt>
                <c:pt idx="1">
                  <c:v>4</c:v>
                </c:pt>
                <c:pt idx="2">
                  <c:v>6</c:v>
                </c:pt>
                <c:pt idx="3">
                  <c:v>8</c:v>
                </c:pt>
                <c:pt idx="4">
                  <c:v>10</c:v>
                </c:pt>
                <c:pt idx="5">
                  <c:v>12</c:v>
                </c:pt>
                <c:pt idx="6">
                  <c:v>14</c:v>
                </c:pt>
              </c:numCache>
            </c:numRef>
          </c:cat>
          <c:val>
            <c:numRef>
              <c:f>'1-hydroxy-2-naphthoate hydroxyl'!$AA$9:$AA$17</c:f>
              <c:numCache>
                <c:formatCode>General</c:formatCode>
                <c:ptCount val="9"/>
                <c:pt idx="0">
                  <c:v>0</c:v>
                </c:pt>
                <c:pt idx="1">
                  <c:v>0</c:v>
                </c:pt>
                <c:pt idx="2">
                  <c:v>0</c:v>
                </c:pt>
                <c:pt idx="3">
                  <c:v>0</c:v>
                </c:pt>
                <c:pt idx="4">
                  <c:v>1.3</c:v>
                </c:pt>
                <c:pt idx="5">
                  <c:v>15.3</c:v>
                </c:pt>
                <c:pt idx="6">
                  <c:v>12.240000000000002</c:v>
                </c:pt>
              </c:numCache>
            </c:numRef>
          </c:val>
          <c:extLst>
            <c:ext xmlns:c16="http://schemas.microsoft.com/office/drawing/2014/chart" uri="{C3380CC4-5D6E-409C-BE32-E72D297353CC}">
              <c16:uniqueId val="{0000000B-8076-FA4A-AFAD-05CB9D33080D}"/>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727135"/>
        <c:crosses val="autoZero"/>
        <c:auto val="1"/>
        <c:lblAlgn val="ctr"/>
        <c:lblOffset val="100"/>
        <c:noMultiLvlLbl val="0"/>
      </c:catAx>
      <c:valAx>
        <c:axId val="205672713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pitchFamily="2" charset="0"/>
                <a:ea typeface="+mn-ea"/>
                <a:cs typeface="+mn-cs"/>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pitchFamily="2" charset="0"/>
        </a:defRPr>
      </a:pPr>
      <a:endParaRPr lang="en-US"/>
    </a:p>
  </c:txPr>
  <c:externalData r:id="rId3">
    <c:autoUpdate val="0"/>
  </c:externalData>
  <c:userShapes r:id="rId4"/>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'Protocatechuic acid (PCA) 3,4-d'!$B$8</c:f>
              <c:strCache>
                <c:ptCount val="1"/>
                <c:pt idx="0">
                  <c:v>URS-5</c:v>
                </c:pt>
              </c:strCache>
            </c:strRef>
          </c:tx>
          <c:spPr>
            <a:solidFill>
              <a:schemeClr val="accent1"/>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3,4-d'!$B$9:$B$17</c:f>
              <c:numCache>
                <c:formatCode>General</c:formatCode>
                <c:ptCount val="9"/>
              </c:numCache>
            </c:numRef>
          </c:val>
          <c:extLst>
            <c:ext xmlns:c16="http://schemas.microsoft.com/office/drawing/2014/chart" uri="{C3380CC4-5D6E-409C-BE32-E72D297353CC}">
              <c16:uniqueId val="{00000000-FFB8-DD49-8F61-557E02753A90}"/>
            </c:ext>
          </c:extLst>
        </c:ser>
        <c:ser>
          <c:idx val="1"/>
          <c:order val="1"/>
          <c:tx>
            <c:strRef>
              <c:f>'Protocatechuic acid (PCA) 3,4-d'!$C$8</c:f>
              <c:strCache>
                <c:ptCount val="1"/>
                <c:pt idx="0">
                  <c:v>URS-6</c:v>
                </c:pt>
              </c:strCache>
            </c:strRef>
          </c:tx>
          <c:spPr>
            <a:solidFill>
              <a:schemeClr val="accent2"/>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3,4-d'!$C$9:$C$17</c:f>
              <c:numCache>
                <c:formatCode>General</c:formatCode>
                <c:ptCount val="9"/>
              </c:numCache>
            </c:numRef>
          </c:val>
          <c:extLst>
            <c:ext xmlns:c16="http://schemas.microsoft.com/office/drawing/2014/chart" uri="{C3380CC4-5D6E-409C-BE32-E72D297353CC}">
              <c16:uniqueId val="{00000001-FFB8-DD49-8F61-557E02753A90}"/>
            </c:ext>
          </c:extLst>
        </c:ser>
        <c:ser>
          <c:idx val="2"/>
          <c:order val="2"/>
          <c:tx>
            <c:strRef>
              <c:f>'Protocatechuic acid (PCA) 3,4-d'!$D$8</c:f>
              <c:strCache>
                <c:ptCount val="1"/>
                <c:pt idx="0">
                  <c:v>URS-8</c:v>
                </c:pt>
              </c:strCache>
            </c:strRef>
          </c:tx>
          <c:spPr>
            <a:solidFill>
              <a:schemeClr val="accent3"/>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3,4-d'!$D$9:$D$17</c:f>
              <c:numCache>
                <c:formatCode>General</c:formatCode>
                <c:ptCount val="9"/>
                <c:pt idx="0">
                  <c:v>0</c:v>
                </c:pt>
                <c:pt idx="1">
                  <c:v>0</c:v>
                </c:pt>
                <c:pt idx="2">
                  <c:v>0</c:v>
                </c:pt>
                <c:pt idx="3">
                  <c:v>0</c:v>
                </c:pt>
                <c:pt idx="4">
                  <c:v>2.2999999999999998</c:v>
                </c:pt>
                <c:pt idx="5">
                  <c:v>22.3</c:v>
                </c:pt>
                <c:pt idx="6">
                  <c:v>44</c:v>
                </c:pt>
                <c:pt idx="7">
                  <c:v>29</c:v>
                </c:pt>
                <c:pt idx="8">
                  <c:v>13</c:v>
                </c:pt>
              </c:numCache>
            </c:numRef>
          </c:val>
          <c:extLst>
            <c:ext xmlns:c16="http://schemas.microsoft.com/office/drawing/2014/chart" uri="{C3380CC4-5D6E-409C-BE32-E72D297353CC}">
              <c16:uniqueId val="{00000002-FFB8-DD49-8F61-557E02753A90}"/>
            </c:ext>
          </c:extLst>
        </c:ser>
        <c:ser>
          <c:idx val="3"/>
          <c:order val="3"/>
          <c:spPr>
            <a:solidFill>
              <a:schemeClr val="accent4"/>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3,4-d'!$E$9:$E$17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3-FFB8-DD49-8F61-557E02753A90}"/>
            </c:ext>
          </c:extLst>
        </c:ser>
        <c:ser>
          <c:idx val="4"/>
          <c:order val="4"/>
          <c:spPr>
            <a:solidFill>
              <a:schemeClr val="accent5"/>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3,4-d'!$F$9:$F$17</c:f>
              <c:numCache>
                <c:formatCode>General</c:formatCode>
                <c:ptCount val="9"/>
                <c:pt idx="0">
                  <c:v>0</c:v>
                </c:pt>
                <c:pt idx="1">
                  <c:v>0</c:v>
                </c:pt>
                <c:pt idx="2">
                  <c:v>0</c:v>
                </c:pt>
                <c:pt idx="3">
                  <c:v>0</c:v>
                </c:pt>
                <c:pt idx="4">
                  <c:v>2.9</c:v>
                </c:pt>
                <c:pt idx="5">
                  <c:v>4.0999999999999996</c:v>
                </c:pt>
                <c:pt idx="6">
                  <c:v>59.7</c:v>
                </c:pt>
                <c:pt idx="7">
                  <c:v>26.6</c:v>
                </c:pt>
                <c:pt idx="8">
                  <c:v>26.6</c:v>
                </c:pt>
              </c:numCache>
            </c:numRef>
          </c:val>
          <c:extLst>
            <c:ext xmlns:c16="http://schemas.microsoft.com/office/drawing/2014/chart" uri="{C3380CC4-5D6E-409C-BE32-E72D297353CC}">
              <c16:uniqueId val="{00000004-FFB8-DD49-8F61-557E02753A90}"/>
            </c:ext>
          </c:extLst>
        </c:ser>
        <c:ser>
          <c:idx val="5"/>
          <c:order val="5"/>
          <c:spPr>
            <a:solidFill>
              <a:schemeClr val="accent6"/>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3,4-d'!$G$9:$G$17</c:f>
              <c:numCache>
                <c:formatCode>General</c:formatCode>
                <c:ptCount val="9"/>
                <c:pt idx="0">
                  <c:v>0</c:v>
                </c:pt>
                <c:pt idx="1">
                  <c:v>0</c:v>
                </c:pt>
                <c:pt idx="2">
                  <c:v>0</c:v>
                </c:pt>
                <c:pt idx="3">
                  <c:v>0</c:v>
                </c:pt>
                <c:pt idx="4">
                  <c:v>2.1</c:v>
                </c:pt>
                <c:pt idx="5">
                  <c:v>3.6</c:v>
                </c:pt>
                <c:pt idx="6">
                  <c:v>40.4</c:v>
                </c:pt>
                <c:pt idx="7">
                  <c:v>22.2</c:v>
                </c:pt>
                <c:pt idx="8">
                  <c:v>22.2</c:v>
                </c:pt>
              </c:numCache>
            </c:numRef>
          </c:val>
          <c:extLst>
            <c:ext xmlns:c16="http://schemas.microsoft.com/office/drawing/2014/chart" uri="{C3380CC4-5D6E-409C-BE32-E72D297353CC}">
              <c16:uniqueId val="{00000005-FFB8-DD49-8F61-557E02753A90}"/>
            </c:ext>
          </c:extLst>
        </c:ser>
        <c:ser>
          <c:idx val="6"/>
          <c:order val="6"/>
          <c:spPr>
            <a:solidFill>
              <a:schemeClr val="accent1">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3,4-d'!$H$9:$H$17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6-FFB8-DD49-8F61-557E02753A90}"/>
            </c:ext>
          </c:extLst>
        </c:ser>
        <c:ser>
          <c:idx val="7"/>
          <c:order val="7"/>
          <c:spPr>
            <a:solidFill>
              <a:schemeClr val="accent2">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3,4-d'!$I$9:$I$17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7-FFB8-DD49-8F61-557E02753A90}"/>
            </c:ext>
          </c:extLst>
        </c:ser>
        <c:ser>
          <c:idx val="8"/>
          <c:order val="8"/>
          <c:spPr>
            <a:solidFill>
              <a:schemeClr val="accent3">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3,4-d'!$J$9:$J$17</c:f>
              <c:numCache>
                <c:formatCode>General</c:formatCode>
                <c:ptCount val="9"/>
                <c:pt idx="0">
                  <c:v>0</c:v>
                </c:pt>
                <c:pt idx="1">
                  <c:v>0</c:v>
                </c:pt>
                <c:pt idx="2">
                  <c:v>0</c:v>
                </c:pt>
                <c:pt idx="3">
                  <c:v>0</c:v>
                </c:pt>
                <c:pt idx="4">
                  <c:v>1.4</c:v>
                </c:pt>
                <c:pt idx="5">
                  <c:v>1.6</c:v>
                </c:pt>
                <c:pt idx="6">
                  <c:v>51.1</c:v>
                </c:pt>
                <c:pt idx="7">
                  <c:v>18.2</c:v>
                </c:pt>
                <c:pt idx="8">
                  <c:v>18.2</c:v>
                </c:pt>
              </c:numCache>
            </c:numRef>
          </c:val>
          <c:extLst>
            <c:ext xmlns:c16="http://schemas.microsoft.com/office/drawing/2014/chart" uri="{C3380CC4-5D6E-409C-BE32-E72D297353CC}">
              <c16:uniqueId val="{00000008-FFB8-DD49-8F61-557E02753A90}"/>
            </c:ext>
          </c:extLst>
        </c:ser>
        <c:ser>
          <c:idx val="9"/>
          <c:order val="9"/>
          <c:spPr>
            <a:solidFill>
              <a:schemeClr val="accent4">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3,4-d'!$K$9:$K$17</c:f>
              <c:numCache>
                <c:formatCode>General</c:formatCode>
                <c:ptCount val="9"/>
                <c:pt idx="0">
                  <c:v>0</c:v>
                </c:pt>
                <c:pt idx="1">
                  <c:v>0</c:v>
                </c:pt>
                <c:pt idx="2">
                  <c:v>0</c:v>
                </c:pt>
                <c:pt idx="3">
                  <c:v>0</c:v>
                </c:pt>
                <c:pt idx="4">
                  <c:v>1.4</c:v>
                </c:pt>
                <c:pt idx="5">
                  <c:v>1.6</c:v>
                </c:pt>
                <c:pt idx="6">
                  <c:v>35.5</c:v>
                </c:pt>
                <c:pt idx="7">
                  <c:v>43.3</c:v>
                </c:pt>
                <c:pt idx="8">
                  <c:v>43.3</c:v>
                </c:pt>
              </c:numCache>
            </c:numRef>
          </c:val>
          <c:extLst>
            <c:ext xmlns:c16="http://schemas.microsoft.com/office/drawing/2014/chart" uri="{C3380CC4-5D6E-409C-BE32-E72D297353CC}">
              <c16:uniqueId val="{00000009-FFB8-DD49-8F61-557E02753A90}"/>
            </c:ext>
          </c:extLst>
        </c:ser>
        <c:ser>
          <c:idx val="10"/>
          <c:order val="10"/>
          <c:spPr>
            <a:solidFill>
              <a:schemeClr val="accent5">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3,4-d'!$L$9:$L$17</c:f>
              <c:numCache>
                <c:formatCode>General</c:formatCode>
                <c:ptCount val="9"/>
                <c:pt idx="0">
                  <c:v>0</c:v>
                </c:pt>
                <c:pt idx="1">
                  <c:v>0</c:v>
                </c:pt>
                <c:pt idx="2">
                  <c:v>0</c:v>
                </c:pt>
                <c:pt idx="3">
                  <c:v>0.18181818181818182</c:v>
                </c:pt>
                <c:pt idx="4">
                  <c:v>0.81818181818181812</c:v>
                </c:pt>
                <c:pt idx="5">
                  <c:v>1.3181818181818181</c:v>
                </c:pt>
                <c:pt idx="6">
                  <c:v>47.7</c:v>
                </c:pt>
                <c:pt idx="7">
                  <c:v>19.3</c:v>
                </c:pt>
                <c:pt idx="8">
                  <c:v>19.3</c:v>
                </c:pt>
              </c:numCache>
            </c:numRef>
          </c:val>
          <c:extLst>
            <c:ext xmlns:c16="http://schemas.microsoft.com/office/drawing/2014/chart" uri="{C3380CC4-5D6E-409C-BE32-E72D297353CC}">
              <c16:uniqueId val="{0000000A-FFB8-DD49-8F61-557E02753A90}"/>
            </c:ext>
          </c:extLst>
        </c:ser>
        <c:ser>
          <c:idx val="11"/>
          <c:order val="11"/>
          <c:spPr>
            <a:solidFill>
              <a:schemeClr val="accent6">
                <a:lumMod val="60000"/>
              </a:schemeClr>
            </a:solidFill>
            <a:ln>
              <a:noFill/>
            </a:ln>
            <a:effectLst/>
          </c:spPr>
          <c:invertIfNegative val="0"/>
          <c:cat>
            <c:numRef>
              <c:f>'Protocatechuic acid (PCA) 3,4-d'!$A$9:$A$17</c:f>
              <c:numCache>
                <c:formatCode>General</c:formatCode>
                <c:ptCount val="9"/>
                <c:pt idx="0">
                  <c:v>2</c:v>
                </c:pt>
                <c:pt idx="1">
                  <c:v>4</c:v>
                </c:pt>
                <c:pt idx="2">
                  <c:v>6</c:v>
                </c:pt>
                <c:pt idx="3">
                  <c:v>8</c:v>
                </c:pt>
                <c:pt idx="4">
                  <c:v>10</c:v>
                </c:pt>
                <c:pt idx="5">
                  <c:v>12</c:v>
                </c:pt>
                <c:pt idx="6">
                  <c:v>14</c:v>
                </c:pt>
                <c:pt idx="7">
                  <c:v>16</c:v>
                </c:pt>
                <c:pt idx="8">
                  <c:v>20</c:v>
                </c:pt>
              </c:numCache>
            </c:numRef>
          </c:cat>
          <c:val>
            <c:numRef>
              <c:f>'Protocatechuic acid (PCA) 3,4-d'!$M$9:$M$17</c:f>
              <c:numCache>
                <c:formatCode>General</c:formatCode>
                <c:ptCount val="9"/>
                <c:pt idx="0">
                  <c:v>0</c:v>
                </c:pt>
                <c:pt idx="1">
                  <c:v>0</c:v>
                </c:pt>
                <c:pt idx="2">
                  <c:v>0</c:v>
                </c:pt>
                <c:pt idx="3">
                  <c:v>0.2</c:v>
                </c:pt>
                <c:pt idx="4">
                  <c:v>0.9</c:v>
                </c:pt>
                <c:pt idx="5">
                  <c:v>5.5</c:v>
                </c:pt>
                <c:pt idx="6">
                  <c:v>19.5</c:v>
                </c:pt>
                <c:pt idx="7">
                  <c:v>49.6</c:v>
                </c:pt>
                <c:pt idx="8">
                  <c:v>33.4</c:v>
                </c:pt>
              </c:numCache>
            </c:numRef>
          </c:val>
          <c:extLst>
            <c:ext xmlns:c16="http://schemas.microsoft.com/office/drawing/2014/chart" uri="{C3380CC4-5D6E-409C-BE32-E72D297353CC}">
              <c16:uniqueId val="{0000000B-FFB8-DD49-8F61-557E02753A90}"/>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scaling>
        <c:delete val="0"/>
        <c:axPos val="l"/>
        <c:title>
          <c:tx>
            <c:rich>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Specific Enzyme Activity (U/mg protein)</a:t>
                </a:r>
              </a:p>
            </c:rich>
          </c:tx>
          <c:overlay val="0"/>
          <c:spPr>
            <a:noFill/>
            <a:ln>
              <a:noFill/>
            </a:ln>
            <a:effectLst/>
          </c:spPr>
          <c:txPr>
            <a:bodyPr rot="-54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'Protocatechuic acid (PCA) 3,4-d'!$B$8</c:f>
              <c:strCache>
                <c:ptCount val="1"/>
                <c:pt idx="0">
                  <c:v>URS-5</c:v>
                </c:pt>
              </c:strCache>
            </c:strRef>
          </c:tx>
          <c:spPr>
            <a:solidFill>
              <a:schemeClr val="accent1"/>
            </a:solidFill>
            <a:ln>
              <a:noFill/>
            </a:ln>
            <a:effectLst/>
          </c:spPr>
          <c:invertIfNegative val="0"/>
          <c:val>
            <c:numRef>
              <c:f>'Protocatechuic acid (PCA) 3,4-d'!$P$9:$P$17</c:f>
              <c:numCache>
                <c:formatCode>General</c:formatCode>
                <c:ptCount val="9"/>
              </c:numCache>
            </c:numRef>
          </c:val>
          <c:extLst>
            <c:ext xmlns:c16="http://schemas.microsoft.com/office/drawing/2014/chart" uri="{C3380CC4-5D6E-409C-BE32-E72D297353CC}">
              <c16:uniqueId val="{00000000-CCDB-1D41-A754-E03F6C8DCC9A}"/>
            </c:ext>
          </c:extLst>
        </c:ser>
        <c:ser>
          <c:idx val="1"/>
          <c:order val="1"/>
          <c:tx>
            <c:strRef>
              <c:f>'Protocatechuic acid (PCA) 3,4-d'!$C$8</c:f>
              <c:strCache>
                <c:ptCount val="1"/>
                <c:pt idx="0">
                  <c:v>URS-6</c:v>
                </c:pt>
              </c:strCache>
            </c:strRef>
          </c:tx>
          <c:spPr>
            <a:solidFill>
              <a:schemeClr val="accent2"/>
            </a:solidFill>
            <a:ln>
              <a:noFill/>
            </a:ln>
            <a:effectLst/>
          </c:spPr>
          <c:invertIfNegative val="0"/>
          <c:val>
            <c:numRef>
              <c:f>'Protocatechuic acid (PCA) 3,4-d'!$Q$9:$Q$17</c:f>
              <c:numCache>
                <c:formatCode>General</c:formatCode>
                <c:ptCount val="9"/>
              </c:numCache>
            </c:numRef>
          </c:val>
          <c:extLst>
            <c:ext xmlns:c16="http://schemas.microsoft.com/office/drawing/2014/chart" uri="{C3380CC4-5D6E-409C-BE32-E72D297353CC}">
              <c16:uniqueId val="{00000001-CCDB-1D41-A754-E03F6C8DCC9A}"/>
            </c:ext>
          </c:extLst>
        </c:ser>
        <c:ser>
          <c:idx val="2"/>
          <c:order val="2"/>
          <c:tx>
            <c:strRef>
              <c:f>'Protocatechuic acid (PCA) 3,4-d'!$D$8</c:f>
              <c:strCache>
                <c:ptCount val="1"/>
                <c:pt idx="0">
                  <c:v>URS-8</c:v>
                </c:pt>
              </c:strCache>
            </c:strRef>
          </c:tx>
          <c:spPr>
            <a:solidFill>
              <a:schemeClr val="accent3"/>
            </a:solidFill>
            <a:ln>
              <a:noFill/>
            </a:ln>
            <a:effectLst/>
          </c:spPr>
          <c:invertIfNegative val="0"/>
          <c:val>
            <c:numRef>
              <c:f>'Protocatechuic acid (PCA) 3,4-d'!$R$9:$R$17</c:f>
              <c:numCache>
                <c:formatCode>General</c:formatCode>
                <c:ptCount val="9"/>
                <c:pt idx="0">
                  <c:v>0</c:v>
                </c:pt>
                <c:pt idx="1">
                  <c:v>0</c:v>
                </c:pt>
                <c:pt idx="2">
                  <c:v>0</c:v>
                </c:pt>
                <c:pt idx="3">
                  <c:v>0</c:v>
                </c:pt>
                <c:pt idx="4">
                  <c:v>2.2999999999999998</c:v>
                </c:pt>
                <c:pt idx="5">
                  <c:v>14.4</c:v>
                </c:pt>
                <c:pt idx="6">
                  <c:v>19</c:v>
                </c:pt>
                <c:pt idx="7">
                  <c:v>36.6</c:v>
                </c:pt>
                <c:pt idx="8">
                  <c:v>29.2</c:v>
                </c:pt>
              </c:numCache>
            </c:numRef>
          </c:val>
          <c:extLst>
            <c:ext xmlns:c16="http://schemas.microsoft.com/office/drawing/2014/chart" uri="{C3380CC4-5D6E-409C-BE32-E72D297353CC}">
              <c16:uniqueId val="{00000002-CCDB-1D41-A754-E03F6C8DCC9A}"/>
            </c:ext>
          </c:extLst>
        </c:ser>
        <c:ser>
          <c:idx val="3"/>
          <c:order val="3"/>
          <c:spPr>
            <a:solidFill>
              <a:schemeClr val="accent4"/>
            </a:solidFill>
            <a:ln>
              <a:noFill/>
            </a:ln>
            <a:effectLst/>
          </c:spPr>
          <c:invertIfNegative val="0"/>
          <c:val>
            <c:numRef>
              <c:f>'Protocatechuic acid (PCA) 3,4-d'!$S$9:$S$17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3-CCDB-1D41-A754-E03F6C8DCC9A}"/>
            </c:ext>
          </c:extLst>
        </c:ser>
        <c:ser>
          <c:idx val="4"/>
          <c:order val="4"/>
          <c:spPr>
            <a:solidFill>
              <a:schemeClr val="accent5"/>
            </a:solidFill>
            <a:ln>
              <a:noFill/>
            </a:ln>
            <a:effectLst/>
          </c:spPr>
          <c:invertIfNegative val="0"/>
          <c:val>
            <c:numRef>
              <c:f>'Protocatechuic acid (PCA) 3,4-d'!$T$9:$T$17</c:f>
              <c:numCache>
                <c:formatCode>General</c:formatCode>
                <c:ptCount val="9"/>
                <c:pt idx="0">
                  <c:v>0</c:v>
                </c:pt>
                <c:pt idx="1">
                  <c:v>0</c:v>
                </c:pt>
                <c:pt idx="2">
                  <c:v>0</c:v>
                </c:pt>
                <c:pt idx="3">
                  <c:v>0</c:v>
                </c:pt>
                <c:pt idx="4">
                  <c:v>2.9</c:v>
                </c:pt>
                <c:pt idx="5">
                  <c:v>4.0999999999999996</c:v>
                </c:pt>
                <c:pt idx="6">
                  <c:v>24.5</c:v>
                </c:pt>
                <c:pt idx="7">
                  <c:v>29.3</c:v>
                </c:pt>
                <c:pt idx="8">
                  <c:v>19.5</c:v>
                </c:pt>
              </c:numCache>
            </c:numRef>
          </c:val>
          <c:extLst>
            <c:ext xmlns:c16="http://schemas.microsoft.com/office/drawing/2014/chart" uri="{C3380CC4-5D6E-409C-BE32-E72D297353CC}">
              <c16:uniqueId val="{00000004-CCDB-1D41-A754-E03F6C8DCC9A}"/>
            </c:ext>
          </c:extLst>
        </c:ser>
        <c:ser>
          <c:idx val="5"/>
          <c:order val="5"/>
          <c:spPr>
            <a:solidFill>
              <a:schemeClr val="accent6"/>
            </a:solidFill>
            <a:ln>
              <a:noFill/>
            </a:ln>
            <a:effectLst/>
          </c:spPr>
          <c:invertIfNegative val="0"/>
          <c:val>
            <c:numRef>
              <c:f>'Protocatechuic acid (PCA) 3,4-d'!$U$9:$U$17</c:f>
              <c:numCache>
                <c:formatCode>General</c:formatCode>
                <c:ptCount val="9"/>
                <c:pt idx="0">
                  <c:v>0</c:v>
                </c:pt>
                <c:pt idx="1">
                  <c:v>0</c:v>
                </c:pt>
                <c:pt idx="2">
                  <c:v>0</c:v>
                </c:pt>
                <c:pt idx="3">
                  <c:v>0</c:v>
                </c:pt>
                <c:pt idx="4">
                  <c:v>2.1</c:v>
                </c:pt>
                <c:pt idx="5">
                  <c:v>3.6</c:v>
                </c:pt>
                <c:pt idx="6">
                  <c:v>34.4</c:v>
                </c:pt>
                <c:pt idx="7">
                  <c:v>20.3</c:v>
                </c:pt>
                <c:pt idx="8">
                  <c:v>22.2</c:v>
                </c:pt>
              </c:numCache>
            </c:numRef>
          </c:val>
          <c:extLst>
            <c:ext xmlns:c16="http://schemas.microsoft.com/office/drawing/2014/chart" uri="{C3380CC4-5D6E-409C-BE32-E72D297353CC}">
              <c16:uniqueId val="{00000005-CCDB-1D41-A754-E03F6C8DCC9A}"/>
            </c:ext>
          </c:extLst>
        </c:ser>
        <c:ser>
          <c:idx val="6"/>
          <c:order val="6"/>
          <c:spPr>
            <a:solidFill>
              <a:schemeClr val="accent1">
                <a:lumMod val="60000"/>
              </a:schemeClr>
            </a:solidFill>
            <a:ln>
              <a:noFill/>
            </a:ln>
            <a:effectLst/>
          </c:spPr>
          <c:invertIfNegative val="0"/>
          <c:val>
            <c:numRef>
              <c:f>'Protocatechuic acid (PCA) 3,4-d'!$V$9:$V$17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6-CCDB-1D41-A754-E03F6C8DCC9A}"/>
            </c:ext>
          </c:extLst>
        </c:ser>
        <c:ser>
          <c:idx val="7"/>
          <c:order val="7"/>
          <c:spPr>
            <a:solidFill>
              <a:schemeClr val="accent2">
                <a:lumMod val="60000"/>
              </a:schemeClr>
            </a:solidFill>
            <a:ln>
              <a:noFill/>
            </a:ln>
            <a:effectLst/>
          </c:spPr>
          <c:invertIfNegative val="0"/>
          <c:val>
            <c:numRef>
              <c:f>'Protocatechuic acid (PCA) 3,4-d'!$W$9:$W$17</c:f>
              <c:numCache>
                <c:formatCode>General</c:formatCode>
                <c:ptCount val="9"/>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7-CCDB-1D41-A754-E03F6C8DCC9A}"/>
            </c:ext>
          </c:extLst>
        </c:ser>
        <c:ser>
          <c:idx val="8"/>
          <c:order val="8"/>
          <c:spPr>
            <a:solidFill>
              <a:schemeClr val="accent3">
                <a:lumMod val="60000"/>
              </a:schemeClr>
            </a:solidFill>
            <a:ln>
              <a:noFill/>
            </a:ln>
            <a:effectLst/>
          </c:spPr>
          <c:invertIfNegative val="0"/>
          <c:val>
            <c:numRef>
              <c:f>'Protocatechuic acid (PCA) 3,4-d'!$X$9:$X$17</c:f>
              <c:numCache>
                <c:formatCode>General</c:formatCode>
                <c:ptCount val="9"/>
                <c:pt idx="0">
                  <c:v>0</c:v>
                </c:pt>
                <c:pt idx="1">
                  <c:v>0</c:v>
                </c:pt>
                <c:pt idx="2">
                  <c:v>0</c:v>
                </c:pt>
                <c:pt idx="3">
                  <c:v>0</c:v>
                </c:pt>
                <c:pt idx="4">
                  <c:v>1.4</c:v>
                </c:pt>
                <c:pt idx="5">
                  <c:v>1.6</c:v>
                </c:pt>
                <c:pt idx="6">
                  <c:v>11.1</c:v>
                </c:pt>
                <c:pt idx="7">
                  <c:v>14</c:v>
                </c:pt>
                <c:pt idx="8">
                  <c:v>10</c:v>
                </c:pt>
              </c:numCache>
            </c:numRef>
          </c:val>
          <c:extLst>
            <c:ext xmlns:c16="http://schemas.microsoft.com/office/drawing/2014/chart" uri="{C3380CC4-5D6E-409C-BE32-E72D297353CC}">
              <c16:uniqueId val="{00000008-CCDB-1D41-A754-E03F6C8DCC9A}"/>
            </c:ext>
          </c:extLst>
        </c:ser>
        <c:ser>
          <c:idx val="9"/>
          <c:order val="9"/>
          <c:spPr>
            <a:solidFill>
              <a:schemeClr val="accent4">
                <a:lumMod val="60000"/>
              </a:schemeClr>
            </a:solidFill>
            <a:ln>
              <a:noFill/>
            </a:ln>
            <a:effectLst/>
          </c:spPr>
          <c:invertIfNegative val="0"/>
          <c:val>
            <c:numRef>
              <c:f>'Protocatechuic acid (PCA) 3,4-d'!$Y$9:$Y$17</c:f>
              <c:numCache>
                <c:formatCode>General</c:formatCode>
                <c:ptCount val="9"/>
                <c:pt idx="0">
                  <c:v>0</c:v>
                </c:pt>
                <c:pt idx="1">
                  <c:v>0</c:v>
                </c:pt>
                <c:pt idx="2">
                  <c:v>0</c:v>
                </c:pt>
                <c:pt idx="3">
                  <c:v>0</c:v>
                </c:pt>
                <c:pt idx="4">
                  <c:v>1.4</c:v>
                </c:pt>
                <c:pt idx="5">
                  <c:v>1.6</c:v>
                </c:pt>
                <c:pt idx="6">
                  <c:v>10</c:v>
                </c:pt>
                <c:pt idx="7">
                  <c:v>11</c:v>
                </c:pt>
                <c:pt idx="8">
                  <c:v>13.3</c:v>
                </c:pt>
              </c:numCache>
            </c:numRef>
          </c:val>
          <c:extLst>
            <c:ext xmlns:c16="http://schemas.microsoft.com/office/drawing/2014/chart" uri="{C3380CC4-5D6E-409C-BE32-E72D297353CC}">
              <c16:uniqueId val="{00000009-CCDB-1D41-A754-E03F6C8DCC9A}"/>
            </c:ext>
          </c:extLst>
        </c:ser>
        <c:ser>
          <c:idx val="10"/>
          <c:order val="10"/>
          <c:spPr>
            <a:solidFill>
              <a:schemeClr val="accent5">
                <a:lumMod val="60000"/>
              </a:schemeClr>
            </a:solidFill>
            <a:ln>
              <a:noFill/>
            </a:ln>
            <a:effectLst/>
          </c:spPr>
          <c:invertIfNegative val="0"/>
          <c:val>
            <c:numRef>
              <c:f>'Protocatechuic acid (PCA) 3,4-d'!$Z$9:$Z$17</c:f>
              <c:numCache>
                <c:formatCode>General</c:formatCode>
                <c:ptCount val="9"/>
                <c:pt idx="0">
                  <c:v>0</c:v>
                </c:pt>
                <c:pt idx="1">
                  <c:v>0</c:v>
                </c:pt>
                <c:pt idx="2">
                  <c:v>0</c:v>
                </c:pt>
                <c:pt idx="3">
                  <c:v>0.18181818181818182</c:v>
                </c:pt>
                <c:pt idx="4">
                  <c:v>0.81818181818181812</c:v>
                </c:pt>
                <c:pt idx="5">
                  <c:v>1.3181818181818181</c:v>
                </c:pt>
                <c:pt idx="6">
                  <c:v>3.8636363636363633</c:v>
                </c:pt>
                <c:pt idx="7">
                  <c:v>16.899999999999999</c:v>
                </c:pt>
                <c:pt idx="8">
                  <c:v>13.3</c:v>
                </c:pt>
              </c:numCache>
            </c:numRef>
          </c:val>
          <c:extLst>
            <c:ext xmlns:c16="http://schemas.microsoft.com/office/drawing/2014/chart" uri="{C3380CC4-5D6E-409C-BE32-E72D297353CC}">
              <c16:uniqueId val="{0000000A-CCDB-1D41-A754-E03F6C8DCC9A}"/>
            </c:ext>
          </c:extLst>
        </c:ser>
        <c:ser>
          <c:idx val="11"/>
          <c:order val="11"/>
          <c:spPr>
            <a:solidFill>
              <a:schemeClr val="accent6">
                <a:lumMod val="60000"/>
              </a:schemeClr>
            </a:solidFill>
            <a:ln>
              <a:noFill/>
            </a:ln>
            <a:effectLst/>
          </c:spPr>
          <c:invertIfNegative val="0"/>
          <c:val>
            <c:numRef>
              <c:f>'Protocatechuic acid (PCA) 3,4-d'!$AA$9:$AA$17</c:f>
              <c:numCache>
                <c:formatCode>General</c:formatCode>
                <c:ptCount val="9"/>
                <c:pt idx="0">
                  <c:v>0</c:v>
                </c:pt>
                <c:pt idx="1">
                  <c:v>0</c:v>
                </c:pt>
                <c:pt idx="2">
                  <c:v>0</c:v>
                </c:pt>
                <c:pt idx="3">
                  <c:v>0.2</c:v>
                </c:pt>
                <c:pt idx="4">
                  <c:v>0.9</c:v>
                </c:pt>
                <c:pt idx="5">
                  <c:v>1.45</c:v>
                </c:pt>
                <c:pt idx="6">
                  <c:v>61.4</c:v>
                </c:pt>
                <c:pt idx="7">
                  <c:v>24.4</c:v>
                </c:pt>
                <c:pt idx="8">
                  <c:v>19</c:v>
                </c:pt>
              </c:numCache>
            </c:numRef>
          </c:val>
          <c:extLst>
            <c:ext xmlns:c16="http://schemas.microsoft.com/office/drawing/2014/chart" uri="{C3380CC4-5D6E-409C-BE32-E72D297353CC}">
              <c16:uniqueId val="{0000000B-CCDB-1D41-A754-E03F6C8DCC9A}"/>
            </c:ext>
          </c:extLst>
        </c:ser>
        <c:dLbls>
          <c:showLegendKey val="0"/>
          <c:showVal val="0"/>
          <c:showCatName val="0"/>
          <c:showSerName val="0"/>
          <c:showPercent val="0"/>
          <c:showBubbleSize val="0"/>
        </c:dLbls>
        <c:gapWidth val="150"/>
        <c:overlap val="100"/>
        <c:axId val="2056800143"/>
        <c:axId val="2056727135"/>
      </c:barChart>
      <c:catAx>
        <c:axId val="2056800143"/>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Time of incubation (hour)</a:t>
                </a:r>
              </a:p>
            </c:rich>
          </c:tx>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727135"/>
        <c:crosses val="autoZero"/>
        <c:auto val="1"/>
        <c:lblAlgn val="ctr"/>
        <c:lblOffset val="100"/>
        <c:noMultiLvlLbl val="0"/>
      </c:catAx>
      <c:valAx>
        <c:axId val="205672713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56800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13823857302118"/>
          <c:y val="3.5313001605136438E-2"/>
          <c:w val="0.84894091415830542"/>
          <c:h val="0.84626003210272882"/>
        </c:manualLayout>
      </c:layout>
      <c:scatterChart>
        <c:scatterStyle val="lineMarker"/>
        <c:varyColors val="0"/>
        <c:ser>
          <c:idx val="0"/>
          <c:order val="0"/>
          <c:tx>
            <c:v>Br</c:v>
          </c:tx>
          <c:spPr>
            <a:ln w="19050" cap="rnd">
              <a:noFill/>
              <a:round/>
            </a:ln>
            <a:effectLst/>
          </c:spPr>
          <c:marker>
            <c:symbol val="circle"/>
            <c:size val="5"/>
            <c:spPr>
              <a:solidFill>
                <a:schemeClr val="accent1"/>
              </a:solidFill>
              <a:ln w="9525">
                <a:solidFill>
                  <a:schemeClr val="accent1"/>
                </a:solidFill>
              </a:ln>
              <a:effectLst/>
            </c:spPr>
          </c:marker>
          <c:xVal>
            <c:numRef>
              <c:f>breakout!$A$3:$A$19</c:f>
              <c:numCache>
                <c:formatCode>General</c:formatCode>
                <c:ptCount val="17"/>
                <c:pt idx="0">
                  <c:v>0</c:v>
                </c:pt>
                <c:pt idx="1">
                  <c:v>5</c:v>
                </c:pt>
                <c:pt idx="2">
                  <c:v>10</c:v>
                </c:pt>
                <c:pt idx="3">
                  <c:v>15</c:v>
                </c:pt>
                <c:pt idx="4">
                  <c:v>20</c:v>
                </c:pt>
                <c:pt idx="5">
                  <c:v>25</c:v>
                </c:pt>
                <c:pt idx="6">
                  <c:v>30</c:v>
                </c:pt>
                <c:pt idx="7">
                  <c:v>35</c:v>
                </c:pt>
                <c:pt idx="8">
                  <c:v>40</c:v>
                </c:pt>
                <c:pt idx="9">
                  <c:v>50</c:v>
                </c:pt>
                <c:pt idx="10">
                  <c:v>60</c:v>
                </c:pt>
                <c:pt idx="11">
                  <c:v>70</c:v>
                </c:pt>
                <c:pt idx="12">
                  <c:v>80</c:v>
                </c:pt>
                <c:pt idx="13">
                  <c:v>90</c:v>
                </c:pt>
                <c:pt idx="14">
                  <c:v>100</c:v>
                </c:pt>
                <c:pt idx="15">
                  <c:v>120</c:v>
                </c:pt>
                <c:pt idx="16">
                  <c:v>140</c:v>
                </c:pt>
              </c:numCache>
            </c:numRef>
          </c:xVal>
          <c:yVal>
            <c:numRef>
              <c:f>breakout!$B$3:$B$19</c:f>
              <c:numCache>
                <c:formatCode>General</c:formatCode>
                <c:ptCount val="17"/>
                <c:pt idx="0">
                  <c:v>0</c:v>
                </c:pt>
                <c:pt idx="1">
                  <c:v>0.01</c:v>
                </c:pt>
                <c:pt idx="2">
                  <c:v>0.05</c:v>
                </c:pt>
                <c:pt idx="3">
                  <c:v>0.1</c:v>
                </c:pt>
                <c:pt idx="5">
                  <c:v>0.43</c:v>
                </c:pt>
                <c:pt idx="8">
                  <c:v>0.85</c:v>
                </c:pt>
                <c:pt idx="10">
                  <c:v>0.95</c:v>
                </c:pt>
                <c:pt idx="12">
                  <c:v>1</c:v>
                </c:pt>
              </c:numCache>
            </c:numRef>
          </c:yVal>
          <c:smooth val="0"/>
          <c:extLst>
            <c:ext xmlns:c16="http://schemas.microsoft.com/office/drawing/2014/chart" uri="{C3380CC4-5D6E-409C-BE32-E72D297353CC}">
              <c16:uniqueId val="{00000000-F553-2944-A3EE-1FAC9382D906}"/>
            </c:ext>
          </c:extLst>
        </c:ser>
        <c:ser>
          <c:idx val="1"/>
          <c:order val="1"/>
          <c:tx>
            <c:v>Total Protein</c:v>
          </c:tx>
          <c:spPr>
            <a:ln w="19050" cap="rnd">
              <a:noFill/>
              <a:round/>
            </a:ln>
            <a:effectLst/>
          </c:spPr>
          <c:marker>
            <c:symbol val="circle"/>
            <c:size val="5"/>
            <c:spPr>
              <a:solidFill>
                <a:schemeClr val="accent2"/>
              </a:solidFill>
              <a:ln w="9525">
                <a:solidFill>
                  <a:schemeClr val="accent2"/>
                </a:solidFill>
              </a:ln>
              <a:effectLst/>
            </c:spPr>
          </c:marker>
          <c:xVal>
            <c:numRef>
              <c:f>breakout!$A$3:$A$21</c:f>
              <c:numCache>
                <c:formatCode>General</c:formatCode>
                <c:ptCount val="19"/>
                <c:pt idx="0">
                  <c:v>0</c:v>
                </c:pt>
                <c:pt idx="1">
                  <c:v>5</c:v>
                </c:pt>
                <c:pt idx="2">
                  <c:v>10</c:v>
                </c:pt>
                <c:pt idx="3">
                  <c:v>15</c:v>
                </c:pt>
                <c:pt idx="4">
                  <c:v>20</c:v>
                </c:pt>
                <c:pt idx="5">
                  <c:v>25</c:v>
                </c:pt>
                <c:pt idx="6">
                  <c:v>30</c:v>
                </c:pt>
                <c:pt idx="7">
                  <c:v>35</c:v>
                </c:pt>
                <c:pt idx="8">
                  <c:v>40</c:v>
                </c:pt>
                <c:pt idx="9">
                  <c:v>50</c:v>
                </c:pt>
                <c:pt idx="10">
                  <c:v>60</c:v>
                </c:pt>
                <c:pt idx="11">
                  <c:v>70</c:v>
                </c:pt>
                <c:pt idx="12">
                  <c:v>80</c:v>
                </c:pt>
                <c:pt idx="13">
                  <c:v>90</c:v>
                </c:pt>
                <c:pt idx="14">
                  <c:v>100</c:v>
                </c:pt>
                <c:pt idx="15">
                  <c:v>120</c:v>
                </c:pt>
                <c:pt idx="16">
                  <c:v>140</c:v>
                </c:pt>
                <c:pt idx="17">
                  <c:v>160</c:v>
                </c:pt>
                <c:pt idx="18">
                  <c:v>180</c:v>
                </c:pt>
              </c:numCache>
            </c:numRef>
          </c:xVal>
          <c:yVal>
            <c:numRef>
              <c:f>breakout!$C$3:$C$21</c:f>
              <c:numCache>
                <c:formatCode>General</c:formatCode>
                <c:ptCount val="19"/>
                <c:pt idx="0">
                  <c:v>0</c:v>
                </c:pt>
                <c:pt idx="4">
                  <c:v>0.03</c:v>
                </c:pt>
                <c:pt idx="9">
                  <c:v>0.1</c:v>
                </c:pt>
                <c:pt idx="11">
                  <c:v>0.19</c:v>
                </c:pt>
                <c:pt idx="13">
                  <c:v>0.24</c:v>
                </c:pt>
                <c:pt idx="15">
                  <c:v>0.44</c:v>
                </c:pt>
                <c:pt idx="16">
                  <c:v>0.77</c:v>
                </c:pt>
                <c:pt idx="17">
                  <c:v>0.98</c:v>
                </c:pt>
                <c:pt idx="18">
                  <c:v>0.99</c:v>
                </c:pt>
              </c:numCache>
            </c:numRef>
          </c:yVal>
          <c:smooth val="0"/>
          <c:extLst>
            <c:ext xmlns:c16="http://schemas.microsoft.com/office/drawing/2014/chart" uri="{C3380CC4-5D6E-409C-BE32-E72D297353CC}">
              <c16:uniqueId val="{00000001-F553-2944-A3EE-1FAC9382D906}"/>
            </c:ext>
          </c:extLst>
        </c:ser>
        <c:dLbls>
          <c:showLegendKey val="0"/>
          <c:showVal val="0"/>
          <c:showCatName val="0"/>
          <c:showSerName val="0"/>
          <c:showPercent val="0"/>
          <c:showBubbleSize val="0"/>
        </c:dLbls>
        <c:axId val="625273103"/>
        <c:axId val="627983311"/>
      </c:scatterChart>
      <c:valAx>
        <c:axId val="625273103"/>
        <c:scaling>
          <c:orientation val="minMax"/>
          <c:max val="200"/>
        </c:scaling>
        <c:delete val="0"/>
        <c:axPos val="b"/>
        <c:title>
          <c:tx>
            <c:rich>
              <a:bodyPr rot="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r>
                  <a:rPr lang="en-US"/>
                  <a:t>Volume (mL)</a:t>
                </a:r>
              </a:p>
            </c:rich>
          </c:tx>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endParaRPr lang="en-US"/>
          </a:p>
        </c:txPr>
        <c:crossAx val="627983311"/>
        <c:crosses val="autoZero"/>
        <c:crossBetween val="midCat"/>
      </c:valAx>
      <c:valAx>
        <c:axId val="627983311"/>
        <c:scaling>
          <c:orientation val="minMax"/>
        </c:scaling>
        <c:delete val="0"/>
        <c:axPos val="l"/>
        <c:title>
          <c:tx>
            <c:rich>
              <a:bodyPr rot="-540000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r>
                  <a:rPr lang="en-US"/>
                  <a:t>C/C0</a:t>
                </a:r>
              </a:p>
            </c:rich>
          </c:tx>
          <c:overlay val="0"/>
          <c:spPr>
            <a:noFill/>
            <a:ln>
              <a:noFill/>
            </a:ln>
            <a:effectLst/>
          </c:spPr>
          <c:txPr>
            <a:bodyPr rot="-540000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endParaRPr lang="en-US"/>
          </a:p>
        </c:txPr>
        <c:crossAx val="625273103"/>
        <c:crosses val="autoZero"/>
        <c:crossBetween val="midCat"/>
      </c:valAx>
      <c:spPr>
        <a:noFill/>
        <a:ln>
          <a:noFill/>
        </a:ln>
        <a:effectLst/>
      </c:spPr>
    </c:plotArea>
    <c:legend>
      <c:legendPos val="b"/>
      <c:layout>
        <c:manualLayout>
          <c:xMode val="edge"/>
          <c:yMode val="edge"/>
          <c:x val="0.68415754532231454"/>
          <c:y val="0.80346063509472632"/>
          <c:w val="0.2341613767351246"/>
          <c:h val="4.3086734693877554E-2"/>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Times"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100" b="1">
          <a:latin typeface="Times" pitchFamily="2"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0.18631</cdr:x>
      <cdr:y>0.01751</cdr:y>
    </cdr:from>
    <cdr:to>
      <cdr:x>0.37076</cdr:x>
      <cdr:y>0.27924</cdr:y>
    </cdr:to>
    <cdr:sp macro="" textlink="">
      <cdr:nvSpPr>
        <cdr:cNvPr id="4" name="Text Box 1"/>
        <cdr:cNvSpPr txBox="1"/>
      </cdr:nvSpPr>
      <cdr:spPr>
        <a:xfrm xmlns:a="http://schemas.openxmlformats.org/drawingml/2006/main">
          <a:off x="923636" y="6119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(a)</a:t>
          </a:r>
        </a:p>
      </cdr:txBody>
    </cdr:sp>
  </cdr:relSizeAnchor>
  <cdr:relSizeAnchor xmlns:cdr="http://schemas.openxmlformats.org/drawingml/2006/chartDrawing">
    <cdr:from>
      <cdr:x>0.74828</cdr:x>
      <cdr:y>0.04164</cdr:y>
    </cdr:from>
    <cdr:to>
      <cdr:x>0.96836</cdr:x>
      <cdr:y>0.30336</cdr:y>
    </cdr:to>
    <cdr:sp macro="" textlink="">
      <cdr:nvSpPr>
        <cdr:cNvPr id="8" name="Text Box 7"/>
        <cdr:cNvSpPr txBox="1"/>
      </cdr:nvSpPr>
      <cdr:spPr>
        <a:xfrm xmlns:a="http://schemas.openxmlformats.org/drawingml/2006/main">
          <a:off x="3709554" y="145473"/>
          <a:ext cx="1091046"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1100" b="1">
              <a:latin typeface="Times New Roman" panose="02020603050405020304" pitchFamily="18" charset="0"/>
              <a:cs typeface="Times New Roman" panose="02020603050405020304" pitchFamily="18" charset="0"/>
            </a:rPr>
            <a:t>3PAHs 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0.19084</cdr:x>
      <cdr:y>0.03566</cdr:y>
    </cdr:from>
    <cdr:to>
      <cdr:x>0.37744</cdr:x>
      <cdr:y>0.2972</cdr:y>
    </cdr:to>
    <cdr:sp macro="" textlink="">
      <cdr:nvSpPr>
        <cdr:cNvPr id="2" name="Text Box 1"/>
        <cdr:cNvSpPr txBox="1"/>
      </cdr:nvSpPr>
      <cdr:spPr>
        <a:xfrm xmlns:a="http://schemas.openxmlformats.org/drawingml/2006/main">
          <a:off x="935182" y="124691"/>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1400" b="1">
              <a:latin typeface="Times New Roman" panose="02020603050405020304" pitchFamily="18" charset="0"/>
              <a:cs typeface="Times New Roman" panose="02020603050405020304" pitchFamily="18" charset="0"/>
            </a:rPr>
            <a:t>(b)</a:t>
          </a:r>
        </a:p>
      </cdr:txBody>
    </cdr:sp>
  </cdr:relSizeAnchor>
  <cdr:relSizeAnchor xmlns:cdr="http://schemas.openxmlformats.org/drawingml/2006/chartDrawing">
    <cdr:from>
      <cdr:x>0.75615</cdr:x>
      <cdr:y>0.04128</cdr:y>
    </cdr:from>
    <cdr:to>
      <cdr:x>0.94275</cdr:x>
      <cdr:y>0.30281</cdr:y>
    </cdr:to>
    <cdr:sp macro="" textlink="">
      <cdr:nvSpPr>
        <cdr:cNvPr id="3" name="Text Box 1"/>
        <cdr:cNvSpPr txBox="1"/>
      </cdr:nvSpPr>
      <cdr:spPr>
        <a:xfrm xmlns:a="http://schemas.openxmlformats.org/drawingml/2006/main">
          <a:off x="3705340" y="1443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Dilbit 250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0.19826</cdr:x>
      <cdr:y>0.03413</cdr:y>
    </cdr:from>
    <cdr:to>
      <cdr:x>0.38431</cdr:x>
      <cdr:y>0.31276</cdr:y>
    </cdr:to>
    <cdr:sp macro="" textlink="">
      <cdr:nvSpPr>
        <cdr:cNvPr id="2" name="Text Box 1"/>
        <cdr:cNvSpPr txBox="1"/>
      </cdr:nvSpPr>
      <cdr:spPr>
        <a:xfrm xmlns:a="http://schemas.openxmlformats.org/drawingml/2006/main">
          <a:off x="974436" y="11199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(c)</a:t>
          </a:r>
        </a:p>
      </cdr:txBody>
    </cdr:sp>
  </cdr:relSizeAnchor>
  <cdr:relSizeAnchor xmlns:cdr="http://schemas.openxmlformats.org/drawingml/2006/chartDrawing">
    <cdr:from>
      <cdr:x>0.76509</cdr:x>
      <cdr:y>0.05981</cdr:y>
    </cdr:from>
    <cdr:to>
      <cdr:x>0.98708</cdr:x>
      <cdr:y>0.33845</cdr:y>
    </cdr:to>
    <cdr:sp macro="" textlink="">
      <cdr:nvSpPr>
        <cdr:cNvPr id="4" name="Text Box 1"/>
        <cdr:cNvSpPr txBox="1"/>
      </cdr:nvSpPr>
      <cdr:spPr>
        <a:xfrm xmlns:a="http://schemas.openxmlformats.org/drawingml/2006/main">
          <a:off x="3760354" y="196273"/>
          <a:ext cx="1091046"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3PAHs 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0.11665</cdr:x>
      <cdr:y>0</cdr:y>
    </cdr:from>
    <cdr:to>
      <cdr:x>0.29744</cdr:x>
      <cdr:y>0.27896</cdr:y>
    </cdr:to>
    <cdr:sp macro="" textlink="">
      <cdr:nvSpPr>
        <cdr:cNvPr id="2" name="Text Box 1"/>
        <cdr:cNvSpPr txBox="1"/>
      </cdr:nvSpPr>
      <cdr:spPr>
        <a:xfrm xmlns:a="http://schemas.openxmlformats.org/drawingml/2006/main">
          <a:off x="589973" y="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(d)</a:t>
          </a:r>
        </a:p>
      </cdr:txBody>
    </cdr:sp>
  </cdr:relSizeAnchor>
  <cdr:relSizeAnchor xmlns:cdr="http://schemas.openxmlformats.org/drawingml/2006/chartDrawing">
    <cdr:from>
      <cdr:x>0.74265</cdr:x>
      <cdr:y>0.05953</cdr:y>
    </cdr:from>
    <cdr:to>
      <cdr:x>0.92344</cdr:x>
      <cdr:y>0.33849</cdr:y>
    </cdr:to>
    <cdr:sp macro="" textlink="">
      <cdr:nvSpPr>
        <cdr:cNvPr id="4" name="Text Box 1"/>
        <cdr:cNvSpPr txBox="1"/>
      </cdr:nvSpPr>
      <cdr:spPr>
        <a:xfrm xmlns:a="http://schemas.openxmlformats.org/drawingml/2006/main">
          <a:off x="3756140" y="1951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Dilbit 250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0.19175</cdr:x>
      <cdr:y>0.03104</cdr:y>
    </cdr:from>
    <cdr:to>
      <cdr:x>0.37168</cdr:x>
      <cdr:y>0.28452</cdr:y>
    </cdr:to>
    <cdr:sp macro="" textlink="">
      <cdr:nvSpPr>
        <cdr:cNvPr id="2" name="Text Box 1"/>
        <cdr:cNvSpPr txBox="1"/>
      </cdr:nvSpPr>
      <cdr:spPr>
        <a:xfrm xmlns:a="http://schemas.openxmlformats.org/drawingml/2006/main">
          <a:off x="974436" y="11199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(e)</a:t>
          </a:r>
        </a:p>
      </cdr:txBody>
    </cdr:sp>
  </cdr:relSizeAnchor>
  <cdr:relSizeAnchor xmlns:cdr="http://schemas.openxmlformats.org/drawingml/2006/chartDrawing">
    <cdr:from>
      <cdr:x>0.73995</cdr:x>
      <cdr:y>0.05441</cdr:y>
    </cdr:from>
    <cdr:to>
      <cdr:x>0.95464</cdr:x>
      <cdr:y>0.30788</cdr:y>
    </cdr:to>
    <cdr:sp macro="" textlink="">
      <cdr:nvSpPr>
        <cdr:cNvPr id="4" name="Text Box 1"/>
        <cdr:cNvSpPr txBox="1"/>
      </cdr:nvSpPr>
      <cdr:spPr>
        <a:xfrm xmlns:a="http://schemas.openxmlformats.org/drawingml/2006/main">
          <a:off x="3760354" y="196273"/>
          <a:ext cx="1091046"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3PAHs 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0.14167</cdr:x>
      <cdr:y>0.03981</cdr:y>
    </cdr:from>
    <cdr:to>
      <cdr:x>0.33414</cdr:x>
      <cdr:y>0.29409</cdr:y>
    </cdr:to>
    <cdr:sp macro="" textlink="">
      <cdr:nvSpPr>
        <cdr:cNvPr id="2" name="Text Box 1"/>
        <cdr:cNvSpPr txBox="1"/>
      </cdr:nvSpPr>
      <cdr:spPr>
        <a:xfrm xmlns:a="http://schemas.openxmlformats.org/drawingml/2006/main">
          <a:off x="673100" y="143162"/>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(f)</a:t>
          </a:r>
        </a:p>
      </cdr:txBody>
    </cdr:sp>
  </cdr:relSizeAnchor>
  <cdr:relSizeAnchor xmlns:cdr="http://schemas.openxmlformats.org/drawingml/2006/chartDrawing">
    <cdr:from>
      <cdr:x>0.79059</cdr:x>
      <cdr:y>0.05426</cdr:y>
    </cdr:from>
    <cdr:to>
      <cdr:x>0.98305</cdr:x>
      <cdr:y>0.30854</cdr:y>
    </cdr:to>
    <cdr:sp macro="" textlink="">
      <cdr:nvSpPr>
        <cdr:cNvPr id="4" name="Text Box 1"/>
        <cdr:cNvSpPr txBox="1"/>
      </cdr:nvSpPr>
      <cdr:spPr>
        <a:xfrm xmlns:a="http://schemas.openxmlformats.org/drawingml/2006/main">
          <a:off x="3756140" y="1951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Dilbit 250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0.19538</cdr:x>
      <cdr:y>0.0305</cdr:y>
    </cdr:from>
    <cdr:to>
      <cdr:x>0.37873</cdr:x>
      <cdr:y>0.27955</cdr:y>
    </cdr:to>
    <cdr:sp macro="" textlink="">
      <cdr:nvSpPr>
        <cdr:cNvPr id="2" name="Text Box 1"/>
        <cdr:cNvSpPr txBox="1"/>
      </cdr:nvSpPr>
      <cdr:spPr>
        <a:xfrm xmlns:a="http://schemas.openxmlformats.org/drawingml/2006/main">
          <a:off x="974436" y="11199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(g)</a:t>
          </a:r>
        </a:p>
      </cdr:txBody>
    </cdr:sp>
  </cdr:relSizeAnchor>
  <cdr:relSizeAnchor xmlns:cdr="http://schemas.openxmlformats.org/drawingml/2006/chartDrawing">
    <cdr:from>
      <cdr:x>0.75399</cdr:x>
      <cdr:y>0.05346</cdr:y>
    </cdr:from>
    <cdr:to>
      <cdr:x>0.97275</cdr:x>
      <cdr:y>0.30251</cdr:y>
    </cdr:to>
    <cdr:sp macro="" textlink="">
      <cdr:nvSpPr>
        <cdr:cNvPr id="4" name="Text Box 1"/>
        <cdr:cNvSpPr txBox="1"/>
      </cdr:nvSpPr>
      <cdr:spPr>
        <a:xfrm xmlns:a="http://schemas.openxmlformats.org/drawingml/2006/main">
          <a:off x="3760354" y="196273"/>
          <a:ext cx="1091046"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3PAHs 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0.10596</cdr:x>
      <cdr:y>0.022</cdr:y>
    </cdr:from>
    <cdr:to>
      <cdr:x>0.28958</cdr:x>
      <cdr:y>0.27092</cdr:y>
    </cdr:to>
    <cdr:sp macro="" textlink="">
      <cdr:nvSpPr>
        <cdr:cNvPr id="2" name="Text Box 1"/>
        <cdr:cNvSpPr txBox="1"/>
      </cdr:nvSpPr>
      <cdr:spPr>
        <a:xfrm xmlns:a="http://schemas.openxmlformats.org/drawingml/2006/main">
          <a:off x="527627" y="808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(h)</a:t>
          </a:r>
        </a:p>
      </cdr:txBody>
    </cdr:sp>
  </cdr:relSizeAnchor>
  <cdr:relSizeAnchor xmlns:cdr="http://schemas.openxmlformats.org/drawingml/2006/chartDrawing">
    <cdr:from>
      <cdr:x>0.75429</cdr:x>
      <cdr:y>0.05312</cdr:y>
    </cdr:from>
    <cdr:to>
      <cdr:x>0.93792</cdr:x>
      <cdr:y>0.30203</cdr:y>
    </cdr:to>
    <cdr:sp macro="" textlink="">
      <cdr:nvSpPr>
        <cdr:cNvPr id="4" name="Text Box 1"/>
        <cdr:cNvSpPr txBox="1"/>
      </cdr:nvSpPr>
      <cdr:spPr>
        <a:xfrm xmlns:a="http://schemas.openxmlformats.org/drawingml/2006/main">
          <a:off x="3756140" y="1951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Dilbit 250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0.20231</cdr:x>
      <cdr:y>0.0322</cdr:y>
    </cdr:from>
    <cdr:to>
      <cdr:x>0.39216</cdr:x>
      <cdr:y>0.29512</cdr:y>
    </cdr:to>
    <cdr:sp macro="" textlink="">
      <cdr:nvSpPr>
        <cdr:cNvPr id="2" name="Text Box 1"/>
        <cdr:cNvSpPr txBox="1"/>
      </cdr:nvSpPr>
      <cdr:spPr>
        <a:xfrm xmlns:a="http://schemas.openxmlformats.org/drawingml/2006/main">
          <a:off x="974436" y="111990"/>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(i)</a:t>
          </a:r>
        </a:p>
      </cdr:txBody>
    </cdr:sp>
  </cdr:relSizeAnchor>
  <cdr:relSizeAnchor xmlns:cdr="http://schemas.openxmlformats.org/drawingml/2006/chartDrawing">
    <cdr:from>
      <cdr:x>0.77348</cdr:x>
      <cdr:y>0.05643</cdr:y>
    </cdr:from>
    <cdr:to>
      <cdr:x>1</cdr:x>
      <cdr:y>0.31935</cdr:y>
    </cdr:to>
    <cdr:sp macro="" textlink="">
      <cdr:nvSpPr>
        <cdr:cNvPr id="4" name="Text Box 1"/>
        <cdr:cNvSpPr txBox="1"/>
      </cdr:nvSpPr>
      <cdr:spPr>
        <a:xfrm xmlns:a="http://schemas.openxmlformats.org/drawingml/2006/main">
          <a:off x="3760354" y="196273"/>
          <a:ext cx="1091046"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3PAHs 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0.12515</cdr:x>
      <cdr:y>0.02025</cdr:y>
    </cdr:from>
    <cdr:to>
      <cdr:x>0.30939</cdr:x>
      <cdr:y>0.28317</cdr:y>
    </cdr:to>
    <cdr:sp macro="" textlink="">
      <cdr:nvSpPr>
        <cdr:cNvPr id="2" name="Text Box 1"/>
        <cdr:cNvSpPr txBox="1"/>
      </cdr:nvSpPr>
      <cdr:spPr>
        <a:xfrm xmlns:a="http://schemas.openxmlformats.org/drawingml/2006/main">
          <a:off x="621145" y="70426"/>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400" b="1">
              <a:latin typeface="Times" pitchFamily="2" charset="0"/>
            </a:rPr>
            <a:t>(j)</a:t>
          </a:r>
        </a:p>
      </cdr:txBody>
    </cdr:sp>
  </cdr:relSizeAnchor>
  <cdr:relSizeAnchor xmlns:cdr="http://schemas.openxmlformats.org/drawingml/2006/chartDrawing">
    <cdr:from>
      <cdr:x>0.7568</cdr:x>
      <cdr:y>0.0561</cdr:y>
    </cdr:from>
    <cdr:to>
      <cdr:x>0.94104</cdr:x>
      <cdr:y>0.31902</cdr:y>
    </cdr:to>
    <cdr:sp macro="" textlink="">
      <cdr:nvSpPr>
        <cdr:cNvPr id="4" name="Text Box 1"/>
        <cdr:cNvSpPr txBox="1"/>
      </cdr:nvSpPr>
      <cdr:spPr>
        <a:xfrm xmlns:a="http://schemas.openxmlformats.org/drawingml/2006/main">
          <a:off x="3756140" y="195118"/>
          <a:ext cx="914400" cy="914400"/>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US" sz="1100" b="1">
              <a:latin typeface="Times New Roman" panose="02020603050405020304" pitchFamily="18" charset="0"/>
              <a:cs typeface="Times New Roman" panose="02020603050405020304" pitchFamily="18" charset="0"/>
            </a:rPr>
            <a:t>Dilbit 250 </a:t>
          </a:r>
          <a:r>
            <a:rPr lang="en-US" sz="1100" b="1">
              <a:latin typeface="Times New Roman" panose="02020603050405020304" pitchFamily="18" charset="0"/>
              <a:ea typeface="+mn-ea"/>
              <a:cs typeface="Times New Roman" panose="02020603050405020304" pitchFamily="18" charset="0"/>
            </a:rPr>
            <a:t>mg/L</a:t>
          </a:r>
          <a:endParaRPr lang="en-US" sz="1100" b="1">
            <a:latin typeface="Times New Roman" panose="02020603050405020304" pitchFamily="18" charset="0"/>
            <a:cs typeface="Times New Roman" panose="02020603050405020304"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12737</Words>
  <Characters>72604</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Seyyed Mohammadreza Davoodi</dc:creator>
  <cp:keywords/>
  <dc:description/>
  <cp:lastModifiedBy>Seyyed Mohammadreza Davoodi</cp:lastModifiedBy>
  <cp:revision>2</cp:revision>
  <dcterms:created xsi:type="dcterms:W3CDTF">2022-12-10T20:58:00Z</dcterms:created>
  <dcterms:modified xsi:type="dcterms:W3CDTF">2022-12-10T20:58:00Z</dcterms:modified>
</cp:coreProperties>
</file>