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1848A" w14:textId="6A6E3770" w:rsidR="118B730D" w:rsidRDefault="118B730D" w:rsidP="002F1ADE">
      <w:pPr>
        <w:pStyle w:val="Heading1"/>
        <w:spacing w:line="240" w:lineRule="auto"/>
        <w:contextualSpacing/>
        <w:rPr>
          <w:rFonts w:eastAsia="Times New Roman" w:cs="Times New Roman"/>
          <w:color w:val="000000" w:themeColor="text1"/>
        </w:rPr>
      </w:pPr>
      <w:r w:rsidRPr="1A50DF81">
        <w:rPr>
          <w:rFonts w:eastAsia="Times New Roman" w:cs="Times New Roman"/>
          <w:b/>
          <w:bCs/>
          <w:color w:val="000000" w:themeColor="text1"/>
        </w:rPr>
        <w:t>Unravelling the effect of winter holiday celebrations on SARS-CoV-2 transmission</w:t>
      </w:r>
    </w:p>
    <w:p w14:paraId="2C10EB45" w14:textId="77777777" w:rsidR="002F1ADE" w:rsidRDefault="002F1ADE" w:rsidP="002F1ADE">
      <w:pPr>
        <w:spacing w:line="240" w:lineRule="auto"/>
        <w:contextualSpacing/>
        <w:rPr>
          <w:rFonts w:eastAsia="Times New Roman" w:cs="Times New Roman"/>
          <w:color w:val="000000" w:themeColor="text1"/>
        </w:rPr>
      </w:pPr>
    </w:p>
    <w:p w14:paraId="6A229AE5" w14:textId="16127716" w:rsidR="118B730D" w:rsidRDefault="002F1ADE" w:rsidP="002F1ADE">
      <w:pPr>
        <w:spacing w:line="240" w:lineRule="auto"/>
        <w:contextualSpacing/>
        <w:rPr>
          <w:rFonts w:eastAsia="Times New Roman" w:cs="Times New Roman"/>
          <w:color w:val="000000" w:themeColor="text1"/>
          <w:vertAlign w:val="superscript"/>
        </w:rPr>
      </w:pPr>
      <w:r>
        <w:rPr>
          <w:rFonts w:eastAsia="Times New Roman" w:cs="Times New Roman"/>
          <w:color w:val="000000" w:themeColor="text1"/>
        </w:rPr>
        <w:t xml:space="preserve">Authors: </w:t>
      </w:r>
      <w:r w:rsidR="118B730D" w:rsidRPr="1A50DF81">
        <w:rPr>
          <w:rFonts w:eastAsia="Times New Roman" w:cs="Times New Roman"/>
          <w:color w:val="000000" w:themeColor="text1"/>
        </w:rPr>
        <w:t xml:space="preserve">Caspar Geenen, Jonathan Thibaut, Lies </w:t>
      </w:r>
      <w:proofErr w:type="spellStart"/>
      <w:r w:rsidR="118B730D" w:rsidRPr="1A50DF81">
        <w:rPr>
          <w:rFonts w:eastAsia="Times New Roman" w:cs="Times New Roman"/>
          <w:color w:val="000000" w:themeColor="text1"/>
        </w:rPr>
        <w:t>Laenen</w:t>
      </w:r>
      <w:proofErr w:type="spellEnd"/>
      <w:r w:rsidR="118B730D" w:rsidRPr="1A50DF81">
        <w:rPr>
          <w:rFonts w:eastAsia="Times New Roman" w:cs="Times New Roman"/>
          <w:color w:val="000000" w:themeColor="text1"/>
        </w:rPr>
        <w:t xml:space="preserve">, Joren Raymenants, Lize Cuypers, Piet Maes, Simon </w:t>
      </w:r>
      <w:proofErr w:type="spellStart"/>
      <w:r w:rsidR="118B730D" w:rsidRPr="1A50DF81">
        <w:rPr>
          <w:rFonts w:eastAsia="Times New Roman" w:cs="Times New Roman"/>
          <w:color w:val="000000" w:themeColor="text1"/>
        </w:rPr>
        <w:t>Dellicour</w:t>
      </w:r>
      <w:proofErr w:type="spellEnd"/>
      <w:r w:rsidR="118B730D" w:rsidRPr="1A50DF81">
        <w:rPr>
          <w:rFonts w:eastAsia="Times New Roman" w:cs="Times New Roman"/>
          <w:color w:val="000000" w:themeColor="text1"/>
        </w:rPr>
        <w:t>, Emmanuel André</w:t>
      </w:r>
    </w:p>
    <w:p w14:paraId="3A870457" w14:textId="3BBD2951" w:rsidR="1A50DF81" w:rsidRDefault="1A50DF81" w:rsidP="002F1ADE">
      <w:pPr>
        <w:spacing w:line="240" w:lineRule="auto"/>
        <w:contextualSpacing/>
      </w:pPr>
    </w:p>
    <w:p w14:paraId="15C9DDE2" w14:textId="20118ACA" w:rsidR="00321B24" w:rsidRDefault="00321B24" w:rsidP="002F1ADE">
      <w:pPr>
        <w:pStyle w:val="Heading1"/>
        <w:spacing w:line="240" w:lineRule="auto"/>
        <w:rPr>
          <w:lang w:val="en-US"/>
        </w:rPr>
      </w:pPr>
      <w:r>
        <w:t>Supplementary Figures</w:t>
      </w:r>
    </w:p>
    <w:p w14:paraId="74EFD58F" w14:textId="77777777" w:rsidR="00321B24" w:rsidRDefault="00321B24" w:rsidP="002F1ADE">
      <w:pPr>
        <w:spacing w:line="240" w:lineRule="auto"/>
        <w:rPr>
          <w:lang w:val="en-US"/>
        </w:rPr>
      </w:pPr>
    </w:p>
    <w:p w14:paraId="5FBCAE39" w14:textId="77777777" w:rsidR="00321B24" w:rsidRDefault="00321B24" w:rsidP="002F1ADE">
      <w:pPr>
        <w:spacing w:line="240" w:lineRule="auto"/>
        <w:rPr>
          <w:lang w:val="en-US"/>
        </w:rPr>
      </w:pPr>
    </w:p>
    <w:p w14:paraId="4D16A4E3" w14:textId="77777777" w:rsidR="002F1ADE" w:rsidRPr="00321B24" w:rsidRDefault="002F1ADE" w:rsidP="002F1ADE">
      <w:pPr>
        <w:spacing w:line="240" w:lineRule="auto"/>
        <w:rPr>
          <w:lang w:val="en-US"/>
        </w:rPr>
      </w:pPr>
    </w:p>
    <w:p w14:paraId="05FFD246" w14:textId="77777777" w:rsidR="002F1ADE" w:rsidRDefault="002F1ADE">
      <w:pPr>
        <w:rPr>
          <w:lang w:val="en-US"/>
        </w:rPr>
      </w:pPr>
      <w:r>
        <w:rPr>
          <w:lang w:val="en-US"/>
        </w:rPr>
        <w:br w:type="page"/>
      </w:r>
    </w:p>
    <w:p w14:paraId="03146827" w14:textId="7BF520FF" w:rsidR="0066476F" w:rsidRDefault="0066476F" w:rsidP="002F1ADE">
      <w:pPr>
        <w:spacing w:line="240" w:lineRule="auto"/>
        <w:contextualSpacing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AF46537" wp14:editId="6B470425">
            <wp:extent cx="5543550" cy="2226276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22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D1AFF" w14:textId="77777777" w:rsidR="002F1ADE" w:rsidRDefault="002F1ADE" w:rsidP="002F1ADE">
      <w:pPr>
        <w:spacing w:line="240" w:lineRule="auto"/>
        <w:contextualSpacing/>
        <w:rPr>
          <w:lang w:val="en-US"/>
        </w:rPr>
      </w:pPr>
    </w:p>
    <w:p w14:paraId="40EC44F5" w14:textId="70AE6492" w:rsidR="0066476F" w:rsidRDefault="00357D72" w:rsidP="002F1ADE">
      <w:pPr>
        <w:spacing w:line="240" w:lineRule="auto"/>
        <w:contextualSpacing/>
        <w:rPr>
          <w:lang w:val="en-US"/>
        </w:rPr>
      </w:pPr>
      <w:r w:rsidRPr="1A50DF81">
        <w:rPr>
          <w:b/>
          <w:bCs/>
        </w:rPr>
        <w:t>Supplementary f</w:t>
      </w:r>
      <w:r w:rsidR="0066476F" w:rsidRPr="1A50DF81">
        <w:rPr>
          <w:b/>
          <w:bCs/>
        </w:rPr>
        <w:t>igure 1.</w:t>
      </w:r>
      <w:r w:rsidR="0066476F">
        <w:t xml:space="preserve"> All positive real-time reverse transcription PCR tests </w:t>
      </w:r>
      <w:r w:rsidR="49C4DD0C">
        <w:t xml:space="preserve">sampled </w:t>
      </w:r>
      <w:r w:rsidR="0066476F">
        <w:t xml:space="preserve">at the KU Leuven test </w:t>
      </w:r>
      <w:r w:rsidR="71FE203E">
        <w:t>centre</w:t>
      </w:r>
      <w:r w:rsidR="0066476F">
        <w:t xml:space="preserve"> from 9 December 2021 to 31 March 2022. Based on national genomic monitoring, the S-gene target result </w:t>
      </w:r>
      <w:r w:rsidR="2B787E3E">
        <w:t xml:space="preserve">of the TaqPath COVID-19 assay </w:t>
      </w:r>
      <w:r w:rsidR="0066476F">
        <w:t>was used as an indicator of variants of concern. S-gene target failure was assumed to indicate the Omicron BA.1 strain. A positive S-gene result was labelled as Delta until 16</w:t>
      </w:r>
      <w:r w:rsidR="0066476F" w:rsidRPr="1A50DF81">
        <w:rPr>
          <w:vertAlign w:val="superscript"/>
        </w:rPr>
        <w:t>th</w:t>
      </w:r>
      <w:r w:rsidR="0066476F">
        <w:t xml:space="preserve"> January 2022 and as Omicron BA.2 thereafter.</w:t>
      </w:r>
    </w:p>
    <w:p w14:paraId="431E4BF7" w14:textId="77777777" w:rsidR="0066476F" w:rsidRDefault="0066476F" w:rsidP="002F1ADE">
      <w:pPr>
        <w:spacing w:line="240" w:lineRule="auto"/>
        <w:contextualSpacing/>
        <w:rPr>
          <w:lang w:val="en-US"/>
        </w:rPr>
      </w:pPr>
    </w:p>
    <w:p w14:paraId="7C550EDB" w14:textId="77777777" w:rsidR="0066476F" w:rsidRDefault="0066476F" w:rsidP="002F1ADE">
      <w:pPr>
        <w:spacing w:line="240" w:lineRule="auto"/>
        <w:rPr>
          <w:lang w:val="en-US"/>
        </w:rPr>
        <w:pPrChange w:id="0" w:author="Caspar Geenen" w:date="2022-05-12T12:31:00Z">
          <w:pPr/>
        </w:pPrChange>
      </w:pPr>
      <w:r>
        <w:br w:type="page"/>
      </w:r>
    </w:p>
    <w:p w14:paraId="6627D660" w14:textId="77777777" w:rsidR="0066476F" w:rsidRDefault="0066476F" w:rsidP="002F1ADE">
      <w:pPr>
        <w:spacing w:line="240" w:lineRule="auto"/>
        <w:contextualSpacing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8911C7E" wp14:editId="41296E5C">
            <wp:extent cx="5076826" cy="2276303"/>
            <wp:effectExtent l="0" t="0" r="0" b="0"/>
            <wp:docPr id="6" name="Picture 6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227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0AC0C" w14:textId="77777777" w:rsidR="002F1ADE" w:rsidRDefault="002F1ADE" w:rsidP="002F1ADE">
      <w:pPr>
        <w:spacing w:line="240" w:lineRule="auto"/>
        <w:contextualSpacing/>
        <w:rPr>
          <w:lang w:val="en-US"/>
        </w:rPr>
      </w:pPr>
    </w:p>
    <w:p w14:paraId="21581398" w14:textId="74172A34" w:rsidR="00357D72" w:rsidRDefault="00357D72" w:rsidP="002F1ADE">
      <w:pPr>
        <w:spacing w:line="240" w:lineRule="auto"/>
        <w:contextualSpacing/>
        <w:rPr>
          <w:lang w:val="en-US"/>
        </w:rPr>
      </w:pPr>
      <w:r w:rsidRPr="1A50DF81">
        <w:rPr>
          <w:b/>
          <w:bCs/>
        </w:rPr>
        <w:t>Supplementary</w:t>
      </w:r>
      <w:r w:rsidR="0066476F" w:rsidRPr="1A50DF81">
        <w:rPr>
          <w:b/>
          <w:bCs/>
        </w:rPr>
        <w:t xml:space="preserve"> </w:t>
      </w:r>
      <w:r w:rsidRPr="1A50DF81">
        <w:rPr>
          <w:b/>
          <w:bCs/>
        </w:rPr>
        <w:t>f</w:t>
      </w:r>
      <w:r w:rsidR="0066476F" w:rsidRPr="1A50DF81">
        <w:rPr>
          <w:b/>
          <w:bCs/>
        </w:rPr>
        <w:t>igure 2.</w:t>
      </w:r>
      <w:r w:rsidR="0066476F">
        <w:t xml:space="preserve"> Event sizes on New Year’s Eve. Each case </w:t>
      </w:r>
      <w:r w:rsidR="056D4C40">
        <w:t xml:space="preserve">(not only those </w:t>
      </w:r>
      <w:bookmarkStart w:id="1" w:name="_Int_D1y8rMUX"/>
      <w:r w:rsidR="056D4C40">
        <w:t>likely or</w:t>
      </w:r>
      <w:bookmarkEnd w:id="1"/>
      <w:r w:rsidR="056D4C40">
        <w:t xml:space="preserve"> </w:t>
      </w:r>
      <w:bookmarkStart w:id="2" w:name="_Int_qblP623a"/>
      <w:r w:rsidR="056D4C40">
        <w:t>possibly infected</w:t>
      </w:r>
      <w:bookmarkEnd w:id="2"/>
      <w:r w:rsidR="056D4C40">
        <w:t xml:space="preserve"> on NYE) </w:t>
      </w:r>
      <w:r w:rsidR="0066476F">
        <w:t>was asked about the size of the gathering they attended on New Year’s Eve</w:t>
      </w:r>
      <w:r w:rsidR="1A4E533C">
        <w:t>. E</w:t>
      </w:r>
      <w:r w:rsidR="0066476F">
        <w:t xml:space="preserve">vent sizes were </w:t>
      </w:r>
      <w:bookmarkStart w:id="3" w:name="_Int_97qRVtIv"/>
      <w:r w:rsidR="0066476F">
        <w:t>generally limited</w:t>
      </w:r>
      <w:bookmarkEnd w:id="3"/>
      <w:r w:rsidR="0066476F">
        <w:t>. For example, 11 cases celebrated with only one other person present.</w:t>
      </w:r>
    </w:p>
    <w:p w14:paraId="0EF3AF99" w14:textId="77777777" w:rsidR="00357D72" w:rsidRDefault="00357D72" w:rsidP="002F1ADE">
      <w:pPr>
        <w:spacing w:line="240" w:lineRule="auto"/>
        <w:rPr>
          <w:lang w:val="en-US"/>
        </w:rPr>
      </w:pPr>
      <w:r>
        <w:br w:type="page"/>
      </w:r>
    </w:p>
    <w:p w14:paraId="775A7FAF" w14:textId="31445FC4" w:rsidR="0066476F" w:rsidRDefault="3B124C60" w:rsidP="002F1ADE">
      <w:pPr>
        <w:spacing w:line="240" w:lineRule="auto"/>
        <w:contextualSpacing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74314B2" wp14:editId="00034603">
            <wp:extent cx="5585460" cy="5585460"/>
            <wp:effectExtent l="0" t="0" r="0" b="0"/>
            <wp:docPr id="620444112" name="Picture 62044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460" cy="55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0A123" w14:textId="77777777" w:rsidR="002F1ADE" w:rsidRPr="00397E2A" w:rsidRDefault="002F1ADE" w:rsidP="002F1ADE">
      <w:pPr>
        <w:spacing w:line="240" w:lineRule="auto"/>
        <w:contextualSpacing/>
        <w:rPr>
          <w:lang w:val="en-US"/>
        </w:rPr>
      </w:pPr>
    </w:p>
    <w:p w14:paraId="6AA00421" w14:textId="072ECA4B" w:rsidR="00357D72" w:rsidRDefault="00357D72" w:rsidP="002F1ADE">
      <w:pPr>
        <w:spacing w:line="240" w:lineRule="auto"/>
        <w:rPr>
          <w:color w:val="000000" w:themeColor="text1"/>
        </w:rPr>
      </w:pPr>
      <w:r w:rsidRPr="1A50DF81">
        <w:rPr>
          <w:b/>
          <w:bCs/>
        </w:rPr>
        <w:t>Supplementary figure 3</w:t>
      </w:r>
      <w:r>
        <w:t xml:space="preserve">. The effective reproduction number as estimated using </w:t>
      </w:r>
      <w:proofErr w:type="spellStart"/>
      <w:r>
        <w:t>EpiInvert</w:t>
      </w:r>
      <w:proofErr w:type="spellEnd"/>
      <w:r>
        <w:t xml:space="preserve"> from nationally reported case numbers</w:t>
      </w:r>
      <w:sdt>
        <w:sdtPr>
          <w:rPr>
            <w:color w:val="000000" w:themeColor="text1"/>
            <w:vertAlign w:val="superscript"/>
          </w:rPr>
          <w:tag w:val="MENDELEY_CITATION_v3_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"/>
          <w:id w:val="1750679286"/>
          <w:placeholder>
            <w:docPart w:val="DefaultPlaceholder_-1854013440"/>
          </w:placeholder>
        </w:sdtPr>
        <w:sdtEndPr/>
        <w:sdtContent>
          <w:r w:rsidR="00DB655C" w:rsidRPr="1A50DF81">
            <w:rPr>
              <w:color w:val="000000" w:themeColor="text1"/>
              <w:vertAlign w:val="superscript"/>
            </w:rPr>
            <w:t>1,2</w:t>
          </w:r>
        </w:sdtContent>
      </w:sdt>
      <w:r w:rsidRPr="1A50DF81">
        <w:rPr>
          <w:color w:val="000000" w:themeColor="text1"/>
        </w:rPr>
        <w:t>.</w:t>
      </w:r>
      <w:r w:rsidR="00DB655C" w:rsidRPr="1A50DF81">
        <w:rPr>
          <w:color w:val="000000" w:themeColor="text1"/>
        </w:rPr>
        <w:t xml:space="preserve"> Vertical lines indicate the following dates of interest: 24 December, 25 December, 31 </w:t>
      </w:r>
      <w:bookmarkStart w:id="4" w:name="_Int_KAdoc23e"/>
      <w:r w:rsidR="4442D99D" w:rsidRPr="1A50DF81">
        <w:rPr>
          <w:color w:val="000000" w:themeColor="text1"/>
        </w:rPr>
        <w:t>December,</w:t>
      </w:r>
      <w:bookmarkEnd w:id="4"/>
      <w:r w:rsidR="00DB655C" w:rsidRPr="1A50DF81">
        <w:rPr>
          <w:color w:val="000000" w:themeColor="text1"/>
        </w:rPr>
        <w:t xml:space="preserve"> and 1 January.</w:t>
      </w:r>
    </w:p>
    <w:p w14:paraId="2864FC84" w14:textId="64C7623D" w:rsidR="00357D72" w:rsidRDefault="00357D72" w:rsidP="002F1ADE">
      <w:pPr>
        <w:spacing w:line="240" w:lineRule="auto"/>
      </w:pPr>
      <w:r>
        <w:br w:type="page"/>
      </w:r>
      <w:r w:rsidR="3C84F329">
        <w:rPr>
          <w:noProof/>
        </w:rPr>
        <w:lastRenderedPageBreak/>
        <w:drawing>
          <wp:inline distT="0" distB="0" distL="0" distR="0" wp14:anchorId="508A55D0" wp14:editId="1AAD10C4">
            <wp:extent cx="3611880" cy="7440784"/>
            <wp:effectExtent l="0" t="0" r="7620" b="8255"/>
            <wp:docPr id="1227031964" name="Picture 122703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234" cy="744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31A16" w14:textId="46392BDB" w:rsidR="00357D72" w:rsidRPr="00432DDB" w:rsidRDefault="6786C125" w:rsidP="002F1ADE">
      <w:pPr>
        <w:spacing w:line="240" w:lineRule="auto"/>
      </w:pPr>
      <w:r w:rsidRPr="1A50DF81">
        <w:rPr>
          <w:b/>
          <w:bCs/>
        </w:rPr>
        <w:t xml:space="preserve">Supplementary figure </w:t>
      </w:r>
      <w:r w:rsidR="7DC2E8C2" w:rsidRPr="1A50DF81">
        <w:rPr>
          <w:b/>
          <w:bCs/>
        </w:rPr>
        <w:t>4</w:t>
      </w:r>
      <w:r>
        <w:t>. Geographic spread of sequences included in the phylogenetic analysis</w:t>
      </w:r>
      <w:r w:rsidR="792B29B6">
        <w:t>.</w:t>
      </w:r>
      <w:r w:rsidR="0F7145E7">
        <w:t xml:space="preserve"> </w:t>
      </w:r>
      <w:r w:rsidR="36237B79">
        <w:t xml:space="preserve">The maps show </w:t>
      </w:r>
      <w:r w:rsidR="0F7145E7">
        <w:t>c</w:t>
      </w:r>
      <w:r>
        <w:t xml:space="preserve">ases possible or </w:t>
      </w:r>
      <w:bookmarkStart w:id="5" w:name="_Int_SJucssBi"/>
      <w:r>
        <w:t>likely infected</w:t>
      </w:r>
      <w:bookmarkEnd w:id="5"/>
      <w:r>
        <w:t xml:space="preserve"> on NYE (panel </w:t>
      </w:r>
      <w:r w:rsidR="2D689DB1">
        <w:t>a), Belgian baseline surveillance cases (panel b) and a selection of cases from other European countries (panel c)</w:t>
      </w:r>
      <w:r w:rsidR="2220D6F1">
        <w:t>.</w:t>
      </w:r>
      <w:r w:rsidR="3A42132E">
        <w:t xml:space="preserve"> In panel a, the location indicates t</w:t>
      </w:r>
      <w:r w:rsidR="54890A31">
        <w:t>he</w:t>
      </w:r>
      <w:r w:rsidR="3A42132E">
        <w:t xml:space="preserve"> home address</w:t>
      </w:r>
      <w:r w:rsidR="55CEAEE7">
        <w:t xml:space="preserve"> </w:t>
      </w:r>
      <w:r w:rsidR="3DB63639">
        <w:t xml:space="preserve">postcode </w:t>
      </w:r>
      <w:r w:rsidR="55CEAEE7">
        <w:t>rather than</w:t>
      </w:r>
      <w:r w:rsidR="3A42132E">
        <w:t xml:space="preserve"> the location of sampling, which was</w:t>
      </w:r>
      <w:r w:rsidR="00896C26">
        <w:t xml:space="preserve"> the same test centre in</w:t>
      </w:r>
      <w:r w:rsidR="3A42132E">
        <w:t xml:space="preserve"> Leuven for all NYE cases.</w:t>
      </w:r>
      <w:r w:rsidR="00357D72" w:rsidRPr="1A50DF81">
        <w:rPr>
          <w:color w:val="000000" w:themeColor="text1"/>
        </w:rPr>
        <w:br w:type="page"/>
      </w:r>
    </w:p>
    <w:p w14:paraId="07D37272" w14:textId="0EF472E5" w:rsidR="002F6B0F" w:rsidRDefault="00357D72" w:rsidP="002F1ADE">
      <w:pPr>
        <w:spacing w:line="240" w:lineRule="auto"/>
      </w:pPr>
      <w:r>
        <w:lastRenderedPageBreak/>
        <w:t>References</w:t>
      </w:r>
    </w:p>
    <w:sdt>
      <w:sdtPr>
        <w:tag w:val="MENDELEY_BIBLIOGRAPHY"/>
        <w:id w:val="11738118"/>
        <w:placeholder>
          <w:docPart w:val="DefaultPlaceholder_-1854013440"/>
        </w:placeholder>
      </w:sdtPr>
      <w:sdtEndPr/>
      <w:sdtContent>
        <w:p w14:paraId="6507E86D" w14:textId="77777777" w:rsidR="00DB655C" w:rsidRDefault="00DB655C" w:rsidP="002F1ADE">
          <w:pPr>
            <w:autoSpaceDE w:val="0"/>
            <w:autoSpaceDN w:val="0"/>
            <w:spacing w:line="240" w:lineRule="auto"/>
            <w:ind w:hanging="640"/>
            <w:divId w:val="1192645577"/>
            <w:rPr>
              <w:rFonts w:eastAsia="Times New Roman"/>
            </w:rPr>
          </w:pPr>
          <w:r w:rsidRPr="1A50DF81">
            <w:rPr>
              <w:rFonts w:eastAsia="Times New Roman"/>
            </w:rPr>
            <w:t>1.</w:t>
          </w:r>
          <w:r>
            <w:tab/>
          </w:r>
          <w:r w:rsidRPr="1A50DF81">
            <w:rPr>
              <w:rFonts w:eastAsia="Times New Roman"/>
            </w:rPr>
            <w:t xml:space="preserve">Alvarez, L., Colom, M., Morel, J.-D. &amp; Morel, J.-M. Computing the daily reproduction number of COVID-19 by inverting the renewal equation using a variational technique. </w:t>
          </w:r>
          <w:r w:rsidRPr="1A50DF81">
            <w:rPr>
              <w:rFonts w:eastAsia="Times New Roman"/>
              <w:i/>
              <w:iCs/>
            </w:rPr>
            <w:t>Proceedings of the National Academy of Sciences</w:t>
          </w:r>
          <w:r w:rsidRPr="1A50DF81">
            <w:rPr>
              <w:rFonts w:eastAsia="Times New Roman"/>
            </w:rPr>
            <w:t xml:space="preserve"> </w:t>
          </w:r>
          <w:r w:rsidRPr="1A50DF81">
            <w:rPr>
              <w:rFonts w:eastAsia="Times New Roman"/>
              <w:b/>
              <w:bCs/>
            </w:rPr>
            <w:t>118</w:t>
          </w:r>
          <w:r w:rsidRPr="1A50DF81">
            <w:rPr>
              <w:rFonts w:eastAsia="Times New Roman"/>
            </w:rPr>
            <w:t>, (2021).</w:t>
          </w:r>
        </w:p>
        <w:p w14:paraId="7B6C9794" w14:textId="77777777" w:rsidR="00DB655C" w:rsidRDefault="00DB655C" w:rsidP="002F1ADE">
          <w:pPr>
            <w:autoSpaceDE w:val="0"/>
            <w:autoSpaceDN w:val="0"/>
            <w:spacing w:line="240" w:lineRule="auto"/>
            <w:ind w:hanging="640"/>
            <w:divId w:val="1560508821"/>
            <w:rPr>
              <w:rFonts w:eastAsia="Times New Roman"/>
            </w:rPr>
          </w:pPr>
          <w:r w:rsidRPr="1A50DF81">
            <w:rPr>
              <w:rFonts w:eastAsia="Times New Roman"/>
            </w:rPr>
            <w:t>2.</w:t>
          </w:r>
          <w:r>
            <w:tab/>
          </w:r>
          <w:r w:rsidRPr="1A50DF81">
            <w:rPr>
              <w:rFonts w:eastAsia="Times New Roman"/>
            </w:rPr>
            <w:t>European Centre for Disease Prevention and Control. Data on the daily number of new reported COVID-19 cases and deaths by EU/EEA country. https://www.ecdc.europa.eu/en/publications-data/data-daily-new-cases-covid-19-eueea-country.</w:t>
          </w:r>
        </w:p>
        <w:p w14:paraId="64B6E353" w14:textId="0FFFFDE2" w:rsidR="00357D72" w:rsidRDefault="00DB655C" w:rsidP="002F1ADE">
          <w:pPr>
            <w:spacing w:line="240" w:lineRule="auto"/>
          </w:pPr>
          <w:r w:rsidRPr="1A50DF81">
            <w:rPr>
              <w:rFonts w:eastAsia="Times New Roman"/>
            </w:rPr>
            <w:t> </w:t>
          </w:r>
        </w:p>
      </w:sdtContent>
    </w:sdt>
    <w:sectPr w:rsidR="00357D72" w:rsidSect="00321B24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AA342" w14:textId="77777777" w:rsidR="00FB3447" w:rsidRDefault="005514A6">
      <w:pPr>
        <w:spacing w:after="0" w:line="240" w:lineRule="auto"/>
      </w:pPr>
      <w:r>
        <w:separator/>
      </w:r>
    </w:p>
  </w:endnote>
  <w:endnote w:type="continuationSeparator" w:id="0">
    <w:p w14:paraId="361E9627" w14:textId="77777777" w:rsidR="00FB3447" w:rsidRDefault="00551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1914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EE395D" w14:textId="77777777" w:rsidR="00961588" w:rsidRDefault="00321B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1A50DF81">
          <w:t>2</w:t>
        </w:r>
        <w:r>
          <w:fldChar w:fldCharType="end"/>
        </w:r>
      </w:p>
    </w:sdtContent>
  </w:sdt>
  <w:p w14:paraId="1D1B6766" w14:textId="77777777" w:rsidR="00961588" w:rsidRDefault="002F1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3C8F2" w14:textId="77777777" w:rsidR="00FB3447" w:rsidRDefault="005514A6">
      <w:pPr>
        <w:spacing w:after="0" w:line="240" w:lineRule="auto"/>
      </w:pPr>
      <w:r>
        <w:separator/>
      </w:r>
    </w:p>
  </w:footnote>
  <w:footnote w:type="continuationSeparator" w:id="0">
    <w:p w14:paraId="6AA8DDE1" w14:textId="77777777" w:rsidR="00FB3447" w:rsidRDefault="005514A6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k/ZUL0OGO7UZod" int2:id="rf4Vgdut">
      <int2:state int2:type="LegacyProofing" int2:value="Rejected"/>
    </int2:textHash>
    <int2:textHash int2:hashCode="i38lwQiuQxyyrN" int2:id="91iDDJAt">
      <int2:state int2:type="LegacyProofing" int2:value="Rejected"/>
    </int2:textHash>
    <int2:textHash int2:hashCode="iSrz4AExNE0d0Y" int2:id="rF3SdNTM">
      <int2:state int2:type="LegacyProofing" int2:value="Rejected"/>
    </int2:textHash>
    <int2:textHash int2:hashCode="NxkfsJLOl4U56u" int2:id="jaqn4HDe">
      <int2:state int2:type="LegacyProofing" int2:value="Rejected"/>
    </int2:textHash>
    <int2:bookmark int2:bookmarkName="_Int_qblP623a" int2:invalidationBookmarkName="" int2:hashCode="Oj1ey/BVKGaKnN" int2:id="0wCX2h8I">
      <int2:state int2:type="AugLoop_Text_Critique" int2:value="Rejected"/>
    </int2:bookmark>
    <int2:bookmark int2:bookmarkName="_Int_97qRVtIv" int2:invalidationBookmarkName="" int2:hashCode="Es1kZfncyAwVb1" int2:id="sScxN0Ma">
      <int2:state int2:type="AugLoop_Text_Critique" int2:value="Rejected"/>
    </int2:bookmark>
    <int2:bookmark int2:bookmarkName="_Int_D1y8rMUX" int2:invalidationBookmarkName="" int2:hashCode="inwnycCIW+T1Pg" int2:id="SorAdKbo">
      <int2:state int2:type="AugLoop_Text_Critique" int2:value="Rejected"/>
    </int2:bookmark>
    <int2:bookmark int2:bookmarkName="_Int_SJucssBi" int2:invalidationBookmarkName="" int2:hashCode="1UrV2LuYjEYl7W" int2:id="3EVaAfCE">
      <int2:state int2:type="AugLoop_Text_Critique" int2:value="Rejected"/>
    </int2:bookmark>
    <int2:bookmark int2:bookmarkName="_Int_KAdoc23e" int2:invalidationBookmarkName="" int2:hashCode="ZWQMZXfJxySXUl" int2:id="XB4MOH2l"/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6F"/>
    <w:rsid w:val="002F1ADE"/>
    <w:rsid w:val="002F6B0F"/>
    <w:rsid w:val="00321B24"/>
    <w:rsid w:val="00357D72"/>
    <w:rsid w:val="00432DDB"/>
    <w:rsid w:val="00483B0D"/>
    <w:rsid w:val="005514A6"/>
    <w:rsid w:val="006338B9"/>
    <w:rsid w:val="0066476F"/>
    <w:rsid w:val="007A2A64"/>
    <w:rsid w:val="008153F2"/>
    <w:rsid w:val="00896C26"/>
    <w:rsid w:val="00DB655C"/>
    <w:rsid w:val="00FB3447"/>
    <w:rsid w:val="0291B99A"/>
    <w:rsid w:val="056D4C40"/>
    <w:rsid w:val="06308E65"/>
    <w:rsid w:val="0666E0F1"/>
    <w:rsid w:val="0802B152"/>
    <w:rsid w:val="087B962F"/>
    <w:rsid w:val="0F7145E7"/>
    <w:rsid w:val="0FEFA2AC"/>
    <w:rsid w:val="118B730D"/>
    <w:rsid w:val="15730EC3"/>
    <w:rsid w:val="17C14195"/>
    <w:rsid w:val="17FAE38E"/>
    <w:rsid w:val="1A4E533C"/>
    <w:rsid w:val="1A50DF81"/>
    <w:rsid w:val="2220D6F1"/>
    <w:rsid w:val="25BB7354"/>
    <w:rsid w:val="2B16F3A7"/>
    <w:rsid w:val="2B787E3E"/>
    <w:rsid w:val="2D689DB1"/>
    <w:rsid w:val="2FEA64CA"/>
    <w:rsid w:val="321225DF"/>
    <w:rsid w:val="34A4AD90"/>
    <w:rsid w:val="36237B79"/>
    <w:rsid w:val="382CBE9C"/>
    <w:rsid w:val="3A42132E"/>
    <w:rsid w:val="3B124C60"/>
    <w:rsid w:val="3C84F329"/>
    <w:rsid w:val="3D4466FD"/>
    <w:rsid w:val="3DB63639"/>
    <w:rsid w:val="3F3F52C9"/>
    <w:rsid w:val="40247770"/>
    <w:rsid w:val="40DB232A"/>
    <w:rsid w:val="4442D99D"/>
    <w:rsid w:val="474A64AE"/>
    <w:rsid w:val="49C4DD0C"/>
    <w:rsid w:val="4CA9C685"/>
    <w:rsid w:val="54890A31"/>
    <w:rsid w:val="55CEAEE7"/>
    <w:rsid w:val="5AB648CA"/>
    <w:rsid w:val="6786C125"/>
    <w:rsid w:val="67FA18F3"/>
    <w:rsid w:val="71FE203E"/>
    <w:rsid w:val="792B29B6"/>
    <w:rsid w:val="7DC2E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737F"/>
  <w15:chartTrackingRefBased/>
  <w15:docId w15:val="{68AC88C7-BD8A-45F8-A986-7935AF7C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A50DF81"/>
    <w:rPr>
      <w:rFonts w:ascii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1A50DF81"/>
    <w:pPr>
      <w:keepNext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1A50DF81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1A50DF81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1A50DF81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1A50DF81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1A50DF81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1A50DF81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1A50DF81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1A50DF81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1A50DF81"/>
    <w:rPr>
      <w:rFonts w:ascii="Times New Roman" w:eastAsiaTheme="majorEastAsia" w:hAnsi="Times New Roman" w:cstheme="majorBidi"/>
      <w:noProof w:val="0"/>
      <w:sz w:val="32"/>
      <w:szCs w:val="32"/>
      <w:lang w:val="en-GB"/>
    </w:rPr>
  </w:style>
  <w:style w:type="paragraph" w:styleId="Footer">
    <w:name w:val="footer"/>
    <w:basedOn w:val="Normal"/>
    <w:link w:val="FooterChar"/>
    <w:uiPriority w:val="99"/>
    <w:unhideWhenUsed/>
    <w:rsid w:val="1A50DF8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1A50DF81"/>
    <w:rPr>
      <w:rFonts w:ascii="Times New Roman" w:eastAsiaTheme="minorEastAsia" w:hAnsi="Times New Roman" w:cstheme="minorBidi"/>
      <w:noProof w:val="0"/>
      <w:sz w:val="24"/>
      <w:szCs w:val="24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6476F"/>
  </w:style>
  <w:style w:type="character" w:styleId="PlaceholderText">
    <w:name w:val="Placeholder Text"/>
    <w:basedOn w:val="DefaultParagraphFont"/>
    <w:uiPriority w:val="99"/>
    <w:semiHidden/>
    <w:rsid w:val="00357D7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1A50DF81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1A50DF81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1A50DF8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1A50DF81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1A50DF8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1A50DF81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1A50DF81"/>
    <w:rPr>
      <w:rFonts w:asciiTheme="majorHAnsi" w:eastAsiaTheme="majorEastAsia" w:hAnsiTheme="majorHAnsi" w:cstheme="majorBidi"/>
      <w:noProof w:val="0"/>
      <w:color w:val="1F3763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1A50DF81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1A50DF81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1A50DF81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1A50DF81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1A50DF81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1A50DF81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1A50DF81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1A50DF81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1A50DF81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1A50DF81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1A50DF81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1A50DF81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1A50DF81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1A50DF81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1A50DF81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1A50DF81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1A50DF81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1A50DF81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1A50DF81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1A50DF81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1A50DF81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1A50DF8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1A50DF81"/>
    <w:rPr>
      <w:noProof w:val="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1A50DF8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1A50DF81"/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5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BB1F1-2472-4862-B93D-5CFAEE3D4C45}"/>
      </w:docPartPr>
      <w:docPartBody>
        <w:p w:rsidR="006A3D2F" w:rsidRDefault="0080254F">
          <w:r w:rsidRPr="00FD2A5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54F"/>
    <w:rsid w:val="006A3D2F"/>
    <w:rsid w:val="0080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54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3B0E854-C497-44AE-9F94-E54AF67FD8ED}">
  <we:reference id="wa104382081" version="1.46.0.0" store="en-US" storeType="OMEX"/>
  <we:alternateReferences>
    <we:reference id="wa104382081" version="1.46.0.0" store="" storeType="OMEX"/>
  </we:alternateReferences>
  <we:properties>
    <we:property name="MENDELEY_CITATIONS" value="[{&quot;citationID&quot;:&quot;MENDELEY_CITATION_796d496a-7d09-4b79-a8d5-619ca5781a54&quot;,&quot;properties&quot;:{&quot;noteIndex&quot;:0},&quot;isEdited&quot;:false,&quot;manualOverride&quot;:{&quot;isManuallyOverridden&quot;:false,&quot;citeprocText&quot;:&quot;&lt;sup&gt;1,2&lt;/sup&gt;&quot;,&quot;manualOverrideText&quot;:&quot;&quot;},&quot;citationItems&quot;:[{&quot;id&quot;:&quot;5be15240-a805-3183-abc0-33de61b93444&quot;,&quot;itemData&quot;:{&quot;type&quot;:&quot;article-journal&quot;,&quot;id&quot;:&quot;5be15240-a805-3183-abc0-33de61b93444&quot;,&quot;title&quot;:&quot;Computing the daily reproduction number of COVID-19 by inverting the renewal equation using a variational technique&quot;,&quot;author&quot;:[{&quot;family&quot;:&quot;Alvarez&quot;,&quot;given&quot;:&quot;Luis&quot;,&quot;parse-names&quot;:false,&quot;dropping-particle&quot;:&quot;&quot;,&quot;non-dropping-particle&quot;:&quot;&quot;},{&quot;family&quot;:&quot;Colom&quot;,&quot;given&quot;:&quot;Miguel&quot;,&quot;parse-names&quot;:false,&quot;dropping-particle&quot;:&quot;&quot;,&quot;non-dropping-particle&quot;:&quot;&quot;},{&quot;family&quot;:&quot;Morel&quot;,&quot;given&quot;:&quot;Jean-David&quot;,&quot;parse-names&quot;:false,&quot;dropping-particle&quot;:&quot;&quot;,&quot;non-dropping-particle&quot;:&quot;&quot;},{&quot;family&quot;:&quot;Morel&quot;,&quot;given&quot;:&quot;Jean-Michel&quot;,&quot;parse-names&quot;:false,&quot;dropping-particle&quot;:&quot;&quot;,&quot;non-dropping-particle&quot;:&quot;&quot;}],&quot;container-title&quot;:&quot;Proceedings of the National Academy of Sciences&quot;,&quot;DOI&quot;:&quot;10.1073/pnas.2105112118&quot;,&quot;ISSN&quot;:&quot;0027-8424&quot;,&quot;issued&quot;:{&quot;date-parts&quot;:[[2021,12,14]]},&quot;abstract&quot;:&quot;&lt;p&gt; Based on a signal-processing approach, we propose a method to compute the reproduction number &lt;italic&gt; R &lt;sub&gt;t&lt;/sub&gt; &lt;/italic&gt; , the transmission potential of an epidemic over time. &lt;italic&gt; R &lt;sub&gt;t&lt;/sub&gt; &lt;/italic&gt; is estimated by minimizing a functional that enforces: 1) the ability to produce an incidence curve &lt;italic&gt; i &lt;sub&gt;t&lt;/sub&gt; &lt;/italic&gt; corrected of the weekly periodic bias produced by the “weekend effect,” obtained from &lt;italic&gt; R &lt;sub&gt;t&lt;/sub&gt; &lt;/italic&gt; through a renewal equation; and 2) the regularity of &lt;italic&gt; R &lt;sub&gt;t&lt;/sub&gt; &lt;/italic&gt; . A good agreement is found between our &lt;italic&gt; R &lt;sub&gt;t&lt;/sub&gt; &lt;/italic&gt; estimate and the one provided by the currently accepted method, EpiEstim, except that our method predicts &lt;italic&gt; R &lt;sub&gt;t&lt;/sub&gt; &lt;/italic&gt; several days closer to present. We provide the mathematical arguments for this shift. &lt;/p&gt;&quot;,&quot;issue&quot;:&quot;50&quot;,&quot;volume&quot;:&quot;118&quot;,&quot;container-title-short&quot;:&quot;&quot;},&quot;isTemporary&quot;:false},{&quot;id&quot;:&quot;134930d2-5966-34fb-b975-18eb0401f364&quot;,&quot;itemData&quot;:{&quot;type&quot;:&quot;webpage&quot;,&quot;id&quot;:&quot;134930d2-5966-34fb-b975-18eb0401f364&quot;,&quot;title&quot;:&quot;Data on the daily number of new reported COVID-19 cases and deaths by EU/EEA country&quot;,&quot;author&quot;:[{&quot;family&quot;:&quot;European Centre for Disease Prevention and Control&quot;,&quot;given&quot;:&quot;&quot;,&quot;parse-names&quot;:false,&quot;dropping-particle&quot;:&quot;&quot;,&quot;non-dropping-particle&quot;:&quot;&quot;}],&quot;accessed&quot;:{&quot;date-parts&quot;:[[2022,11,21]]},&quot;URL&quot;:&quot;https://www.ecdc.europa.eu/en/publications-data/data-daily-new-cases-covid-19-eueea-country&quot;},&quot;isTemporary&quot;:false}],&quot;citationTag&quot;:&quot;MENDELEY_CITATION_v3_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&quot;}]"/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48F39-750C-4428-A601-DF4A8F81E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335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Caspar Geenen</dc:creator>
  <cp:keywords/>
  <dc:description/>
  <cp:lastModifiedBy>Caspar Geenen</cp:lastModifiedBy>
  <cp:revision>3</cp:revision>
  <dcterms:created xsi:type="dcterms:W3CDTF">2022-12-09T22:12:00Z</dcterms:created>
  <dcterms:modified xsi:type="dcterms:W3CDTF">2023-01-02T10:28:00Z</dcterms:modified>
</cp:coreProperties>
</file>