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2D37" w:rsidRPr="00E557E4" w:rsidRDefault="00362D37" w:rsidP="00362D37">
      <w:pPr>
        <w:spacing w:line="480" w:lineRule="auto"/>
        <w:rPr>
          <w:rFonts w:ascii="Times New Roman" w:hAnsi="Times New Roman"/>
          <w:b/>
          <w:sz w:val="28"/>
          <w:lang w:val="en-GB"/>
        </w:rPr>
      </w:pPr>
      <w:r w:rsidRPr="00E557E4">
        <w:rPr>
          <w:rFonts w:ascii="Times New Roman" w:hAnsi="Times New Roman" w:hint="eastAsia"/>
          <w:b/>
          <w:sz w:val="28"/>
          <w:lang w:val="en-GB"/>
        </w:rPr>
        <w:t>C</w:t>
      </w:r>
      <w:r w:rsidRPr="00E557E4">
        <w:rPr>
          <w:rFonts w:ascii="Times New Roman" w:hAnsi="Times New Roman"/>
          <w:b/>
          <w:sz w:val="28"/>
          <w:lang w:val="en-GB"/>
        </w:rPr>
        <w:t xml:space="preserve">ell/colony motion of oral keratinocytes </w:t>
      </w:r>
      <w:r w:rsidRPr="00E557E4">
        <w:rPr>
          <w:rFonts w:ascii="Times New Roman" w:hAnsi="Times New Roman" w:cs="Times New Roman"/>
          <w:b/>
          <w:sz w:val="28"/>
          <w:szCs w:val="36"/>
          <w:lang w:val="en-GB"/>
        </w:rPr>
        <w:t>determined by non</w:t>
      </w:r>
      <w:r w:rsidRPr="00E557E4">
        <w:rPr>
          <w:rFonts w:ascii="Times New Roman" w:hAnsi="Times New Roman"/>
          <w:b/>
          <w:sz w:val="28"/>
          <w:lang w:val="en-GB"/>
        </w:rPr>
        <w:t>-invasive and quantitative measurement using optical flow predicts epithelial regenerative capacity</w:t>
      </w:r>
    </w:p>
    <w:p w:rsidR="00362D37" w:rsidRPr="00E81727" w:rsidRDefault="00362D37" w:rsidP="00362D37">
      <w:pPr>
        <w:spacing w:line="480" w:lineRule="auto"/>
        <w:rPr>
          <w:rFonts w:ascii="Times New Roman" w:hAnsi="Times New Roman"/>
          <w:b/>
          <w:sz w:val="28"/>
          <w:lang w:val="en-GB"/>
        </w:rPr>
      </w:pPr>
    </w:p>
    <w:p w:rsidR="00362D37" w:rsidRPr="00E557E4" w:rsidRDefault="00362D37" w:rsidP="00362D37">
      <w:pPr>
        <w:spacing w:line="480" w:lineRule="auto"/>
        <w:rPr>
          <w:rFonts w:ascii="Times New Roman" w:hAnsi="Times New Roman" w:cs="Times New Roman"/>
          <w:sz w:val="24"/>
          <w:szCs w:val="24"/>
          <w:vertAlign w:val="superscript"/>
          <w:lang w:val="en-GB"/>
        </w:rPr>
      </w:pPr>
      <w:r w:rsidRPr="00E557E4">
        <w:rPr>
          <w:rFonts w:ascii="Times New Roman" w:hAnsi="Times New Roman" w:cs="Times New Roman" w:hint="cs"/>
          <w:sz w:val="24"/>
          <w:szCs w:val="24"/>
          <w:lang w:val="en-GB"/>
        </w:rPr>
        <w:t>Emi Hoshikawa</w:t>
      </w:r>
      <w:r w:rsidRPr="00E557E4">
        <w:rPr>
          <w:rFonts w:ascii="Times New Roman" w:hAnsi="Times New Roman" w:cs="Times New Roman"/>
          <w:sz w:val="24"/>
          <w:szCs w:val="24"/>
          <w:vertAlign w:val="superscript"/>
          <w:lang w:val="en-GB"/>
        </w:rPr>
        <w:t>1,2</w:t>
      </w:r>
      <w:r w:rsidRPr="00E557E4">
        <w:rPr>
          <w:rFonts w:ascii="Times New Roman" w:hAnsi="Times New Roman" w:cs="Times New Roman" w:hint="eastAsia"/>
          <w:sz w:val="24"/>
          <w:szCs w:val="24"/>
          <w:vertAlign w:val="superscript"/>
          <w:lang w:val="en-GB"/>
        </w:rPr>
        <w:t>†</w:t>
      </w:r>
      <w:r w:rsidRPr="00E557E4">
        <w:rPr>
          <w:rFonts w:ascii="Times New Roman" w:hAnsi="Times New Roman" w:cs="Times New Roman"/>
          <w:sz w:val="24"/>
          <w:szCs w:val="24"/>
          <w:lang w:val="en-GB"/>
        </w:rPr>
        <w:t>, Taisuke Sato</w:t>
      </w:r>
      <w:r w:rsidRPr="00E557E4">
        <w:rPr>
          <w:rFonts w:ascii="Times New Roman" w:hAnsi="Times New Roman" w:cs="Times New Roman"/>
          <w:sz w:val="24"/>
          <w:szCs w:val="24"/>
          <w:vertAlign w:val="superscript"/>
          <w:lang w:val="en-GB"/>
        </w:rPr>
        <w:t>3</w:t>
      </w:r>
      <w:r w:rsidRPr="00E557E4">
        <w:rPr>
          <w:rFonts w:ascii="Times New Roman" w:hAnsi="Times New Roman" w:cs="Times New Roman" w:hint="eastAsia"/>
          <w:sz w:val="24"/>
          <w:szCs w:val="24"/>
          <w:vertAlign w:val="superscript"/>
          <w:lang w:val="en-GB"/>
        </w:rPr>
        <w:t>†</w:t>
      </w:r>
      <w:r w:rsidRPr="00E557E4">
        <w:rPr>
          <w:rFonts w:ascii="Times New Roman" w:hAnsi="Times New Roman" w:cs="Times New Roman" w:hint="eastAsia"/>
          <w:sz w:val="24"/>
          <w:szCs w:val="24"/>
          <w:lang w:val="en-GB"/>
        </w:rPr>
        <w:t>, Kenta Haga</w:t>
      </w:r>
      <w:r w:rsidRPr="00E557E4">
        <w:rPr>
          <w:rFonts w:ascii="Times New Roman" w:hAnsi="Times New Roman" w:cs="Times New Roman"/>
          <w:sz w:val="24"/>
          <w:szCs w:val="24"/>
          <w:vertAlign w:val="superscript"/>
          <w:lang w:val="en-GB"/>
        </w:rPr>
        <w:t>1</w:t>
      </w:r>
      <w:r w:rsidRPr="00E557E4">
        <w:rPr>
          <w:rFonts w:ascii="Times New Roman" w:hAnsi="Times New Roman" w:cs="Times New Roman" w:hint="eastAsia"/>
          <w:sz w:val="24"/>
          <w:szCs w:val="24"/>
          <w:lang w:val="en-GB"/>
        </w:rPr>
        <w:t>, Ayako Suzuki</w:t>
      </w:r>
      <w:r w:rsidRPr="00E557E4">
        <w:rPr>
          <w:rFonts w:ascii="Times New Roman" w:hAnsi="Times New Roman" w:cs="Times New Roman"/>
          <w:sz w:val="24"/>
          <w:szCs w:val="24"/>
          <w:vertAlign w:val="superscript"/>
          <w:lang w:val="en-GB"/>
        </w:rPr>
        <w:t>1,4</w:t>
      </w:r>
      <w:r w:rsidRPr="00E557E4">
        <w:rPr>
          <w:rFonts w:ascii="Times New Roman" w:hAnsi="Times New Roman" w:cs="Times New Roman"/>
          <w:sz w:val="24"/>
          <w:szCs w:val="24"/>
          <w:lang w:val="en-GB"/>
        </w:rPr>
        <w:t>, Ryota Kobayashi</w:t>
      </w:r>
      <w:r w:rsidRPr="00E557E4">
        <w:rPr>
          <w:rFonts w:ascii="Times New Roman" w:hAnsi="Times New Roman" w:cs="Times New Roman"/>
          <w:sz w:val="24"/>
          <w:szCs w:val="24"/>
          <w:vertAlign w:val="superscript"/>
          <w:lang w:val="en-GB"/>
        </w:rPr>
        <w:t>1</w:t>
      </w:r>
      <w:r w:rsidRPr="00E557E4">
        <w:rPr>
          <w:rFonts w:ascii="Times New Roman" w:hAnsi="Times New Roman" w:cs="Times New Roman" w:hint="eastAsia"/>
          <w:sz w:val="24"/>
          <w:szCs w:val="24"/>
          <w:lang w:val="en-GB"/>
        </w:rPr>
        <w:t xml:space="preserve">, </w:t>
      </w:r>
      <w:r w:rsidRPr="00E557E4">
        <w:rPr>
          <w:rFonts w:ascii="Times New Roman" w:hAnsi="Times New Roman" w:cs="Times New Roman"/>
          <w:sz w:val="24"/>
          <w:szCs w:val="24"/>
          <w:lang w:val="en-GB"/>
        </w:rPr>
        <w:t>Koichi Tabeta</w:t>
      </w:r>
      <w:r w:rsidRPr="00E557E4">
        <w:rPr>
          <w:rFonts w:ascii="Times New Roman" w:hAnsi="Times New Roman" w:cs="Times New Roman"/>
          <w:sz w:val="24"/>
          <w:szCs w:val="24"/>
          <w:vertAlign w:val="superscript"/>
          <w:lang w:val="en-GB"/>
        </w:rPr>
        <w:t>2</w:t>
      </w:r>
      <w:r w:rsidRPr="00E557E4">
        <w:rPr>
          <w:rFonts w:ascii="Times New Roman" w:hAnsi="Times New Roman" w:cs="Times New Roman"/>
          <w:sz w:val="24"/>
          <w:szCs w:val="24"/>
          <w:lang w:val="en-GB"/>
        </w:rPr>
        <w:t>, Kenji Izumi</w:t>
      </w:r>
      <w:r w:rsidRPr="00E557E4">
        <w:rPr>
          <w:rFonts w:ascii="Times New Roman" w:hAnsi="Times New Roman" w:cs="Times New Roman"/>
          <w:sz w:val="24"/>
          <w:szCs w:val="24"/>
          <w:vertAlign w:val="superscript"/>
          <w:lang w:val="en-GB"/>
        </w:rPr>
        <w:t>1*</w:t>
      </w:r>
    </w:p>
    <w:p w:rsidR="00362D37" w:rsidRPr="00E557E4" w:rsidRDefault="00362D37" w:rsidP="00362D37">
      <w:pPr>
        <w:spacing w:line="480" w:lineRule="auto"/>
        <w:rPr>
          <w:rFonts w:ascii="Times New Roman" w:hAnsi="Times New Roman" w:cs="Times New Roman"/>
          <w:sz w:val="24"/>
          <w:szCs w:val="24"/>
          <w:vertAlign w:val="superscript"/>
          <w:lang w:val="en-GB"/>
        </w:rPr>
      </w:pPr>
    </w:p>
    <w:p w:rsidR="00362D37" w:rsidRPr="00E557E4" w:rsidRDefault="00362D37" w:rsidP="00362D37">
      <w:pPr>
        <w:spacing w:line="480" w:lineRule="auto"/>
        <w:rPr>
          <w:rFonts w:ascii="Times New Roman" w:hAnsi="Times New Roman" w:cs="Times New Roman"/>
          <w:sz w:val="24"/>
          <w:szCs w:val="24"/>
          <w:lang w:val="en-GB"/>
        </w:rPr>
      </w:pPr>
      <w:r w:rsidRPr="00E557E4">
        <w:rPr>
          <w:rFonts w:ascii="Times New Roman" w:hAnsi="Times New Roman" w:cs="Times New Roman" w:hint="eastAsia"/>
          <w:sz w:val="24"/>
          <w:szCs w:val="24"/>
          <w:vertAlign w:val="superscript"/>
          <w:lang w:val="en-GB"/>
        </w:rPr>
        <w:t>1</w:t>
      </w:r>
      <w:r w:rsidRPr="00E557E4">
        <w:rPr>
          <w:rFonts w:ascii="Times New Roman" w:hAnsi="Times New Roman" w:cs="Times New Roman"/>
          <w:sz w:val="24"/>
          <w:szCs w:val="24"/>
          <w:lang w:val="en-GB"/>
        </w:rPr>
        <w:t xml:space="preserve"> Division of Biomimetics, Faculty of Dentistry &amp; Graduate School of Medical and Dental Sciences, Niigata University, Niigata, Japan</w:t>
      </w:r>
    </w:p>
    <w:p w:rsidR="00362D37" w:rsidRPr="00E557E4" w:rsidRDefault="00362D37" w:rsidP="00362D37">
      <w:pPr>
        <w:spacing w:line="480" w:lineRule="auto"/>
        <w:rPr>
          <w:rFonts w:ascii="Times New Roman" w:hAnsi="Times New Roman" w:cs="Times New Roman"/>
          <w:sz w:val="24"/>
          <w:szCs w:val="24"/>
          <w:lang w:val="en-GB"/>
        </w:rPr>
      </w:pPr>
      <w:r w:rsidRPr="00E557E4">
        <w:rPr>
          <w:rFonts w:ascii="Times New Roman" w:hAnsi="Times New Roman" w:cs="Times New Roman"/>
          <w:sz w:val="24"/>
          <w:szCs w:val="24"/>
          <w:vertAlign w:val="superscript"/>
          <w:lang w:val="en-GB"/>
        </w:rPr>
        <w:t xml:space="preserve">2 </w:t>
      </w:r>
      <w:r w:rsidRPr="00E557E4">
        <w:rPr>
          <w:rFonts w:ascii="Times New Roman" w:hAnsi="Times New Roman" w:cs="Times New Roman"/>
          <w:sz w:val="24"/>
          <w:szCs w:val="24"/>
          <w:lang w:val="en-GB"/>
        </w:rPr>
        <w:t>Division of Periodontology, Faculty of Dentistry &amp; Graduate School of Medical and Dental Sciences, Niigata University, Niigata, Japan</w:t>
      </w:r>
    </w:p>
    <w:p w:rsidR="00362D37" w:rsidRPr="00E557E4" w:rsidRDefault="00362D37" w:rsidP="00362D37">
      <w:pPr>
        <w:spacing w:line="480" w:lineRule="auto"/>
        <w:rPr>
          <w:rFonts w:ascii="Times New Roman" w:hAnsi="Times New Roman" w:cs="Times New Roman"/>
          <w:sz w:val="24"/>
          <w:szCs w:val="24"/>
          <w:lang w:val="en-GB"/>
        </w:rPr>
      </w:pPr>
      <w:r w:rsidRPr="00E557E4">
        <w:rPr>
          <w:rFonts w:ascii="Times New Roman" w:hAnsi="Times New Roman" w:cs="Times New Roman" w:hint="eastAsia"/>
          <w:sz w:val="24"/>
          <w:szCs w:val="24"/>
          <w:vertAlign w:val="superscript"/>
          <w:lang w:val="en-GB"/>
        </w:rPr>
        <w:t xml:space="preserve">3 </w:t>
      </w:r>
      <w:r w:rsidRPr="00E557E4">
        <w:rPr>
          <w:rFonts w:ascii="Times New Roman" w:hAnsi="Times New Roman" w:cs="Times New Roman"/>
          <w:sz w:val="24"/>
          <w:szCs w:val="24"/>
          <w:lang w:val="en-GB"/>
        </w:rPr>
        <w:t>Center for Transdisciplinary Research, Institute for Research Promotion, Niigata University, Niigata, Japan</w:t>
      </w:r>
    </w:p>
    <w:p w:rsidR="00362D37" w:rsidRPr="00E557E4" w:rsidRDefault="00362D37" w:rsidP="00362D37">
      <w:pPr>
        <w:spacing w:line="480" w:lineRule="auto"/>
        <w:rPr>
          <w:rFonts w:ascii="Times New Roman" w:hAnsi="Times New Roman" w:cs="Times New Roman"/>
          <w:sz w:val="24"/>
          <w:szCs w:val="24"/>
          <w:lang w:val="en-GB"/>
        </w:rPr>
      </w:pPr>
      <w:r w:rsidRPr="00E557E4">
        <w:rPr>
          <w:rFonts w:ascii="Times New Roman" w:hAnsi="Times New Roman" w:cs="Times New Roman"/>
          <w:sz w:val="24"/>
          <w:szCs w:val="24"/>
          <w:vertAlign w:val="superscript"/>
          <w:lang w:val="en-GB"/>
        </w:rPr>
        <w:t>4</w:t>
      </w:r>
      <w:r w:rsidRPr="00E557E4">
        <w:rPr>
          <w:rFonts w:ascii="Times New Roman" w:hAnsi="Times New Roman" w:cs="Times New Roman"/>
          <w:sz w:val="24"/>
          <w:szCs w:val="24"/>
          <w:lang w:val="en-GB"/>
        </w:rPr>
        <w:t xml:space="preserve"> Division of Pediatric Dentistry, Faculty of Dentistry &amp; Graduate School of Medical and Dental Sciences, Niigata University, Niigata, Japan</w:t>
      </w:r>
    </w:p>
    <w:p w:rsidR="00362D37" w:rsidRPr="00E557E4" w:rsidRDefault="00362D37" w:rsidP="00362D37">
      <w:pPr>
        <w:spacing w:line="480" w:lineRule="auto"/>
        <w:rPr>
          <w:rFonts w:ascii="Times New Roman" w:hAnsi="Times New Roman" w:cs="Times New Roman"/>
          <w:sz w:val="22"/>
          <w:szCs w:val="24"/>
          <w:lang w:val="en-GB"/>
        </w:rPr>
      </w:pPr>
    </w:p>
    <w:p w:rsidR="00362D37" w:rsidRPr="00E557E4" w:rsidRDefault="00362D37" w:rsidP="00362D37">
      <w:pPr>
        <w:spacing w:line="480" w:lineRule="auto"/>
        <w:rPr>
          <w:rFonts w:ascii="Times New Roman" w:hAnsi="Times New Roman"/>
          <w:sz w:val="24"/>
          <w:lang w:val="en-GB"/>
        </w:rPr>
      </w:pPr>
      <w:r w:rsidRPr="00E557E4">
        <w:rPr>
          <w:rFonts w:ascii="Times New Roman" w:hAnsi="Times New Roman"/>
          <w:sz w:val="24"/>
          <w:lang w:val="en-GB"/>
        </w:rPr>
        <w:t>†</w:t>
      </w:r>
      <w:r w:rsidRPr="00E557E4">
        <w:rPr>
          <w:rFonts w:ascii="Times New Roman" w:hAnsi="Times New Roman" w:hint="eastAsia"/>
          <w:sz w:val="24"/>
          <w:lang w:val="en-GB"/>
        </w:rPr>
        <w:t xml:space="preserve"> </w:t>
      </w:r>
      <w:r w:rsidRPr="00E557E4">
        <w:rPr>
          <w:rFonts w:ascii="Times New Roman" w:hAnsi="Times New Roman"/>
          <w:sz w:val="24"/>
          <w:lang w:val="en-GB"/>
        </w:rPr>
        <w:t>These authors contributed equally to this work</w:t>
      </w:r>
    </w:p>
    <w:p w:rsidR="00362D37" w:rsidRPr="00E557E4" w:rsidRDefault="00362D37" w:rsidP="00362D37">
      <w:pPr>
        <w:spacing w:line="480" w:lineRule="auto"/>
        <w:rPr>
          <w:rFonts w:asciiTheme="minorEastAsia" w:hAnsiTheme="minorEastAsia"/>
          <w:sz w:val="24"/>
          <w:lang w:val="en-GB"/>
        </w:rPr>
      </w:pPr>
      <w:r w:rsidRPr="00E557E4">
        <w:rPr>
          <w:rFonts w:asciiTheme="minorEastAsia" w:hAnsiTheme="minorEastAsia"/>
          <w:sz w:val="24"/>
          <w:lang w:val="en-GB"/>
        </w:rPr>
        <w:t>*</w:t>
      </w:r>
      <w:r w:rsidRPr="00E557E4">
        <w:rPr>
          <w:rFonts w:asciiTheme="minorEastAsia" w:hAnsiTheme="minorEastAsia" w:hint="eastAsia"/>
          <w:sz w:val="24"/>
          <w:lang w:val="en-GB"/>
        </w:rPr>
        <w:t xml:space="preserve"> </w:t>
      </w:r>
      <w:r w:rsidRPr="00E557E4">
        <w:rPr>
          <w:rFonts w:ascii="Times New Roman" w:hAnsi="Times New Roman"/>
          <w:sz w:val="24"/>
          <w:lang w:val="en-GB"/>
        </w:rPr>
        <w:t xml:space="preserve">Corresponding author: </w:t>
      </w:r>
    </w:p>
    <w:p w:rsidR="00362D37" w:rsidRPr="00E557E4" w:rsidRDefault="00362D37" w:rsidP="00362D37">
      <w:pPr>
        <w:spacing w:line="480" w:lineRule="auto"/>
        <w:rPr>
          <w:rFonts w:ascii="Times New Roman" w:hAnsi="Times New Roman"/>
          <w:sz w:val="24"/>
          <w:lang w:val="en-GB"/>
        </w:rPr>
      </w:pPr>
      <w:r w:rsidRPr="00E557E4">
        <w:rPr>
          <w:rFonts w:ascii="Times New Roman" w:hAnsi="Times New Roman"/>
          <w:sz w:val="24"/>
          <w:lang w:val="en-GB"/>
        </w:rPr>
        <w:lastRenderedPageBreak/>
        <w:t>Kenji Izumi (0000-0002-6302-6828)</w:t>
      </w:r>
    </w:p>
    <w:p w:rsidR="00362D37" w:rsidRPr="00E557E4" w:rsidRDefault="00362D37" w:rsidP="00362D37">
      <w:pPr>
        <w:spacing w:line="480" w:lineRule="auto"/>
        <w:rPr>
          <w:rFonts w:ascii="Times New Roman" w:hAnsi="Times New Roman"/>
          <w:sz w:val="24"/>
          <w:lang w:val="en-GB"/>
        </w:rPr>
      </w:pPr>
      <w:r w:rsidRPr="00E557E4">
        <w:rPr>
          <w:rFonts w:ascii="Times New Roman" w:hAnsi="Times New Roman" w:hint="eastAsia"/>
          <w:sz w:val="24"/>
          <w:lang w:val="en-GB"/>
        </w:rPr>
        <w:t>Telephone: +81-25-227-2850</w:t>
      </w:r>
    </w:p>
    <w:p w:rsidR="00362D37" w:rsidRPr="00E557E4" w:rsidRDefault="00362D37" w:rsidP="00362D37">
      <w:pPr>
        <w:spacing w:line="480" w:lineRule="auto"/>
        <w:rPr>
          <w:rFonts w:ascii="Times New Roman" w:hAnsi="Times New Roman"/>
          <w:sz w:val="24"/>
          <w:lang w:val="en-GB"/>
        </w:rPr>
      </w:pPr>
      <w:r w:rsidRPr="00E557E4">
        <w:rPr>
          <w:rFonts w:ascii="Times New Roman" w:hAnsi="Times New Roman"/>
          <w:sz w:val="24"/>
          <w:lang w:val="en-GB"/>
        </w:rPr>
        <w:t>Fax: +81-25-227-2854</w:t>
      </w:r>
    </w:p>
    <w:p w:rsidR="00362D37" w:rsidRDefault="00362D37" w:rsidP="00362D37">
      <w:pPr>
        <w:spacing w:line="480" w:lineRule="auto"/>
        <w:rPr>
          <w:rStyle w:val="a3"/>
          <w:rFonts w:ascii="Times New Roman" w:hAnsi="Times New Roman"/>
          <w:sz w:val="24"/>
          <w:lang w:val="en-GB"/>
        </w:rPr>
      </w:pPr>
      <w:r w:rsidRPr="00E557E4">
        <w:rPr>
          <w:rFonts w:ascii="Times New Roman" w:hAnsi="Times New Roman"/>
          <w:sz w:val="24"/>
          <w:lang w:val="en-GB"/>
        </w:rPr>
        <w:t xml:space="preserve">Email: </w:t>
      </w:r>
      <w:hyperlink r:id="rId7" w:history="1">
        <w:r w:rsidRPr="00E557E4">
          <w:rPr>
            <w:rStyle w:val="a3"/>
            <w:rFonts w:ascii="Times New Roman" w:hAnsi="Times New Roman"/>
            <w:sz w:val="24"/>
            <w:lang w:val="en-GB"/>
          </w:rPr>
          <w:t>izumik@dent.niigata-u.ac.jp</w:t>
        </w:r>
      </w:hyperlink>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362D37" w:rsidRDefault="00362D37" w:rsidP="00362D37">
      <w:pPr>
        <w:spacing w:line="480" w:lineRule="auto"/>
        <w:rPr>
          <w:rStyle w:val="a3"/>
          <w:rFonts w:ascii="Times New Roman" w:hAnsi="Times New Roman"/>
          <w:sz w:val="24"/>
          <w:lang w:val="en-GB"/>
        </w:rPr>
      </w:pPr>
    </w:p>
    <w:p w:rsidR="006952F5" w:rsidRDefault="006952F5" w:rsidP="00362D37">
      <w:pPr>
        <w:spacing w:line="480" w:lineRule="auto"/>
        <w:rPr>
          <w:rFonts w:ascii="Times New Roman" w:hAnsi="Times New Roman"/>
          <w:b/>
          <w:sz w:val="36"/>
          <w:lang w:val="en-GB"/>
        </w:rPr>
      </w:pPr>
      <w:r w:rsidRPr="00E557E4">
        <w:rPr>
          <w:rFonts w:ascii="Times New Roman" w:hAnsi="Times New Roman"/>
          <w:b/>
          <w:sz w:val="36"/>
          <w:lang w:val="en-GB"/>
        </w:rPr>
        <w:lastRenderedPageBreak/>
        <w:t>Supplementa</w:t>
      </w:r>
      <w:r>
        <w:rPr>
          <w:rFonts w:ascii="Times New Roman" w:hAnsi="Times New Roman"/>
          <w:b/>
          <w:sz w:val="36"/>
          <w:lang w:val="en-GB"/>
        </w:rPr>
        <w:t>ry</w:t>
      </w:r>
      <w:r w:rsidRPr="00E557E4">
        <w:rPr>
          <w:rFonts w:ascii="Times New Roman" w:hAnsi="Times New Roman"/>
          <w:b/>
          <w:sz w:val="36"/>
          <w:lang w:val="en-GB"/>
        </w:rPr>
        <w:t xml:space="preserve"> Material</w:t>
      </w:r>
    </w:p>
    <w:p w:rsidR="006952F5" w:rsidRPr="00DD3934" w:rsidRDefault="006952F5" w:rsidP="006952F5">
      <w:pPr>
        <w:spacing w:line="480" w:lineRule="auto"/>
        <w:rPr>
          <w:rFonts w:ascii="Times New Roman" w:hAnsi="Times New Roman"/>
          <w:sz w:val="28"/>
          <w:lang w:val="en-GB"/>
        </w:rPr>
      </w:pPr>
      <w:r w:rsidRPr="00DD3934">
        <w:rPr>
          <w:rFonts w:ascii="Times New Roman" w:hAnsi="Times New Roman"/>
          <w:b/>
          <w:i/>
          <w:sz w:val="32"/>
          <w:lang w:val="en-GB"/>
        </w:rPr>
        <w:t>Procurement of oral mucosa samples and culturing primary oral keratinocytes</w:t>
      </w:r>
    </w:p>
    <w:p w:rsidR="006952F5" w:rsidRPr="00DD3934" w:rsidRDefault="006952F5" w:rsidP="006952F5">
      <w:pPr>
        <w:spacing w:line="480" w:lineRule="auto"/>
        <w:ind w:firstLine="840"/>
        <w:rPr>
          <w:rFonts w:ascii="Times New Roman" w:hAnsi="Times New Roman"/>
          <w:sz w:val="24"/>
          <w:lang w:val="en-GB"/>
        </w:rPr>
      </w:pPr>
      <w:r w:rsidRPr="00DD3934">
        <w:rPr>
          <w:rFonts w:ascii="Times New Roman" w:hAnsi="Times New Roman"/>
          <w:sz w:val="22"/>
          <w:lang w:val="en-GB"/>
        </w:rPr>
        <w:t xml:space="preserve">The procurement of oral mucosa samples and </w:t>
      </w:r>
      <w:r w:rsidRPr="00DD3934">
        <w:rPr>
          <w:rFonts w:ascii="Times New Roman" w:hAnsi="Times New Roman" w:cs="Times New Roman"/>
          <w:sz w:val="22"/>
          <w:szCs w:val="24"/>
          <w:lang w:val="en-GB"/>
        </w:rPr>
        <w:t xml:space="preserve">procedure for </w:t>
      </w:r>
      <w:r w:rsidRPr="00DD3934">
        <w:rPr>
          <w:rFonts w:ascii="Times New Roman" w:hAnsi="Times New Roman"/>
          <w:sz w:val="22"/>
          <w:lang w:val="en-GB"/>
        </w:rPr>
        <w:t xml:space="preserve">oral keratinocyte </w:t>
      </w:r>
      <w:r w:rsidRPr="00DD3934">
        <w:rPr>
          <w:rFonts w:ascii="Times New Roman" w:hAnsi="Times New Roman" w:cs="Times New Roman"/>
          <w:sz w:val="22"/>
          <w:szCs w:val="24"/>
          <w:lang w:val="en-GB"/>
        </w:rPr>
        <w:t>cultures</w:t>
      </w:r>
      <w:r w:rsidRPr="00DD3934">
        <w:rPr>
          <w:rFonts w:ascii="Times New Roman" w:hAnsi="Times New Roman"/>
          <w:sz w:val="22"/>
          <w:lang w:val="en-GB"/>
        </w:rPr>
        <w:t xml:space="preserve"> were described previously.</w:t>
      </w:r>
      <w:r w:rsidRPr="00DD3934">
        <w:rPr>
          <w:rFonts w:ascii="Times New Roman" w:hAnsi="Times New Roman"/>
          <w:sz w:val="22"/>
          <w:vertAlign w:val="superscript"/>
          <w:lang w:val="en-GB"/>
        </w:rPr>
        <w:t>29</w:t>
      </w:r>
      <w:r w:rsidRPr="00DD3934">
        <w:rPr>
          <w:rFonts w:ascii="Times New Roman" w:hAnsi="Times New Roman"/>
          <w:sz w:val="22"/>
          <w:lang w:val="en-GB"/>
        </w:rPr>
        <w:t xml:space="preserve"> Demographic data of the 32 tissue samples </w:t>
      </w:r>
      <w:r w:rsidRPr="00DD3934">
        <w:rPr>
          <w:rFonts w:ascii="Times New Roman" w:hAnsi="Times New Roman" w:cs="Times New Roman"/>
          <w:sz w:val="22"/>
          <w:szCs w:val="24"/>
          <w:lang w:val="en-GB"/>
        </w:rPr>
        <w:t>include nine</w:t>
      </w:r>
      <w:r w:rsidRPr="00DD3934">
        <w:rPr>
          <w:rFonts w:ascii="Times New Roman" w:hAnsi="Times New Roman"/>
          <w:sz w:val="22"/>
          <w:lang w:val="en-GB"/>
        </w:rPr>
        <w:t xml:space="preserve"> males with a mean age of 31.9 ± 12.4</w:t>
      </w:r>
      <w:r w:rsidRPr="00DD3934">
        <w:rPr>
          <w:rFonts w:ascii="Times New Roman" w:hAnsi="Times New Roman" w:cs="Times New Roman"/>
          <w:sz w:val="22"/>
          <w:szCs w:val="24"/>
          <w:lang w:val="en-GB"/>
        </w:rPr>
        <w:t> years</w:t>
      </w:r>
      <w:r w:rsidRPr="00DD3934">
        <w:rPr>
          <w:rFonts w:ascii="Times New Roman" w:hAnsi="Times New Roman"/>
          <w:sz w:val="22"/>
          <w:lang w:val="en-GB"/>
        </w:rPr>
        <w:t xml:space="preserve"> ranging from 20 to 61 years and 23 females with a mean age of 25.9 ± 7.9</w:t>
      </w:r>
      <w:r w:rsidRPr="00DD3934">
        <w:rPr>
          <w:rFonts w:ascii="Times New Roman" w:hAnsi="Times New Roman" w:cs="Times New Roman"/>
          <w:sz w:val="22"/>
          <w:szCs w:val="24"/>
          <w:lang w:val="en-GB"/>
        </w:rPr>
        <w:t> years</w:t>
      </w:r>
      <w:r w:rsidRPr="00DD3934">
        <w:rPr>
          <w:rFonts w:ascii="Times New Roman" w:hAnsi="Times New Roman"/>
          <w:sz w:val="22"/>
          <w:lang w:val="en-GB"/>
        </w:rPr>
        <w:t xml:space="preserve"> ranging from 17 to 49 years. The protocol for obtaining human oral mucosa tissue samples was approved by the Niigata University Hospital Internal Review Board (2015-5018). </w:t>
      </w:r>
      <w:r w:rsidR="0048038C" w:rsidRPr="00634AA4">
        <w:rPr>
          <w:rFonts w:ascii="Times New Roman" w:hAnsi="Times New Roman"/>
          <w:sz w:val="22"/>
          <w:lang w:val="en-GB"/>
        </w:rPr>
        <w:t>All methods were carried out in accordance with relevant guidelines and regulations.</w:t>
      </w:r>
      <w:bookmarkStart w:id="0" w:name="_GoBack"/>
      <w:bookmarkEnd w:id="0"/>
      <w:r w:rsidR="0048038C">
        <w:rPr>
          <w:rFonts w:ascii="Times New Roman" w:hAnsi="Times New Roman"/>
          <w:sz w:val="22"/>
          <w:lang w:val="en-GB"/>
        </w:rPr>
        <w:t xml:space="preserve"> </w:t>
      </w:r>
      <w:r w:rsidRPr="00DD3934">
        <w:rPr>
          <w:rFonts w:ascii="Times New Roman" w:hAnsi="Times New Roman"/>
          <w:sz w:val="22"/>
          <w:lang w:val="en-GB"/>
        </w:rPr>
        <w:t xml:space="preserve">Briefly, mucosal tissue was digested overnight in </w:t>
      </w:r>
      <w:r w:rsidRPr="00DD3934">
        <w:rPr>
          <w:rFonts w:ascii="Times New Roman" w:hAnsi="Times New Roman" w:cs="Times New Roman"/>
          <w:sz w:val="22"/>
          <w:szCs w:val="24"/>
          <w:lang w:val="en-GB"/>
        </w:rPr>
        <w:t xml:space="preserve">a </w:t>
      </w:r>
      <w:r w:rsidRPr="00DD3934">
        <w:rPr>
          <w:rFonts w:ascii="Times New Roman" w:hAnsi="Times New Roman"/>
          <w:sz w:val="22"/>
          <w:lang w:val="en-GB"/>
        </w:rPr>
        <w:t>0.025% trypsin/</w:t>
      </w:r>
      <w:r w:rsidRPr="00DD3934">
        <w:rPr>
          <w:rFonts w:ascii="Times New Roman" w:hAnsi="Times New Roman" w:cs="Times New Roman"/>
          <w:sz w:val="22"/>
          <w:szCs w:val="24"/>
          <w:lang w:val="en-GB"/>
        </w:rPr>
        <w:t>ethylenediaminetetraacetic acid (</w:t>
      </w:r>
      <w:r w:rsidRPr="00DD3934">
        <w:rPr>
          <w:rFonts w:ascii="Times New Roman" w:hAnsi="Times New Roman"/>
          <w:sz w:val="22"/>
          <w:lang w:val="en-GB"/>
        </w:rPr>
        <w:t>EDTA</w:t>
      </w:r>
      <w:r w:rsidRPr="00DD3934">
        <w:rPr>
          <w:rFonts w:ascii="Times New Roman" w:hAnsi="Times New Roman" w:cs="Times New Roman"/>
          <w:sz w:val="22"/>
          <w:szCs w:val="24"/>
          <w:lang w:val="en-GB"/>
        </w:rPr>
        <w:t>)</w:t>
      </w:r>
      <w:r w:rsidRPr="00DD3934">
        <w:rPr>
          <w:rFonts w:ascii="Times New Roman" w:hAnsi="Times New Roman"/>
          <w:sz w:val="22"/>
          <w:lang w:val="en-GB"/>
        </w:rPr>
        <w:t xml:space="preserve"> solution (Thermo Fisher Scientific, Waltham, MA, USA). Oral keratinocytes </w:t>
      </w:r>
      <w:r w:rsidRPr="00DD3934">
        <w:rPr>
          <w:rFonts w:ascii="Times New Roman" w:hAnsi="Times New Roman" w:cs="Times New Roman"/>
          <w:sz w:val="22"/>
          <w:szCs w:val="24"/>
          <w:lang w:val="en-GB"/>
        </w:rPr>
        <w:t xml:space="preserve">were </w:t>
      </w:r>
      <w:r w:rsidRPr="00DD3934">
        <w:rPr>
          <w:rFonts w:ascii="Times New Roman" w:hAnsi="Times New Roman"/>
          <w:sz w:val="22"/>
          <w:lang w:val="en-GB"/>
        </w:rPr>
        <w:t xml:space="preserve">mechanically dissociated in </w:t>
      </w:r>
      <w:r w:rsidRPr="00DD3934">
        <w:rPr>
          <w:rFonts w:ascii="Times New Roman" w:hAnsi="Times New Roman" w:cs="Times New Roman"/>
          <w:sz w:val="22"/>
          <w:szCs w:val="24"/>
          <w:lang w:val="en-GB"/>
        </w:rPr>
        <w:t xml:space="preserve">the </w:t>
      </w:r>
      <w:r w:rsidRPr="00DD3934">
        <w:rPr>
          <w:rFonts w:ascii="Times New Roman" w:hAnsi="Times New Roman"/>
          <w:sz w:val="22"/>
          <w:lang w:val="en-GB"/>
        </w:rPr>
        <w:t xml:space="preserve">trypsin inhibitor (DTI; Thermo Fisher Scientific) </w:t>
      </w:r>
      <w:r w:rsidRPr="00DD3934">
        <w:rPr>
          <w:rFonts w:ascii="Times New Roman" w:hAnsi="Times New Roman" w:cs="Times New Roman"/>
          <w:sz w:val="22"/>
          <w:szCs w:val="24"/>
          <w:lang w:val="en-GB"/>
        </w:rPr>
        <w:t>and then</w:t>
      </w:r>
      <w:r w:rsidRPr="00DD3934">
        <w:rPr>
          <w:rFonts w:ascii="Times New Roman" w:hAnsi="Times New Roman"/>
          <w:sz w:val="22"/>
          <w:lang w:val="en-GB"/>
        </w:rPr>
        <w:t xml:space="preserve"> seeded as p0 cells in </w:t>
      </w:r>
      <w:r w:rsidRPr="00DD3934">
        <w:rPr>
          <w:rFonts w:ascii="Times New Roman" w:hAnsi="Times New Roman" w:cs="Times New Roman"/>
          <w:sz w:val="22"/>
          <w:szCs w:val="24"/>
          <w:lang w:val="en-GB"/>
        </w:rPr>
        <w:t>‘complete’</w:t>
      </w:r>
      <w:r w:rsidRPr="00DD3934">
        <w:rPr>
          <w:rFonts w:ascii="Times New Roman" w:hAnsi="Times New Roman"/>
          <w:sz w:val="22"/>
          <w:lang w:val="en-GB"/>
        </w:rPr>
        <w:t xml:space="preserve"> EpiLife</w:t>
      </w:r>
      <w:r w:rsidRPr="00DD3934">
        <w:rPr>
          <w:rFonts w:ascii="Times New Roman" w:eastAsia="AdvTT08640291" w:hAnsi="Times New Roman" w:cs="Times New Roman"/>
          <w:kern w:val="0"/>
          <w:sz w:val="22"/>
          <w:szCs w:val="24"/>
          <w:vertAlign w:val="superscript"/>
          <w:lang w:val="en-GB"/>
        </w:rPr>
        <w:t>®</w:t>
      </w:r>
      <w:r w:rsidRPr="00DD3934">
        <w:rPr>
          <w:rFonts w:ascii="Times New Roman" w:hAnsi="Times New Roman" w:cs="Times New Roman"/>
          <w:sz w:val="22"/>
          <w:szCs w:val="24"/>
          <w:lang w:val="en-GB"/>
        </w:rPr>
        <w:t>-</w:t>
      </w:r>
      <w:r w:rsidRPr="00DD3934">
        <w:rPr>
          <w:rFonts w:ascii="Times New Roman" w:hAnsi="Times New Roman"/>
          <w:sz w:val="22"/>
          <w:lang w:val="en-GB"/>
        </w:rPr>
        <w:t>containing EpiLife Defined Growth Supplements (Thermo Fisher Scientific), 0.06 mM Ca</w:t>
      </w:r>
      <w:r w:rsidRPr="00DD3934">
        <w:rPr>
          <w:rFonts w:ascii="Times New Roman" w:hAnsi="Times New Roman"/>
          <w:sz w:val="22"/>
          <w:vertAlign w:val="superscript"/>
          <w:lang w:val="en-GB"/>
        </w:rPr>
        <w:t>2+</w:t>
      </w:r>
      <w:r w:rsidRPr="00DD3934">
        <w:rPr>
          <w:rFonts w:ascii="Times New Roman" w:hAnsi="Times New Roman"/>
          <w:sz w:val="22"/>
          <w:lang w:val="en-GB"/>
        </w:rPr>
        <w:t>, gentamicin (5.0 μg/mL; Thermo Fisher Scientific) and amphotericin B (0.375 μg/mL; Thermo Fisher Scientific) at a density of 4.0</w:t>
      </w:r>
      <w:r w:rsidRPr="00DD3934">
        <w:rPr>
          <w:rFonts w:ascii="Times New Roman" w:hAnsi="Times New Roman" w:cs="Times New Roman"/>
          <w:sz w:val="22"/>
          <w:szCs w:val="24"/>
          <w:lang w:val="en-GB"/>
        </w:rPr>
        <w:t>–</w:t>
      </w:r>
      <w:r w:rsidRPr="00DD3934">
        <w:rPr>
          <w:rFonts w:ascii="Times New Roman" w:hAnsi="Times New Roman"/>
          <w:sz w:val="22"/>
          <w:lang w:val="en-GB"/>
        </w:rPr>
        <w:t xml:space="preserve">5.0 </w:t>
      </w:r>
      <w:r w:rsidRPr="00DD3934">
        <w:rPr>
          <w:rFonts w:ascii="Times New Roman" w:hAnsi="Times New Roman"/>
          <w:kern w:val="0"/>
          <w:sz w:val="22"/>
          <w:lang w:val="en-GB"/>
        </w:rPr>
        <w:t>× 10</w:t>
      </w:r>
      <w:r w:rsidRPr="00DD3934">
        <w:rPr>
          <w:rFonts w:ascii="Times New Roman" w:hAnsi="Times New Roman"/>
          <w:kern w:val="0"/>
          <w:sz w:val="22"/>
          <w:vertAlign w:val="superscript"/>
          <w:lang w:val="en-GB"/>
        </w:rPr>
        <w:t>4</w:t>
      </w:r>
      <w:r w:rsidRPr="00DD3934">
        <w:rPr>
          <w:rFonts w:ascii="Times New Roman" w:hAnsi="Times New Roman"/>
          <w:sz w:val="22"/>
          <w:lang w:val="en-GB"/>
        </w:rPr>
        <w:t xml:space="preserve"> cells/cm</w:t>
      </w:r>
      <w:r w:rsidRPr="00DD3934">
        <w:rPr>
          <w:rFonts w:ascii="Times New Roman" w:hAnsi="Times New Roman"/>
          <w:sz w:val="22"/>
          <w:vertAlign w:val="superscript"/>
          <w:lang w:val="en-GB"/>
        </w:rPr>
        <w:t>2</w:t>
      </w:r>
      <w:r w:rsidRPr="00DD3934">
        <w:rPr>
          <w:rFonts w:ascii="Times New Roman" w:hAnsi="Times New Roman"/>
          <w:sz w:val="22"/>
          <w:lang w:val="en-GB"/>
        </w:rPr>
        <w:t>.</w:t>
      </w:r>
      <w:r w:rsidRPr="00DD3934">
        <w:rPr>
          <w:sz w:val="22"/>
          <w:lang w:val="en-GB"/>
        </w:rPr>
        <w:t xml:space="preserve"> </w:t>
      </w:r>
      <w:r w:rsidRPr="00DD3934">
        <w:rPr>
          <w:rFonts w:ascii="Times New Roman" w:hAnsi="Times New Roman"/>
          <w:sz w:val="22"/>
          <w:lang w:val="en-GB"/>
        </w:rPr>
        <w:t xml:space="preserve">After reaching a confluence of approximately 80%, </w:t>
      </w:r>
      <w:r w:rsidRPr="00DD3934">
        <w:rPr>
          <w:rFonts w:ascii="Times New Roman" w:hAnsi="Times New Roman" w:cs="Times New Roman"/>
          <w:sz w:val="22"/>
          <w:szCs w:val="24"/>
          <w:lang w:val="en-GB"/>
        </w:rPr>
        <w:t>the</w:t>
      </w:r>
      <w:r w:rsidRPr="00DD3934">
        <w:rPr>
          <w:rFonts w:ascii="Times New Roman" w:hAnsi="Times New Roman"/>
          <w:sz w:val="22"/>
          <w:lang w:val="en-GB"/>
        </w:rPr>
        <w:t xml:space="preserve"> p0 cells were detached with 0.025% trypsin/EDTA (Thermo Fisher Scientific), neutralised with DTI and plated as p1 cells at </w:t>
      </w:r>
      <w:r w:rsidRPr="00DD3934">
        <w:rPr>
          <w:rFonts w:ascii="Times New Roman" w:hAnsi="Times New Roman"/>
          <w:sz w:val="22"/>
          <w:lang w:val="en-GB"/>
        </w:rPr>
        <w:lastRenderedPageBreak/>
        <w:t xml:space="preserve">a density of 7.5 </w:t>
      </w:r>
      <w:r w:rsidRPr="00DD3934">
        <w:rPr>
          <w:rFonts w:ascii="Times New Roman" w:hAnsi="Times New Roman"/>
          <w:kern w:val="0"/>
          <w:sz w:val="22"/>
          <w:lang w:val="en-GB"/>
        </w:rPr>
        <w:t>× 10</w:t>
      </w:r>
      <w:r w:rsidRPr="00DD3934">
        <w:rPr>
          <w:rFonts w:ascii="Times New Roman" w:hAnsi="Times New Roman"/>
          <w:kern w:val="0"/>
          <w:sz w:val="22"/>
          <w:vertAlign w:val="superscript"/>
          <w:lang w:val="en-GB"/>
        </w:rPr>
        <w:t>4</w:t>
      </w:r>
      <w:r w:rsidRPr="00DD3934">
        <w:rPr>
          <w:rFonts w:ascii="Times New Roman" w:hAnsi="Times New Roman"/>
          <w:sz w:val="22"/>
          <w:lang w:val="en-GB"/>
        </w:rPr>
        <w:t xml:space="preserve"> cells in a 35-mm dish (Eppendorf) with complete EpiLife</w:t>
      </w:r>
      <w:r w:rsidRPr="00DD3934">
        <w:rPr>
          <w:rFonts w:ascii="Times New Roman" w:hAnsi="Times New Roman"/>
          <w:kern w:val="0"/>
          <w:sz w:val="22"/>
          <w:vertAlign w:val="superscript"/>
          <w:lang w:val="en-GB"/>
        </w:rPr>
        <w:t>®</w:t>
      </w:r>
      <w:r w:rsidRPr="00DD3934">
        <w:rPr>
          <w:rFonts w:ascii="Times New Roman" w:hAnsi="Times New Roman"/>
          <w:sz w:val="22"/>
          <w:lang w:val="en-GB"/>
        </w:rPr>
        <w:t xml:space="preserve"> medium. On the following day, the p1 cells were fed with the complete EpiLife</w:t>
      </w:r>
      <w:r w:rsidRPr="00DD3934">
        <w:rPr>
          <w:rFonts w:ascii="Times New Roman" w:hAnsi="Times New Roman"/>
          <w:kern w:val="0"/>
          <w:sz w:val="22"/>
          <w:vertAlign w:val="superscript"/>
          <w:lang w:val="en-GB"/>
        </w:rPr>
        <w:t>®</w:t>
      </w:r>
      <w:r w:rsidRPr="00DD3934">
        <w:rPr>
          <w:rFonts w:ascii="Times New Roman" w:hAnsi="Times New Roman"/>
          <w:sz w:val="22"/>
          <w:lang w:val="en-GB"/>
        </w:rPr>
        <w:t xml:space="preserve"> medium.</w:t>
      </w:r>
    </w:p>
    <w:p w:rsidR="006952F5" w:rsidRPr="00DD3934" w:rsidRDefault="006952F5" w:rsidP="006952F5">
      <w:pPr>
        <w:spacing w:line="480" w:lineRule="auto"/>
        <w:rPr>
          <w:rFonts w:ascii="Times New Roman" w:hAnsi="Times New Roman"/>
          <w:b/>
          <w:sz w:val="36"/>
          <w:lang w:val="en-GB"/>
        </w:rPr>
      </w:pPr>
    </w:p>
    <w:p w:rsidR="006952F5" w:rsidRPr="00DD3934" w:rsidRDefault="006952F5" w:rsidP="006952F5">
      <w:pPr>
        <w:spacing w:line="480" w:lineRule="auto"/>
        <w:rPr>
          <w:rFonts w:ascii="Times New Roman" w:hAnsi="Times New Roman"/>
          <w:sz w:val="32"/>
          <w:lang w:val="en-GB"/>
        </w:rPr>
      </w:pPr>
      <w:r w:rsidRPr="00DD3934">
        <w:rPr>
          <w:rFonts w:ascii="Times New Roman" w:hAnsi="Times New Roman"/>
          <w:b/>
          <w:i/>
          <w:kern w:val="0"/>
          <w:sz w:val="32"/>
          <w:lang w:val="en-GB"/>
        </w:rPr>
        <w:t>Time-lapse microscopic imaging</w:t>
      </w:r>
    </w:p>
    <w:p w:rsidR="006952F5" w:rsidRPr="00DD3934" w:rsidRDefault="006952F5" w:rsidP="006952F5">
      <w:pPr>
        <w:spacing w:line="480" w:lineRule="auto"/>
        <w:ind w:firstLine="840"/>
        <w:rPr>
          <w:rFonts w:ascii="Times New Roman" w:hAnsi="Times New Roman"/>
          <w:sz w:val="22"/>
          <w:lang w:val="en-GB"/>
        </w:rPr>
      </w:pPr>
      <w:r w:rsidRPr="00DD3934">
        <w:rPr>
          <w:rFonts w:ascii="Times New Roman" w:hAnsi="Times New Roman" w:cs="Times New Roman"/>
          <w:sz w:val="22"/>
          <w:szCs w:val="24"/>
          <w:lang w:val="en-GB"/>
        </w:rPr>
        <w:t>Under</w:t>
      </w:r>
      <w:r w:rsidRPr="00DD3934">
        <w:rPr>
          <w:rFonts w:ascii="Times New Roman" w:hAnsi="Times New Roman"/>
          <w:sz w:val="22"/>
          <w:lang w:val="en-GB"/>
        </w:rPr>
        <w:t xml:space="preserve"> appropriate conditions, the dishes of</w:t>
      </w:r>
      <w:r w:rsidRPr="00DD3934">
        <w:rPr>
          <w:rFonts w:ascii="Times New Roman" w:hAnsi="Times New Roman" w:cs="Times New Roman"/>
          <w:sz w:val="22"/>
          <w:szCs w:val="24"/>
          <w:lang w:val="en-GB"/>
        </w:rPr>
        <w:t xml:space="preserve"> the</w:t>
      </w:r>
      <w:r w:rsidRPr="00DD3934">
        <w:rPr>
          <w:rFonts w:ascii="Times New Roman" w:hAnsi="Times New Roman"/>
          <w:sz w:val="22"/>
          <w:lang w:val="en-GB"/>
        </w:rPr>
        <w:t xml:space="preserve"> p1 cell culture were subjected to time-lapse observation. Cells were imaged with a Keyence BZ-X700 all-in-one fluorescence microscope equipped with a 5% CO</w:t>
      </w:r>
      <w:r w:rsidRPr="00DD3934">
        <w:rPr>
          <w:rFonts w:ascii="Times New Roman" w:hAnsi="Times New Roman"/>
          <w:sz w:val="22"/>
          <w:vertAlign w:val="subscript"/>
          <w:lang w:val="en-GB"/>
        </w:rPr>
        <w:t>2</w:t>
      </w:r>
      <w:r w:rsidRPr="00DD3934">
        <w:rPr>
          <w:rFonts w:ascii="Times New Roman" w:hAnsi="Times New Roman"/>
          <w:sz w:val="22"/>
          <w:lang w:val="en-GB"/>
        </w:rPr>
        <w:t xml:space="preserve"> temperature-coned chamber and time-lapse tracking system (Keyence, Osaka, Japan). We randomly chose </w:t>
      </w:r>
      <w:r w:rsidRPr="00DD3934">
        <w:rPr>
          <w:rFonts w:ascii="Times New Roman" w:hAnsi="Times New Roman" w:cs="Times New Roman"/>
          <w:sz w:val="22"/>
          <w:szCs w:val="24"/>
          <w:lang w:val="en-GB"/>
        </w:rPr>
        <w:t>five</w:t>
      </w:r>
      <w:r w:rsidRPr="00DD3934">
        <w:rPr>
          <w:rFonts w:ascii="Times New Roman" w:hAnsi="Times New Roman"/>
          <w:sz w:val="22"/>
          <w:lang w:val="en-GB"/>
        </w:rPr>
        <w:t xml:space="preserve"> locations for each culture dish. Phase-contrast images were taken at 8</w:t>
      </w:r>
      <w:r w:rsidRPr="00DD3934">
        <w:rPr>
          <w:rFonts w:ascii="Times New Roman" w:hAnsi="Times New Roman" w:cs="Times New Roman"/>
          <w:sz w:val="22"/>
          <w:szCs w:val="24"/>
          <w:lang w:val="en-GB"/>
        </w:rPr>
        <w:t>-</w:t>
      </w:r>
      <w:r w:rsidRPr="00DD3934">
        <w:rPr>
          <w:rFonts w:ascii="Times New Roman" w:hAnsi="Times New Roman"/>
          <w:sz w:val="22"/>
          <w:lang w:val="en-GB"/>
        </w:rPr>
        <w:t xml:space="preserve">min intervals for 4 h, </w:t>
      </w:r>
      <w:r w:rsidRPr="00DD3934">
        <w:rPr>
          <w:rFonts w:ascii="Times New Roman" w:hAnsi="Times New Roman" w:cs="Times New Roman"/>
          <w:sz w:val="22"/>
          <w:szCs w:val="24"/>
          <w:lang w:val="en-GB"/>
        </w:rPr>
        <w:t>until</w:t>
      </w:r>
      <w:r w:rsidRPr="00DD3934">
        <w:rPr>
          <w:rFonts w:ascii="Times New Roman" w:hAnsi="Times New Roman"/>
          <w:sz w:val="22"/>
          <w:lang w:val="en-GB"/>
        </w:rPr>
        <w:t xml:space="preserve"> a total of 31 images</w:t>
      </w:r>
      <w:r w:rsidRPr="00DD3934">
        <w:rPr>
          <w:rFonts w:ascii="Times New Roman" w:hAnsi="Times New Roman" w:cs="Times New Roman"/>
          <w:sz w:val="22"/>
          <w:szCs w:val="24"/>
          <w:lang w:val="en-GB"/>
        </w:rPr>
        <w:t xml:space="preserve"> were produced</w:t>
      </w:r>
      <w:r w:rsidRPr="00DD3934">
        <w:rPr>
          <w:rFonts w:ascii="Times New Roman" w:hAnsi="Times New Roman"/>
          <w:sz w:val="22"/>
          <w:lang w:val="en-GB"/>
        </w:rPr>
        <w:t xml:space="preserve"> using </w:t>
      </w:r>
      <w:r w:rsidRPr="00DD3934">
        <w:rPr>
          <w:rFonts w:ascii="Times New Roman" w:hAnsi="Times New Roman" w:cs="Times New Roman"/>
          <w:sz w:val="22"/>
          <w:szCs w:val="24"/>
          <w:lang w:val="en-GB"/>
        </w:rPr>
        <w:t xml:space="preserve">a </w:t>
      </w:r>
      <w:r w:rsidRPr="00DD3934">
        <w:rPr>
          <w:rFonts w:ascii="Times New Roman" w:hAnsi="Times New Roman"/>
          <w:sz w:val="22"/>
          <w:lang w:val="en-GB"/>
        </w:rPr>
        <w:t xml:space="preserve">×4 PlanFluor NA0.13 PhL objective lens. The images were converted to video files using a BZ-X </w:t>
      </w:r>
      <w:r w:rsidRPr="00DD3934">
        <w:rPr>
          <w:rFonts w:ascii="Times New Roman" w:hAnsi="Times New Roman" w:cs="Times New Roman"/>
          <w:sz w:val="22"/>
          <w:szCs w:val="24"/>
          <w:lang w:val="en-GB"/>
        </w:rPr>
        <w:t>analyser</w:t>
      </w:r>
      <w:r w:rsidRPr="00DD3934">
        <w:rPr>
          <w:rFonts w:ascii="Times New Roman" w:hAnsi="Times New Roman"/>
          <w:sz w:val="22"/>
          <w:lang w:val="en-GB"/>
        </w:rPr>
        <w:t xml:space="preserve"> (Keyence) (Fig. 5A; Supplemental movie 2A). The video files were </w:t>
      </w:r>
      <w:r w:rsidRPr="00DD3934">
        <w:rPr>
          <w:rFonts w:ascii="Times New Roman" w:hAnsi="Times New Roman" w:cs="Times New Roman"/>
          <w:sz w:val="22"/>
          <w:szCs w:val="24"/>
          <w:lang w:val="en-GB"/>
        </w:rPr>
        <w:t>analysed</w:t>
      </w:r>
      <w:r w:rsidRPr="00DD3934">
        <w:rPr>
          <w:rFonts w:ascii="Times New Roman" w:hAnsi="Times New Roman"/>
          <w:sz w:val="22"/>
          <w:lang w:val="en-GB"/>
        </w:rPr>
        <w:t xml:space="preserve"> using our image analysis software, </w:t>
      </w:r>
      <w:r w:rsidRPr="00DD3934">
        <w:rPr>
          <w:rFonts w:ascii="Times New Roman" w:hAnsi="Times New Roman" w:cs="Times New Roman"/>
          <w:sz w:val="22"/>
          <w:szCs w:val="24"/>
          <w:lang w:val="en-GB"/>
        </w:rPr>
        <w:t xml:space="preserve">which was </w:t>
      </w:r>
      <w:r w:rsidRPr="00DD3934">
        <w:rPr>
          <w:rFonts w:ascii="Times New Roman" w:hAnsi="Times New Roman"/>
          <w:sz w:val="22"/>
          <w:lang w:val="en-GB"/>
        </w:rPr>
        <w:t>based on the OF.</w:t>
      </w:r>
    </w:p>
    <w:p w:rsidR="006952F5" w:rsidRPr="00DD3934" w:rsidRDefault="006952F5" w:rsidP="006952F5">
      <w:pPr>
        <w:spacing w:line="480" w:lineRule="auto"/>
        <w:rPr>
          <w:rFonts w:ascii="Times New Roman" w:hAnsi="Times New Roman"/>
          <w:b/>
          <w:sz w:val="36"/>
          <w:lang w:val="en-GB"/>
        </w:rPr>
      </w:pPr>
    </w:p>
    <w:p w:rsidR="006952F5" w:rsidRPr="00DD3934" w:rsidRDefault="006952F5" w:rsidP="006952F5">
      <w:pPr>
        <w:spacing w:line="480" w:lineRule="auto"/>
        <w:rPr>
          <w:rFonts w:ascii="Times New Roman" w:hAnsi="Times New Roman"/>
          <w:sz w:val="40"/>
          <w:lang w:val="en-GB"/>
        </w:rPr>
      </w:pPr>
      <w:r w:rsidRPr="00DD3934">
        <w:rPr>
          <w:rFonts w:ascii="Times New Roman" w:hAnsi="Times New Roman"/>
          <w:b/>
          <w:i/>
          <w:sz w:val="32"/>
          <w:lang w:val="en-GB"/>
        </w:rPr>
        <w:t>Determination of MMS of the p1 cells</w:t>
      </w:r>
    </w:p>
    <w:p w:rsidR="006952F5" w:rsidRPr="00DD3934" w:rsidRDefault="006952F5" w:rsidP="006952F5">
      <w:pPr>
        <w:spacing w:line="480" w:lineRule="auto"/>
        <w:rPr>
          <w:rFonts w:ascii="Times New Roman" w:hAnsi="Times New Roman"/>
          <w:sz w:val="22"/>
          <w:lang w:val="en-GB"/>
        </w:rPr>
      </w:pPr>
      <w:r w:rsidRPr="00DD3934">
        <w:rPr>
          <w:rFonts w:ascii="Times New Roman" w:hAnsi="Times New Roman"/>
          <w:sz w:val="24"/>
          <w:lang w:val="en-GB"/>
        </w:rPr>
        <w:tab/>
      </w:r>
      <w:r w:rsidRPr="00DD3934">
        <w:rPr>
          <w:rFonts w:ascii="Times New Roman" w:hAnsi="Times New Roman"/>
          <w:sz w:val="22"/>
          <w:lang w:val="en-GB"/>
        </w:rPr>
        <w:t>The MS was determined in this study by using the identical OF algorithm of our previsou study.</w:t>
      </w:r>
      <w:r w:rsidRPr="00DD3934">
        <w:rPr>
          <w:rFonts w:ascii="Times New Roman" w:hAnsi="Times New Roman"/>
          <w:sz w:val="22"/>
          <w:vertAlign w:val="superscript"/>
          <w:lang w:val="en-GB"/>
        </w:rPr>
        <w:t>29</w:t>
      </w:r>
      <w:r w:rsidRPr="00DD3934">
        <w:rPr>
          <w:rFonts w:ascii="Times New Roman" w:hAnsi="Times New Roman"/>
          <w:sz w:val="22"/>
          <w:lang w:val="en-GB"/>
        </w:rPr>
        <w:t xml:space="preserve"> A total of 31 sequence frames were created, in which vectors are drawn </w:t>
      </w:r>
      <w:r w:rsidRPr="00DD3934">
        <w:rPr>
          <w:rFonts w:ascii="Times New Roman" w:hAnsi="Times New Roman" w:cs="Times New Roman"/>
          <w:sz w:val="22"/>
          <w:szCs w:val="24"/>
          <w:lang w:val="en-GB"/>
        </w:rPr>
        <w:t>for</w:t>
      </w:r>
      <w:r w:rsidRPr="00DD3934">
        <w:rPr>
          <w:rFonts w:ascii="Times New Roman" w:hAnsi="Times New Roman"/>
          <w:sz w:val="22"/>
          <w:lang w:val="en-GB"/>
        </w:rPr>
        <w:t xml:space="preserve"> each full-screen image (Fig. 5D; Supplemental m</w:t>
      </w:r>
      <w:r w:rsidRPr="00DD3934">
        <w:rPr>
          <w:rFonts w:ascii="Times New Roman" w:hAnsi="Times New Roman" w:cs="Times New Roman"/>
          <w:sz w:val="22"/>
          <w:szCs w:val="24"/>
          <w:lang w:val="en-GB"/>
        </w:rPr>
        <w:t>ovie</w:t>
      </w:r>
      <w:r w:rsidRPr="00DD3934">
        <w:rPr>
          <w:rFonts w:ascii="Times New Roman" w:hAnsi="Times New Roman"/>
          <w:sz w:val="22"/>
          <w:lang w:val="en-GB"/>
        </w:rPr>
        <w:t xml:space="preserve"> 2B). Pixels </w:t>
      </w:r>
      <w:r w:rsidRPr="00DD3934">
        <w:rPr>
          <w:rFonts w:ascii="Times New Roman" w:hAnsi="Times New Roman" w:cs="Times New Roman"/>
          <w:sz w:val="22"/>
          <w:szCs w:val="24"/>
          <w:lang w:val="en-GB"/>
        </w:rPr>
        <w:t>that</w:t>
      </w:r>
      <w:r w:rsidRPr="00DD3934">
        <w:rPr>
          <w:rFonts w:ascii="Times New Roman" w:hAnsi="Times New Roman"/>
          <w:sz w:val="22"/>
          <w:lang w:val="en-GB"/>
        </w:rPr>
        <w:t xml:space="preserve"> move more have larger displacement vectors. </w:t>
      </w:r>
      <w:r w:rsidRPr="00DD3934">
        <w:rPr>
          <w:rFonts w:ascii="Times New Roman" w:hAnsi="Times New Roman" w:cs="Times New Roman"/>
          <w:sz w:val="22"/>
          <w:szCs w:val="24"/>
          <w:lang w:val="en-GB"/>
        </w:rPr>
        <w:t>Next, the</w:t>
      </w:r>
      <w:r w:rsidRPr="00DD3934">
        <w:rPr>
          <w:rFonts w:ascii="Times New Roman" w:hAnsi="Times New Roman"/>
          <w:sz w:val="22"/>
          <w:lang w:val="en-GB"/>
        </w:rPr>
        <w:t xml:space="preserve"> MS of </w:t>
      </w:r>
      <w:r w:rsidRPr="00DD3934">
        <w:rPr>
          <w:rFonts w:ascii="Times New Roman" w:hAnsi="Times New Roman" w:cs="Times New Roman"/>
          <w:sz w:val="22"/>
          <w:szCs w:val="24"/>
          <w:lang w:val="en-GB"/>
        </w:rPr>
        <w:t xml:space="preserve">the </w:t>
      </w:r>
      <w:r w:rsidRPr="00DD3934">
        <w:rPr>
          <w:rFonts w:ascii="Times New Roman" w:hAnsi="Times New Roman"/>
          <w:sz w:val="22"/>
          <w:lang w:val="en-GB"/>
        </w:rPr>
        <w:t xml:space="preserve">cell/colony at frame </w:t>
      </w:r>
      <w:r w:rsidRPr="00DD3934">
        <w:rPr>
          <w:rFonts w:ascii="Times New Roman" w:hAnsi="Times New Roman"/>
          <w:i/>
          <w:sz w:val="22"/>
          <w:lang w:val="en-GB"/>
        </w:rPr>
        <w:t>t</w:t>
      </w:r>
      <w:r w:rsidRPr="00DD3934">
        <w:rPr>
          <w:rFonts w:ascii="Times New Roman" w:hAnsi="Times New Roman"/>
          <w:sz w:val="22"/>
          <w:lang w:val="en-GB"/>
        </w:rPr>
        <w:t xml:space="preserve"> </w:t>
      </w:r>
      <w:r w:rsidRPr="00DD3934">
        <w:rPr>
          <w:rFonts w:ascii="Times New Roman" w:hAnsi="Times New Roman" w:cs="Times New Roman"/>
          <w:sz w:val="22"/>
          <w:szCs w:val="24"/>
          <w:lang w:val="en-GB"/>
        </w:rPr>
        <w:t>was</w:t>
      </w:r>
      <w:r w:rsidRPr="00DD3934">
        <w:rPr>
          <w:rFonts w:ascii="Times New Roman" w:hAnsi="Times New Roman"/>
          <w:sz w:val="22"/>
          <w:lang w:val="en-GB"/>
        </w:rPr>
        <w:t xml:space="preserve"> calculated as</w:t>
      </w:r>
    </w:p>
    <w:p w:rsidR="006952F5" w:rsidRPr="00DD3934" w:rsidRDefault="004F59D3" w:rsidP="006952F5">
      <w:pPr>
        <w:spacing w:line="480" w:lineRule="auto"/>
        <w:jc w:val="center"/>
        <w:rPr>
          <w:rFonts w:ascii="Times New Roman" w:hAnsi="Times New Roman"/>
          <w:sz w:val="22"/>
          <w:lang w:val="en-GB"/>
        </w:rPr>
      </w:pPr>
      <m:oMathPara>
        <m:oMath>
          <m:sSub>
            <m:sSubPr>
              <m:ctrlPr>
                <w:rPr>
                  <w:rFonts w:ascii="Cambria Math" w:hAnsi="Cambria Math"/>
                  <w:sz w:val="22"/>
                  <w:lang w:val="en-GB"/>
                </w:rPr>
              </m:ctrlPr>
            </m:sSubPr>
            <m:e>
              <m:r>
                <m:rPr>
                  <m:nor/>
                </m:rPr>
                <w:rPr>
                  <w:rFonts w:ascii="Times New Roman" w:hAnsi="Times New Roman"/>
                  <w:i/>
                  <w:sz w:val="22"/>
                  <w:lang w:val="en-GB"/>
                </w:rPr>
                <m:t>MS</m:t>
              </m:r>
            </m:e>
            <m:sub>
              <m:r>
                <m:rPr>
                  <m:nor/>
                </m:rPr>
                <w:rPr>
                  <w:rFonts w:ascii="Times New Roman" w:hAnsi="Times New Roman"/>
                  <w:i/>
                  <w:sz w:val="22"/>
                  <w:lang w:val="en-GB"/>
                </w:rPr>
                <m:t>t</m:t>
              </m:r>
            </m:sub>
          </m:sSub>
          <m:r>
            <m:rPr>
              <m:nor/>
            </m:rPr>
            <w:rPr>
              <w:rFonts w:ascii="Cambria Math" w:hAnsi="Times New Roman"/>
              <w:sz w:val="22"/>
              <w:lang w:val="en-GB"/>
            </w:rPr>
            <m:t xml:space="preserve"> </m:t>
          </m:r>
          <m:r>
            <m:rPr>
              <m:nor/>
            </m:rPr>
            <w:rPr>
              <w:rFonts w:ascii="Times New Roman" w:hAnsi="Times New Roman"/>
              <w:sz w:val="22"/>
              <w:lang w:val="en-GB"/>
            </w:rPr>
            <m:t>=</m:t>
          </m:r>
          <m:r>
            <m:rPr>
              <m:nor/>
            </m:rPr>
            <w:rPr>
              <w:rFonts w:ascii="Cambria Math" w:hAnsi="Times New Roman"/>
              <w:sz w:val="22"/>
              <w:lang w:val="en-GB"/>
            </w:rPr>
            <m:t xml:space="preserve"> </m:t>
          </m:r>
          <m:f>
            <m:fPr>
              <m:ctrlPr>
                <w:rPr>
                  <w:rFonts w:ascii="Cambria Math" w:hAnsi="Cambria Math"/>
                  <w:i/>
                  <w:sz w:val="22"/>
                  <w:lang w:val="en-GB"/>
                </w:rPr>
              </m:ctrlPr>
            </m:fPr>
            <m:num>
              <m:r>
                <m:rPr>
                  <m:nor/>
                </m:rPr>
                <w:rPr>
                  <w:rFonts w:ascii="Times New Roman" w:hAnsi="Times New Roman"/>
                  <w:sz w:val="22"/>
                  <w:lang w:val="en-GB"/>
                </w:rPr>
                <m:t>1</m:t>
              </m:r>
            </m:num>
            <m:den>
              <m:r>
                <m:rPr>
                  <m:nor/>
                </m:rPr>
                <w:rPr>
                  <w:rFonts w:ascii="Times New Roman" w:hAnsi="Times New Roman"/>
                  <w:i/>
                  <w:sz w:val="22"/>
                  <w:lang w:val="en-GB"/>
                </w:rPr>
                <m:t>N</m:t>
              </m:r>
            </m:den>
          </m:f>
          <m:nary>
            <m:naryPr>
              <m:chr m:val="∑"/>
              <m:limLoc m:val="undOvr"/>
              <m:ctrlPr>
                <w:rPr>
                  <w:rFonts w:ascii="Cambria Math" w:hAnsi="Cambria Math"/>
                  <w:i/>
                  <w:sz w:val="22"/>
                  <w:lang w:val="en-GB"/>
                </w:rPr>
              </m:ctrlPr>
            </m:naryPr>
            <m:sub>
              <m:r>
                <m:rPr>
                  <m:nor/>
                </m:rPr>
                <w:rPr>
                  <w:rFonts w:ascii="Times New Roman" w:hAnsi="Times New Roman"/>
                  <w:b/>
                  <w:sz w:val="22"/>
                  <w:lang w:val="en-GB"/>
                </w:rPr>
                <m:t>r</m:t>
              </m:r>
              <m:r>
                <m:rPr>
                  <m:nor/>
                </m:rPr>
                <w:rPr>
                  <w:rFonts w:ascii="ＭＳ 明朝" w:hAnsi="ＭＳ 明朝"/>
                  <w:sz w:val="22"/>
                  <w:lang w:val="en-GB"/>
                </w:rPr>
                <m:t>∈</m:t>
              </m:r>
              <m:r>
                <m:rPr>
                  <m:nor/>
                </m:rPr>
                <w:rPr>
                  <w:rFonts w:ascii="Times New Roman" w:hAnsi="Times New Roman"/>
                  <w:sz w:val="22"/>
                  <w:lang w:val="en-GB"/>
                </w:rPr>
                <m:t>A</m:t>
              </m:r>
            </m:sub>
            <m:sup>
              <m:r>
                <m:rPr>
                  <m:nor/>
                </m:rPr>
                <w:rPr>
                  <w:rFonts w:ascii="Times New Roman" w:hAnsi="Times New Roman"/>
                  <w:i/>
                  <w:sz w:val="22"/>
                  <w:lang w:val="en-GB"/>
                </w:rPr>
                <m:t>N</m:t>
              </m:r>
            </m:sup>
            <m:e>
              <m:d>
                <m:dPr>
                  <m:begChr m:val="‖"/>
                  <m:endChr m:val="‖"/>
                  <m:ctrlPr>
                    <w:rPr>
                      <w:rFonts w:ascii="Cambria Math" w:hAnsi="Cambria Math"/>
                      <w:i/>
                      <w:sz w:val="22"/>
                      <w:lang w:val="en-GB"/>
                    </w:rPr>
                  </m:ctrlPr>
                </m:dPr>
                <m:e>
                  <m:sSub>
                    <m:sSubPr>
                      <m:ctrlPr>
                        <w:rPr>
                          <w:rFonts w:ascii="Cambria Math" w:hAnsi="Cambria Math"/>
                          <w:i/>
                          <w:sz w:val="22"/>
                          <w:lang w:val="en-GB"/>
                        </w:rPr>
                      </m:ctrlPr>
                    </m:sSubPr>
                    <m:e>
                      <m:r>
                        <m:rPr>
                          <m:nor/>
                        </m:rPr>
                        <w:rPr>
                          <w:rFonts w:ascii="Times New Roman" w:hAnsi="Times New Roman"/>
                          <w:b/>
                          <w:sz w:val="22"/>
                          <w:lang w:val="en-GB"/>
                        </w:rPr>
                        <m:t>v</m:t>
                      </m:r>
                    </m:e>
                    <m:sub>
                      <m:r>
                        <m:rPr>
                          <m:nor/>
                        </m:rPr>
                        <w:rPr>
                          <w:rFonts w:ascii="Times New Roman" w:hAnsi="Times New Roman"/>
                          <w:i/>
                          <w:sz w:val="22"/>
                          <w:lang w:val="en-GB"/>
                        </w:rPr>
                        <m:t>t</m:t>
                      </m:r>
                    </m:sub>
                  </m:sSub>
                  <m:r>
                    <m:rPr>
                      <m:nor/>
                    </m:rPr>
                    <w:rPr>
                      <w:rFonts w:ascii="Times New Roman" w:hAnsi="Times New Roman"/>
                      <w:sz w:val="22"/>
                      <w:lang w:val="en-GB"/>
                    </w:rPr>
                    <m:t>(</m:t>
                  </m:r>
                  <m:r>
                    <m:rPr>
                      <m:nor/>
                    </m:rPr>
                    <w:rPr>
                      <w:rFonts w:ascii="Times New Roman" w:hAnsi="Times New Roman"/>
                      <w:b/>
                      <w:sz w:val="22"/>
                      <w:lang w:val="en-GB"/>
                    </w:rPr>
                    <m:t>r</m:t>
                  </m:r>
                  <m:r>
                    <m:rPr>
                      <m:nor/>
                    </m:rPr>
                    <w:rPr>
                      <w:rFonts w:ascii="Times New Roman" w:hAnsi="Times New Roman"/>
                      <w:sz w:val="22"/>
                      <w:lang w:val="en-GB"/>
                    </w:rPr>
                    <m:t>)</m:t>
                  </m:r>
                </m:e>
              </m:d>
              <m:r>
                <w:rPr>
                  <w:rFonts w:ascii="Cambria Math" w:hAnsi="Cambria Math"/>
                  <w:sz w:val="22"/>
                  <w:lang w:val="en-GB"/>
                </w:rPr>
                <m:t>,</m:t>
              </m:r>
            </m:e>
          </m:nary>
        </m:oMath>
      </m:oMathPara>
    </w:p>
    <w:p w:rsidR="006952F5" w:rsidRPr="00DD3934" w:rsidRDefault="006952F5" w:rsidP="006952F5">
      <w:pPr>
        <w:spacing w:line="480" w:lineRule="auto"/>
        <w:rPr>
          <w:rFonts w:ascii="Times New Roman" w:hAnsi="Times New Roman"/>
          <w:sz w:val="22"/>
          <w:lang w:val="en-GB"/>
        </w:rPr>
      </w:pPr>
      <w:r w:rsidRPr="00DD3934">
        <w:rPr>
          <w:rFonts w:ascii="Times New Roman" w:hAnsi="Times New Roman"/>
          <w:sz w:val="22"/>
          <w:lang w:val="en-GB"/>
        </w:rPr>
        <w:t xml:space="preserve">where </w:t>
      </w:r>
      <w:r w:rsidRPr="00DD3934">
        <w:rPr>
          <w:rFonts w:ascii="Times New Roman" w:hAnsi="Times New Roman"/>
          <w:i/>
          <w:sz w:val="22"/>
          <w:lang w:val="en-GB"/>
        </w:rPr>
        <w:t>MS</w:t>
      </w:r>
      <w:r w:rsidRPr="00DD3934">
        <w:rPr>
          <w:rFonts w:ascii="Times New Roman" w:hAnsi="Times New Roman"/>
          <w:i/>
          <w:sz w:val="22"/>
          <w:vertAlign w:val="subscript"/>
          <w:lang w:val="en-GB"/>
        </w:rPr>
        <w:t>t</w:t>
      </w:r>
      <w:r w:rsidRPr="00DD3934">
        <w:rPr>
          <w:rFonts w:ascii="Times New Roman" w:hAnsi="Times New Roman"/>
          <w:sz w:val="22"/>
          <w:lang w:val="en-GB"/>
        </w:rPr>
        <w:t xml:space="preserve"> is the motion speed (pixel/frame) at frame </w:t>
      </w:r>
      <w:r w:rsidRPr="00DD3934">
        <w:rPr>
          <w:rFonts w:ascii="Times New Roman" w:hAnsi="Times New Roman"/>
          <w:i/>
          <w:sz w:val="22"/>
          <w:lang w:val="en-GB"/>
        </w:rPr>
        <w:t>t</w:t>
      </w:r>
      <w:r w:rsidRPr="00DD3934">
        <w:rPr>
          <w:rFonts w:ascii="Times New Roman" w:hAnsi="Times New Roman"/>
          <w:sz w:val="22"/>
          <w:lang w:val="en-GB"/>
        </w:rPr>
        <w:t xml:space="preserve">, </w:t>
      </w:r>
      <w:r w:rsidRPr="00DD3934">
        <w:rPr>
          <w:rFonts w:ascii="Times New Roman" w:hAnsi="Times New Roman"/>
          <w:b/>
          <w:sz w:val="22"/>
          <w:lang w:val="en-GB"/>
        </w:rPr>
        <w:t>v</w:t>
      </w:r>
      <w:r w:rsidRPr="00DD3934">
        <w:rPr>
          <w:rFonts w:ascii="Times New Roman" w:hAnsi="Times New Roman"/>
          <w:i/>
          <w:sz w:val="22"/>
          <w:vertAlign w:val="subscript"/>
          <w:lang w:val="en-GB"/>
        </w:rPr>
        <w:t>t</w:t>
      </w:r>
      <w:r w:rsidRPr="00DD3934">
        <w:rPr>
          <w:rFonts w:ascii="Times New Roman" w:hAnsi="Times New Roman"/>
          <w:sz w:val="22"/>
          <w:lang w:val="en-GB"/>
        </w:rPr>
        <w:t>(</w:t>
      </w:r>
      <w:r w:rsidRPr="00DD3934">
        <w:rPr>
          <w:rFonts w:ascii="Times New Roman" w:hAnsi="Times New Roman"/>
          <w:b/>
          <w:sz w:val="22"/>
          <w:lang w:val="en-GB"/>
        </w:rPr>
        <w:t>r</w:t>
      </w:r>
      <w:r w:rsidRPr="00DD3934">
        <w:rPr>
          <w:rFonts w:ascii="Times New Roman" w:hAnsi="Times New Roman"/>
          <w:sz w:val="22"/>
          <w:lang w:val="en-GB"/>
        </w:rPr>
        <w:t xml:space="preserve">) is the displacement vector calculated using OF, </w:t>
      </w:r>
      <w:r w:rsidRPr="00DD3934">
        <w:rPr>
          <w:rFonts w:ascii="Times New Roman" w:hAnsi="Times New Roman"/>
          <w:b/>
          <w:sz w:val="22"/>
          <w:lang w:val="en-GB"/>
        </w:rPr>
        <w:t>r</w:t>
      </w:r>
      <w:r w:rsidRPr="00DD3934">
        <w:rPr>
          <w:rFonts w:ascii="Times New Roman" w:hAnsi="Times New Roman"/>
          <w:sz w:val="22"/>
          <w:lang w:val="en-GB"/>
        </w:rPr>
        <w:t xml:space="preserve"> is a position vector, </w:t>
      </w:r>
      <w:r w:rsidRPr="00DD3934">
        <w:rPr>
          <w:rFonts w:ascii="Times New Roman" w:hAnsi="Times New Roman"/>
          <w:i/>
          <w:sz w:val="22"/>
          <w:lang w:val="en-GB"/>
        </w:rPr>
        <w:t>N</w:t>
      </w:r>
      <w:r w:rsidRPr="00DD3934">
        <w:rPr>
          <w:rFonts w:ascii="Times New Roman" w:hAnsi="Times New Roman"/>
          <w:sz w:val="22"/>
          <w:lang w:val="en-GB"/>
        </w:rPr>
        <w:t xml:space="preserve"> is the total number of pixels added and A is the cell area obtained cell segmentation. Finally, the MMS </w:t>
      </w:r>
      <w:r w:rsidRPr="00DD3934">
        <w:rPr>
          <w:rFonts w:ascii="Times New Roman" w:hAnsi="Times New Roman" w:cs="Times New Roman"/>
          <w:sz w:val="22"/>
          <w:szCs w:val="24"/>
          <w:lang w:val="en-GB"/>
        </w:rPr>
        <w:t>was</w:t>
      </w:r>
      <w:r w:rsidRPr="00DD3934">
        <w:rPr>
          <w:rFonts w:ascii="Times New Roman" w:hAnsi="Times New Roman"/>
          <w:sz w:val="22"/>
          <w:lang w:val="en-GB"/>
        </w:rPr>
        <w:t xml:space="preserve"> calculated by averaging the MS in all frames.</w:t>
      </w:r>
    </w:p>
    <w:p w:rsidR="006952F5" w:rsidRPr="00DD3934" w:rsidRDefault="006952F5" w:rsidP="006952F5">
      <w:pPr>
        <w:spacing w:line="480" w:lineRule="auto"/>
        <w:ind w:firstLine="840"/>
        <w:rPr>
          <w:rFonts w:ascii="Times New Roman" w:hAnsi="Times New Roman"/>
          <w:sz w:val="24"/>
          <w:lang w:val="en-GB"/>
        </w:rPr>
      </w:pPr>
      <w:r w:rsidRPr="00DD3934">
        <w:rPr>
          <w:rFonts w:ascii="Times New Roman" w:hAnsi="Times New Roman"/>
          <w:sz w:val="22"/>
          <w:lang w:val="en-GB"/>
        </w:rPr>
        <w:t>To convert the number of pixels into the distance that the target cells have moved, we used Image J (National Institutes of Health, Bethesda, MD, USA, http://imagej.nih.gov/ij/). The 100</w:t>
      </w:r>
      <w:r w:rsidRPr="00DD3934">
        <w:rPr>
          <w:rFonts w:ascii="Times New Roman" w:hAnsi="Times New Roman" w:cs="Times New Roman"/>
          <w:sz w:val="22"/>
          <w:szCs w:val="24"/>
          <w:lang w:val="en-GB"/>
        </w:rPr>
        <w:t> </w:t>
      </w:r>
      <w:r w:rsidRPr="00DD3934">
        <w:rPr>
          <w:rFonts w:ascii="Times New Roman" w:hAnsi="Times New Roman"/>
          <w:sz w:val="22"/>
          <w:lang w:val="en-GB"/>
        </w:rPr>
        <w:t xml:space="preserve">μm scale bar on the movie was determined to be 53.3333 pixels, </w:t>
      </w:r>
      <w:r w:rsidRPr="00DD3934">
        <w:rPr>
          <w:rFonts w:ascii="Times New Roman" w:hAnsi="Times New Roman" w:cs="Times New Roman"/>
          <w:sz w:val="22"/>
          <w:szCs w:val="24"/>
          <w:lang w:val="en-GB"/>
        </w:rPr>
        <w:t>which resulted</w:t>
      </w:r>
      <w:r w:rsidRPr="00DD3934">
        <w:rPr>
          <w:rFonts w:ascii="Times New Roman" w:hAnsi="Times New Roman"/>
          <w:sz w:val="22"/>
          <w:lang w:val="en-GB"/>
        </w:rPr>
        <w:t xml:space="preserve"> in 1.875 μm/pixel in these images. Since the interval time of each time-lapse movie is 8 min, the resulting MS in μm/h was calculated by multiplying the coefficient of 14.06 by the mean speed (pixel</w:t>
      </w:r>
      <w:r w:rsidRPr="00DD3934">
        <w:rPr>
          <w:rFonts w:ascii="Times New Roman" w:hAnsi="Times New Roman" w:cs="Times New Roman"/>
          <w:sz w:val="22"/>
          <w:szCs w:val="24"/>
          <w:lang w:val="en-GB"/>
        </w:rPr>
        <w:t>/</w:t>
      </w:r>
      <w:r w:rsidRPr="00DD3934">
        <w:rPr>
          <w:rFonts w:ascii="Times New Roman" w:hAnsi="Times New Roman"/>
          <w:sz w:val="22"/>
          <w:lang w:val="en-GB"/>
        </w:rPr>
        <w:t xml:space="preserve">frame) at frame </w:t>
      </w:r>
      <w:r w:rsidRPr="00DD3934">
        <w:rPr>
          <w:rFonts w:ascii="Times New Roman" w:hAnsi="Times New Roman"/>
          <w:i/>
          <w:sz w:val="22"/>
          <w:lang w:val="en-GB"/>
        </w:rPr>
        <w:t>t</w:t>
      </w:r>
      <w:r w:rsidRPr="00DD3934">
        <w:rPr>
          <w:rFonts w:ascii="Times New Roman" w:hAnsi="Times New Roman"/>
          <w:sz w:val="22"/>
          <w:lang w:val="en-GB"/>
        </w:rPr>
        <w:t>, which is equal to 1.875 multiplied by 7.5.</w:t>
      </w:r>
      <w:r w:rsidRPr="00DD3934">
        <w:rPr>
          <w:rFonts w:ascii="Times New Roman" w:hAnsi="Times New Roman"/>
          <w:sz w:val="24"/>
          <w:lang w:val="en-GB"/>
        </w:rPr>
        <w:t xml:space="preserve"> </w:t>
      </w:r>
    </w:p>
    <w:p w:rsidR="006952F5" w:rsidRPr="00DD3934" w:rsidRDefault="006952F5" w:rsidP="006952F5">
      <w:pPr>
        <w:spacing w:line="480" w:lineRule="auto"/>
        <w:ind w:firstLine="840"/>
        <w:rPr>
          <w:rFonts w:ascii="Times New Roman" w:hAnsi="Times New Roman"/>
          <w:sz w:val="24"/>
          <w:lang w:val="en-GB"/>
        </w:rPr>
      </w:pPr>
    </w:p>
    <w:p w:rsidR="006952F5" w:rsidRPr="00DD3934" w:rsidRDefault="006952F5" w:rsidP="006952F5">
      <w:pPr>
        <w:spacing w:line="480" w:lineRule="auto"/>
        <w:rPr>
          <w:rFonts w:ascii="Times New Roman" w:hAnsi="Times New Roman"/>
          <w:b/>
          <w:i/>
          <w:sz w:val="36"/>
          <w:szCs w:val="36"/>
          <w:lang w:val="en-GB"/>
        </w:rPr>
      </w:pPr>
      <w:r w:rsidRPr="00DD3934">
        <w:rPr>
          <w:rFonts w:ascii="Times New Roman" w:hAnsi="Times New Roman" w:hint="eastAsia"/>
          <w:b/>
          <w:i/>
          <w:sz w:val="36"/>
          <w:szCs w:val="36"/>
          <w:lang w:val="en-GB"/>
        </w:rPr>
        <w:t xml:space="preserve">The </w:t>
      </w:r>
      <w:r w:rsidRPr="00DD3934">
        <w:rPr>
          <w:rFonts w:ascii="Times New Roman" w:hAnsi="Times New Roman"/>
          <w:b/>
          <w:i/>
          <w:sz w:val="36"/>
          <w:szCs w:val="36"/>
          <w:lang w:val="en-GB"/>
        </w:rPr>
        <w:t>formula of PDT calculation:</w:t>
      </w:r>
    </w:p>
    <w:p w:rsidR="006952F5" w:rsidRPr="00DD3934" w:rsidRDefault="006952F5" w:rsidP="006952F5">
      <w:pPr>
        <w:spacing w:line="480" w:lineRule="auto"/>
        <w:ind w:firstLine="840"/>
        <w:rPr>
          <w:rFonts w:ascii="Times New Roman" w:hAnsi="Times New Roman"/>
          <w:sz w:val="24"/>
          <w:vertAlign w:val="superscript"/>
          <w:lang w:val="en-GB"/>
        </w:rPr>
      </w:pPr>
      <w:r w:rsidRPr="00DD3934">
        <w:rPr>
          <w:rFonts w:ascii="Times New Roman" w:hAnsi="Times New Roman"/>
          <w:sz w:val="24"/>
          <w:lang w:val="en-GB"/>
        </w:rPr>
        <w:t xml:space="preserve"> PDs = [log (N/N</w:t>
      </w:r>
      <w:r w:rsidRPr="00DD3934">
        <w:rPr>
          <w:rFonts w:ascii="Times New Roman" w:hAnsi="Times New Roman"/>
          <w:sz w:val="24"/>
          <w:vertAlign w:val="subscript"/>
          <w:lang w:val="en-GB"/>
        </w:rPr>
        <w:t>0</w:t>
      </w:r>
      <w:r w:rsidRPr="00DD3934">
        <w:rPr>
          <w:rFonts w:ascii="Times New Roman" w:hAnsi="Times New Roman"/>
          <w:sz w:val="24"/>
          <w:lang w:val="en-GB"/>
        </w:rPr>
        <w:t>)] [log 2]</w:t>
      </w:r>
      <w:r w:rsidRPr="00DD3934">
        <w:rPr>
          <w:rFonts w:ascii="Times New Roman" w:hAnsi="Times New Roman"/>
          <w:sz w:val="24"/>
          <w:vertAlign w:val="superscript"/>
          <w:lang w:val="en-GB"/>
        </w:rPr>
        <w:t>−1</w:t>
      </w:r>
      <w:r w:rsidRPr="00DD3934">
        <w:rPr>
          <w:rFonts w:ascii="Times New Roman" w:hAnsi="Times New Roman"/>
          <w:sz w:val="24"/>
          <w:lang w:val="en-GB"/>
        </w:rPr>
        <w:t>, PDT = I/PD</w:t>
      </w:r>
      <w:r w:rsidRPr="00DD3934">
        <w:rPr>
          <w:rFonts w:ascii="Times New Roman" w:hAnsi="Times New Roman" w:hint="eastAsia"/>
          <w:sz w:val="24"/>
          <w:lang w:val="en-GB"/>
        </w:rPr>
        <w:t>;</w:t>
      </w:r>
      <w:r w:rsidRPr="00DD3934">
        <w:rPr>
          <w:rFonts w:ascii="Times New Roman" w:hAnsi="Times New Roman"/>
          <w:sz w:val="24"/>
          <w:lang w:val="en-GB"/>
        </w:rPr>
        <w:t xml:space="preserve"> where N = number of cells collected, N</w:t>
      </w:r>
      <w:r w:rsidRPr="00DD3934">
        <w:rPr>
          <w:rFonts w:ascii="Times New Roman" w:hAnsi="Times New Roman"/>
          <w:sz w:val="24"/>
          <w:vertAlign w:val="subscript"/>
          <w:lang w:val="en-GB"/>
        </w:rPr>
        <w:t>0</w:t>
      </w:r>
      <w:r w:rsidRPr="00DD3934">
        <w:rPr>
          <w:rFonts w:ascii="Times New Roman" w:hAnsi="Times New Roman"/>
          <w:sz w:val="24"/>
          <w:lang w:val="en-GB"/>
        </w:rPr>
        <w:t xml:space="preserve"> = 7.5 × 10</w:t>
      </w:r>
      <w:r w:rsidRPr="00DD3934">
        <w:rPr>
          <w:rFonts w:ascii="Times New Roman" w:hAnsi="Times New Roman"/>
          <w:sz w:val="24"/>
          <w:vertAlign w:val="superscript"/>
          <w:lang w:val="en-GB"/>
        </w:rPr>
        <w:t>4</w:t>
      </w:r>
      <w:r w:rsidRPr="00DD3934">
        <w:rPr>
          <w:rFonts w:ascii="Times New Roman" w:hAnsi="Times New Roman"/>
          <w:sz w:val="24"/>
          <w:lang w:val="en-GB"/>
        </w:rPr>
        <w:t>, and I = days of culturing p1 cells.</w:t>
      </w:r>
      <w:r w:rsidRPr="00DD3934">
        <w:rPr>
          <w:rFonts w:ascii="Times New Roman" w:hAnsi="Times New Roman"/>
          <w:sz w:val="24"/>
          <w:vertAlign w:val="superscript"/>
          <w:lang w:val="en-GB"/>
        </w:rPr>
        <w:t>35</w:t>
      </w:r>
    </w:p>
    <w:p w:rsidR="006952F5" w:rsidRPr="00DD3934" w:rsidRDefault="006952F5" w:rsidP="006952F5">
      <w:pPr>
        <w:spacing w:line="480" w:lineRule="auto"/>
        <w:rPr>
          <w:rFonts w:ascii="Times New Roman" w:hAnsi="Times New Roman"/>
          <w:b/>
          <w:sz w:val="36"/>
          <w:lang w:val="en-GB"/>
        </w:rPr>
      </w:pPr>
    </w:p>
    <w:p w:rsidR="006952F5" w:rsidRPr="00DD3934" w:rsidRDefault="006952F5" w:rsidP="006952F5">
      <w:pPr>
        <w:spacing w:line="480" w:lineRule="auto"/>
        <w:rPr>
          <w:rFonts w:ascii="Times New Roman" w:hAnsi="Times New Roman"/>
          <w:b/>
          <w:i/>
          <w:sz w:val="36"/>
          <w:lang w:val="en-GB"/>
        </w:rPr>
      </w:pPr>
      <w:r w:rsidRPr="00DD3934">
        <w:rPr>
          <w:rFonts w:ascii="Times New Roman" w:hAnsi="Times New Roman"/>
          <w:b/>
          <w:i/>
          <w:sz w:val="36"/>
          <w:lang w:val="en-GB"/>
        </w:rPr>
        <w:lastRenderedPageBreak/>
        <w:t>Manufacturing of an ex vivo produced oral mucosa equivalent (EVPOME)</w:t>
      </w:r>
    </w:p>
    <w:p w:rsidR="006952F5" w:rsidRPr="00DD3934" w:rsidRDefault="006952F5" w:rsidP="006952F5">
      <w:pPr>
        <w:spacing w:line="480" w:lineRule="auto"/>
        <w:rPr>
          <w:rFonts w:ascii="Times New Roman" w:hAnsi="Times New Roman"/>
          <w:sz w:val="24"/>
          <w:szCs w:val="24"/>
          <w:lang w:val="en-GB"/>
        </w:rPr>
      </w:pPr>
      <w:r w:rsidRPr="00DD3934">
        <w:rPr>
          <w:rFonts w:ascii="Times New Roman" w:hAnsi="Times New Roman"/>
          <w:sz w:val="24"/>
          <w:szCs w:val="24"/>
          <w:lang w:val="en-GB"/>
        </w:rPr>
        <w:t>To further investigate and compare the regenerative capacity of p1 cells correlated with a cell/colony motion index, EVPOMEs were manufactured by seeding p1 oral keratinocytes receiving metabolic challenge onto AlloDerm</w:t>
      </w:r>
      <w:r w:rsidRPr="00DD3934">
        <w:rPr>
          <w:rFonts w:ascii="Times New Roman" w:hAnsi="Times New Roman"/>
          <w:sz w:val="24"/>
          <w:szCs w:val="24"/>
          <w:vertAlign w:val="superscript"/>
          <w:lang w:val="en-GB"/>
        </w:rPr>
        <w:t>®</w:t>
      </w:r>
      <w:r w:rsidRPr="00DD3934">
        <w:rPr>
          <w:rFonts w:ascii="Times New Roman" w:hAnsi="Times New Roman"/>
          <w:sz w:val="24"/>
          <w:szCs w:val="24"/>
          <w:lang w:val="en-GB"/>
        </w:rPr>
        <w:t xml:space="preserve"> (Allergan, Madison, NJ, USA) according to the method described in our previous studies.10,36 The 2.0 × 105 cells cultured under either standard or four different metabolic challenge protocols collected for the cell count were seeded onto AlloDerm</w:t>
      </w:r>
      <w:r w:rsidRPr="00DD3934">
        <w:rPr>
          <w:rFonts w:ascii="Times New Roman" w:hAnsi="Times New Roman"/>
          <w:sz w:val="24"/>
          <w:szCs w:val="24"/>
          <w:vertAlign w:val="superscript"/>
          <w:lang w:val="en-GB"/>
        </w:rPr>
        <w:t>®</w:t>
      </w:r>
      <w:r w:rsidRPr="00DD3934">
        <w:rPr>
          <w:rFonts w:ascii="Times New Roman" w:hAnsi="Times New Roman"/>
          <w:sz w:val="24"/>
          <w:szCs w:val="24"/>
          <w:lang w:val="en-GB"/>
        </w:rPr>
        <w:t>. To secure random sampling, cells were alternately subject to seeding onto the scaffold (n = 8) among 16 cells cultured under the metabolic challenge protocol. Briefly, after pre-soaking the AlloDerm</w:t>
      </w:r>
      <w:r w:rsidRPr="00DD3934">
        <w:rPr>
          <w:rFonts w:ascii="Times New Roman" w:hAnsi="Times New Roman"/>
          <w:sz w:val="24"/>
          <w:szCs w:val="24"/>
          <w:vertAlign w:val="superscript"/>
          <w:lang w:val="en-GB"/>
        </w:rPr>
        <w:t>®</w:t>
      </w:r>
      <w:r w:rsidRPr="00DD3934">
        <w:rPr>
          <w:rFonts w:ascii="Times New Roman" w:hAnsi="Times New Roman"/>
          <w:sz w:val="24"/>
          <w:szCs w:val="24"/>
          <w:lang w:val="en-GB"/>
        </w:rPr>
        <w:t xml:space="preserve"> with a type IV collagen solution (5 μg/cm2) (Sigma-Aldrich, St. Louis, MO, USA) in a well of 48 microwell plate (Corning Inc., Corning, NY, USA) overnight at 4°C, cells were seeded onto AlloDerm®. The composites were cultured in the complete EpiLife® medium supplemented with 1.2 mM Ca++ for four days in a submerged condition and then raised to an air–liquid interface with the same culture medium for another 7 days. No metabolic challenges were performed during EVPOME manufacturing.</w:t>
      </w:r>
    </w:p>
    <w:p w:rsidR="006952F5" w:rsidRPr="00DD3934" w:rsidRDefault="006952F5" w:rsidP="006952F5">
      <w:pPr>
        <w:spacing w:line="480" w:lineRule="auto"/>
        <w:rPr>
          <w:rFonts w:ascii="Times New Roman" w:hAnsi="Times New Roman"/>
          <w:sz w:val="24"/>
          <w:szCs w:val="24"/>
          <w:lang w:val="en-GB"/>
        </w:rPr>
      </w:pPr>
    </w:p>
    <w:p w:rsidR="006952F5" w:rsidRPr="00DD3934" w:rsidRDefault="006952F5" w:rsidP="006952F5">
      <w:pPr>
        <w:spacing w:line="480" w:lineRule="auto"/>
        <w:rPr>
          <w:rFonts w:ascii="Times New Roman" w:hAnsi="Times New Roman"/>
          <w:b/>
          <w:i/>
          <w:sz w:val="36"/>
          <w:szCs w:val="36"/>
          <w:lang w:val="en-GB"/>
        </w:rPr>
      </w:pPr>
      <w:r w:rsidRPr="00DD3934">
        <w:rPr>
          <w:rFonts w:ascii="Times New Roman" w:hAnsi="Times New Roman"/>
          <w:b/>
          <w:i/>
          <w:sz w:val="36"/>
          <w:szCs w:val="36"/>
          <w:lang w:val="en-GB"/>
        </w:rPr>
        <w:lastRenderedPageBreak/>
        <w:t>Histologic and immunohistochemical examination of EVPOMEs</w:t>
      </w:r>
    </w:p>
    <w:p w:rsidR="006952F5" w:rsidRPr="00DD3934" w:rsidRDefault="006952F5" w:rsidP="006952F5">
      <w:pPr>
        <w:spacing w:line="480" w:lineRule="auto"/>
        <w:rPr>
          <w:rFonts w:ascii="Times New Roman" w:hAnsi="Times New Roman"/>
          <w:sz w:val="24"/>
          <w:szCs w:val="24"/>
          <w:lang w:val="en-GB"/>
        </w:rPr>
      </w:pPr>
      <w:r w:rsidRPr="00DD3934">
        <w:rPr>
          <w:rFonts w:ascii="Times New Roman" w:hAnsi="Times New Roman"/>
          <w:sz w:val="24"/>
          <w:szCs w:val="24"/>
          <w:lang w:val="en-GB"/>
        </w:rPr>
        <w:t>A total of 40 EVPOMEs (obtained from eight individuals) were fixed with 4% paraformaldehyde in 100 mM D-PBS and embedded in paraffin. The paraffin-embedded samples were deparaffinised, rehydrated, cut into 5-μm thick sections and stained with haematoxylin and eosin for histologic examination. The sections were also prepared for immunohistochemical examination of Ki-67. The sections were deparaffinised in xylene and rehydrated in ethanol. Endogenous peroxidase was blocked with 0.3% hydrogen peroxide in methanol for 30 min. Antigen retrieval was achieved by an autoclave using 10 mM citric sodium buffer (pH 6.0) at 121°C for 10 min. After incubation with 5% milk protein in tris-buffered saline (TBS) for 30 min, sections were incubated with anti-mouse Ki-67 antibody (M7240) (Dako, Carpinteria, CA, USA) at a concentration of 1:100 at 4°C overnight. After washing with TBS, the sections were reacted with EnVision FLEX Plus (Dako) at room temperature for 1 h. The immunoreactions were then visualised with 3,3ʹdiaminobenzidine (Dojindo Co. Ltd., Kumamoto, Japan), and the sections were counterstained with haematoxylin.</w:t>
      </w:r>
    </w:p>
    <w:p w:rsidR="006952F5" w:rsidRPr="00DD3934" w:rsidRDefault="006952F5" w:rsidP="006952F5">
      <w:pPr>
        <w:spacing w:line="480" w:lineRule="auto"/>
        <w:rPr>
          <w:rFonts w:ascii="Times New Roman" w:hAnsi="Times New Roman"/>
          <w:sz w:val="24"/>
          <w:szCs w:val="24"/>
          <w:lang w:val="en-GB"/>
        </w:rPr>
      </w:pPr>
    </w:p>
    <w:p w:rsidR="006952F5" w:rsidRPr="00DD3934" w:rsidRDefault="006952F5" w:rsidP="006952F5">
      <w:pPr>
        <w:spacing w:line="480" w:lineRule="auto"/>
        <w:rPr>
          <w:rFonts w:ascii="Times New Roman" w:hAnsi="Times New Roman"/>
          <w:b/>
          <w:i/>
          <w:sz w:val="36"/>
          <w:szCs w:val="36"/>
          <w:lang w:val="en-GB"/>
        </w:rPr>
      </w:pPr>
      <w:r w:rsidRPr="00DD3934">
        <w:rPr>
          <w:rFonts w:ascii="Times New Roman" w:hAnsi="Times New Roman"/>
          <w:b/>
          <w:i/>
          <w:sz w:val="36"/>
          <w:szCs w:val="36"/>
          <w:lang w:val="en-GB"/>
        </w:rPr>
        <w:lastRenderedPageBreak/>
        <w:t>Evaluation of the proliferative activity of challenged oral keratinocytes in EVPOME</w:t>
      </w:r>
    </w:p>
    <w:p w:rsidR="006952F5" w:rsidRPr="00DD3934" w:rsidRDefault="006952F5" w:rsidP="006952F5">
      <w:pPr>
        <w:spacing w:line="480" w:lineRule="auto"/>
        <w:rPr>
          <w:rFonts w:ascii="Times New Roman" w:hAnsi="Times New Roman"/>
          <w:sz w:val="24"/>
          <w:szCs w:val="24"/>
          <w:lang w:val="en-GB"/>
        </w:rPr>
      </w:pPr>
      <w:r w:rsidRPr="00DD3934">
        <w:rPr>
          <w:rFonts w:ascii="Times New Roman" w:hAnsi="Times New Roman"/>
          <w:sz w:val="24"/>
          <w:szCs w:val="24"/>
          <w:lang w:val="en-GB"/>
        </w:rPr>
        <w:t>To quantify the proliferative activity of p1 oral keratinocytes in EVPOMEs that had received metabolic challenges when cultured in a 2D monolayer, the ratio of Ki-67 positive cell as a proliferative index (PI) was calculated as described previously with modifications.</w:t>
      </w:r>
      <w:r w:rsidRPr="00C51F88">
        <w:rPr>
          <w:rFonts w:ascii="Times New Roman" w:hAnsi="Times New Roman"/>
          <w:b/>
          <w:i/>
          <w:sz w:val="24"/>
          <w:szCs w:val="24"/>
          <w:vertAlign w:val="superscript"/>
          <w:lang w:val="en-GB"/>
        </w:rPr>
        <w:t>1</w:t>
      </w:r>
      <w:r w:rsidRPr="00DD3934">
        <w:rPr>
          <w:rFonts w:ascii="Times New Roman" w:hAnsi="Times New Roman"/>
          <w:sz w:val="24"/>
          <w:szCs w:val="24"/>
          <w:lang w:val="en-GB"/>
        </w:rPr>
        <w:t xml:space="preserve"> First, five fields of the EVPOME specimens were randomly selected. Under the microscope (Keyence, Osaka, Japan) using a 10× PlanFluor NA0.30 PhL objective lens, the total numbers of basal keratinocytes and Ki-67-immunopositive basal keratinocytes were counted. The Ki-67 positive ratio (PR) was calculated by dividing the number of Ki-67-immunopositive cells by the total number of basal layer cells on each specimen, and the mean of the five specimens was represented as the PR of each EVPOME. The PI of the p1 oral keratinocytes was calculated by dividing the PR of each of the four different metabolic challenge protocols by the PR of the standard protocol.</w:t>
      </w:r>
    </w:p>
    <w:p w:rsidR="006952F5" w:rsidRPr="00DD3934" w:rsidRDefault="006952F5" w:rsidP="006952F5">
      <w:pPr>
        <w:rPr>
          <w:rFonts w:ascii="Times New Roman" w:hAnsi="Times New Roman"/>
          <w:b/>
          <w:sz w:val="36"/>
          <w:lang w:val="en-GB"/>
        </w:rPr>
      </w:pPr>
    </w:p>
    <w:p w:rsidR="006952F5" w:rsidRPr="00DD3934" w:rsidRDefault="006952F5" w:rsidP="006952F5">
      <w:pPr>
        <w:rPr>
          <w:rFonts w:ascii="Times New Roman" w:hAnsi="Times New Roman"/>
          <w:b/>
          <w:sz w:val="36"/>
          <w:lang w:val="en-GB"/>
        </w:rPr>
      </w:pPr>
    </w:p>
    <w:p w:rsidR="006952F5" w:rsidRPr="00DD3934" w:rsidRDefault="006952F5" w:rsidP="006952F5">
      <w:pPr>
        <w:rPr>
          <w:rFonts w:ascii="Times New Roman" w:hAnsi="Times New Roman"/>
          <w:b/>
          <w:sz w:val="36"/>
          <w:lang w:val="en-GB"/>
        </w:rPr>
      </w:pPr>
    </w:p>
    <w:p w:rsidR="006952F5" w:rsidRPr="00DD3934" w:rsidRDefault="006952F5" w:rsidP="006952F5">
      <w:pPr>
        <w:rPr>
          <w:rFonts w:ascii="Times New Roman" w:hAnsi="Times New Roman"/>
          <w:b/>
          <w:sz w:val="36"/>
          <w:lang w:val="en-GB"/>
        </w:rPr>
      </w:pPr>
    </w:p>
    <w:p w:rsidR="006952F5" w:rsidRPr="00DD3934" w:rsidRDefault="006952F5" w:rsidP="006952F5">
      <w:pPr>
        <w:spacing w:line="480" w:lineRule="auto"/>
        <w:rPr>
          <w:rFonts w:ascii="Times New Roman" w:hAnsi="Times New Roman"/>
          <w:b/>
          <w:sz w:val="36"/>
          <w:lang w:val="en-GB"/>
        </w:rPr>
      </w:pPr>
      <w:r w:rsidRPr="00DD3934">
        <w:rPr>
          <w:rFonts w:ascii="Times New Roman" w:hAnsi="Times New Roman" w:hint="eastAsia"/>
          <w:b/>
          <w:sz w:val="36"/>
          <w:lang w:val="en-GB"/>
        </w:rPr>
        <w:lastRenderedPageBreak/>
        <w:t>Supplementary</w:t>
      </w:r>
      <w:r w:rsidRPr="00DD3934">
        <w:rPr>
          <w:rFonts w:ascii="Times New Roman" w:hAnsi="Times New Roman" w:hint="eastAsia"/>
          <w:b/>
          <w:sz w:val="36"/>
          <w:lang w:val="en-GB"/>
        </w:rPr>
        <w:t xml:space="preserve">　</w:t>
      </w:r>
      <w:r w:rsidRPr="00DD3934">
        <w:rPr>
          <w:rFonts w:ascii="Times New Roman" w:hAnsi="Times New Roman" w:hint="eastAsia"/>
          <w:b/>
          <w:sz w:val="36"/>
          <w:lang w:val="en-GB"/>
        </w:rPr>
        <w:t>Reference</w:t>
      </w:r>
    </w:p>
    <w:p w:rsidR="00881EC8" w:rsidRDefault="006952F5" w:rsidP="006952F5">
      <w:pPr>
        <w:pStyle w:val="a4"/>
        <w:numPr>
          <w:ilvl w:val="0"/>
          <w:numId w:val="1"/>
        </w:numPr>
        <w:spacing w:line="480" w:lineRule="auto"/>
        <w:ind w:leftChars="0"/>
      </w:pPr>
      <w:r w:rsidRPr="006952F5">
        <w:rPr>
          <w:rFonts w:ascii="Times New Roman" w:hAnsi="Times New Roman" w:cs="Times New Roman"/>
          <w:sz w:val="22"/>
        </w:rPr>
        <w:t xml:space="preserve">Tobita, T., Izumi, K. &amp; Feinberg, S. E. Development of an in vitro model for radiation-induced effects on oral keratinocytes. </w:t>
      </w:r>
      <w:r w:rsidRPr="006952F5">
        <w:rPr>
          <w:rFonts w:ascii="Times New Roman" w:hAnsi="Times New Roman" w:cs="Times New Roman"/>
          <w:i/>
          <w:iCs/>
          <w:sz w:val="22"/>
        </w:rPr>
        <w:t>International Journal of Oral and Maxillofacial Surgery</w:t>
      </w:r>
      <w:r w:rsidRPr="006952F5">
        <w:rPr>
          <w:rFonts w:ascii="Times New Roman" w:hAnsi="Times New Roman" w:cs="Times New Roman"/>
          <w:sz w:val="22"/>
        </w:rPr>
        <w:t xml:space="preserve"> </w:t>
      </w:r>
      <w:r w:rsidRPr="006952F5">
        <w:rPr>
          <w:rFonts w:ascii="Times New Roman" w:hAnsi="Times New Roman" w:cs="Times New Roman"/>
          <w:b/>
          <w:bCs/>
          <w:sz w:val="22"/>
        </w:rPr>
        <w:t>39</w:t>
      </w:r>
      <w:r w:rsidRPr="006952F5">
        <w:rPr>
          <w:rFonts w:ascii="Times New Roman" w:hAnsi="Times New Roman" w:cs="Times New Roman"/>
          <w:sz w:val="22"/>
        </w:rPr>
        <w:t>, 364–370</w:t>
      </w:r>
      <w:r>
        <w:rPr>
          <w:rFonts w:ascii="Times New Roman" w:hAnsi="Times New Roman" w:cs="Times New Roman" w:hint="eastAsia"/>
          <w:sz w:val="22"/>
        </w:rPr>
        <w:t xml:space="preserve">; </w:t>
      </w:r>
      <w:r w:rsidRPr="006952F5">
        <w:rPr>
          <w:rFonts w:ascii="Times New Roman" w:hAnsi="Times New Roman" w:cs="Times New Roman"/>
          <w:sz w:val="22"/>
        </w:rPr>
        <w:t>10.1016/j.ijom.2009.12.020 (2010).</w:t>
      </w:r>
      <w:r>
        <w:t xml:space="preserve"> </w:t>
      </w:r>
    </w:p>
    <w:sectPr w:rsidR="00881EC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F59D3" w:rsidRDefault="004F59D3" w:rsidP="0048038C">
      <w:r>
        <w:separator/>
      </w:r>
    </w:p>
  </w:endnote>
  <w:endnote w:type="continuationSeparator" w:id="0">
    <w:p w:rsidR="004F59D3" w:rsidRDefault="004F59D3" w:rsidP="004803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dvTT08640291">
    <w:altName w:val="ＭＳ ゴシック"/>
    <w:panose1 w:val="00000000000000000000"/>
    <w:charset w:val="80"/>
    <w:family w:val="auto"/>
    <w:notTrueType/>
    <w:pitch w:val="default"/>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F59D3" w:rsidRDefault="004F59D3" w:rsidP="0048038C">
      <w:r>
        <w:separator/>
      </w:r>
    </w:p>
  </w:footnote>
  <w:footnote w:type="continuationSeparator" w:id="0">
    <w:p w:rsidR="004F59D3" w:rsidRDefault="004F59D3" w:rsidP="0048038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FB2F6D"/>
    <w:multiLevelType w:val="hybridMultilevel"/>
    <w:tmpl w:val="4B80BC02"/>
    <w:lvl w:ilvl="0" w:tplc="2E8AC65E">
      <w:start w:val="1"/>
      <w:numFmt w:val="decimal"/>
      <w:lvlText w:val="%1."/>
      <w:lvlJc w:val="left"/>
      <w:pPr>
        <w:ind w:left="420" w:hanging="420"/>
      </w:pPr>
      <w:rPr>
        <w:b/>
        <w: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2F5"/>
    <w:rsid w:val="00362D37"/>
    <w:rsid w:val="0048038C"/>
    <w:rsid w:val="004F59D3"/>
    <w:rsid w:val="00634AA4"/>
    <w:rsid w:val="006952F5"/>
    <w:rsid w:val="00861F89"/>
    <w:rsid w:val="00881E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86217547-BBB7-4C23-9436-31D8EAB34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52F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952F5"/>
    <w:rPr>
      <w:color w:val="0563C1" w:themeColor="hyperlink"/>
      <w:u w:val="single"/>
    </w:rPr>
  </w:style>
  <w:style w:type="paragraph" w:styleId="a4">
    <w:name w:val="List Paragraph"/>
    <w:basedOn w:val="a"/>
    <w:uiPriority w:val="34"/>
    <w:qFormat/>
    <w:rsid w:val="006952F5"/>
    <w:pPr>
      <w:ind w:leftChars="400" w:left="840"/>
    </w:pPr>
  </w:style>
  <w:style w:type="paragraph" w:styleId="a5">
    <w:name w:val="header"/>
    <w:basedOn w:val="a"/>
    <w:link w:val="a6"/>
    <w:uiPriority w:val="99"/>
    <w:unhideWhenUsed/>
    <w:rsid w:val="0048038C"/>
    <w:pPr>
      <w:tabs>
        <w:tab w:val="center" w:pos="4252"/>
        <w:tab w:val="right" w:pos="8504"/>
      </w:tabs>
      <w:snapToGrid w:val="0"/>
    </w:pPr>
  </w:style>
  <w:style w:type="character" w:customStyle="1" w:styleId="a6">
    <w:name w:val="ヘッダー (文字)"/>
    <w:basedOn w:val="a0"/>
    <w:link w:val="a5"/>
    <w:uiPriority w:val="99"/>
    <w:rsid w:val="0048038C"/>
  </w:style>
  <w:style w:type="paragraph" w:styleId="a7">
    <w:name w:val="footer"/>
    <w:basedOn w:val="a"/>
    <w:link w:val="a8"/>
    <w:uiPriority w:val="99"/>
    <w:unhideWhenUsed/>
    <w:rsid w:val="0048038C"/>
    <w:pPr>
      <w:tabs>
        <w:tab w:val="center" w:pos="4252"/>
        <w:tab w:val="right" w:pos="8504"/>
      </w:tabs>
      <w:snapToGrid w:val="0"/>
    </w:pPr>
  </w:style>
  <w:style w:type="character" w:customStyle="1" w:styleId="a8">
    <w:name w:val="フッター (文字)"/>
    <w:basedOn w:val="a0"/>
    <w:link w:val="a7"/>
    <w:uiPriority w:val="99"/>
    <w:rsid w:val="004803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zumik@dent.niigata-u.ac.j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1255</Words>
  <Characters>7154</Characters>
  <Application>Microsoft Office Word</Application>
  <DocSecurity>0</DocSecurity>
  <Lines>59</Lines>
  <Paragraphs>16</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8393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大学院生</dc:creator>
  <cp:keywords/>
  <dc:description/>
  <cp:lastModifiedBy>大学院生</cp:lastModifiedBy>
  <cp:revision>2</cp:revision>
  <dcterms:created xsi:type="dcterms:W3CDTF">2021-02-17T08:29:00Z</dcterms:created>
  <dcterms:modified xsi:type="dcterms:W3CDTF">2021-02-17T08:29:00Z</dcterms:modified>
</cp:coreProperties>
</file>