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Calibri" w:eastAsia="Calibri" w:hAnsi="Calibri" w:cs="Times New Roman"/>
        </w:rPr>
        <w:id w:val="-1163457742"/>
        <w:bibliography/>
      </w:sdtPr>
      <w:sdtContent>
        <w:p w:rsidR="002B1CEB" w:rsidRPr="003A436C" w:rsidRDefault="002B1CEB" w:rsidP="002B1CEB">
          <w:pPr>
            <w:widowControl w:val="0"/>
            <w:autoSpaceDE w:val="0"/>
            <w:autoSpaceDN w:val="0"/>
            <w:adjustRightInd w:val="0"/>
            <w:spacing w:line="240" w:lineRule="auto"/>
            <w:rPr>
              <w:rFonts w:eastAsia="Calibri" w:cs="TimesNewRomanPSMT"/>
              <w:sz w:val="16"/>
              <w:szCs w:val="16"/>
              <w:lang w:val="en-GB"/>
            </w:rPr>
          </w:pPr>
        </w:p>
        <w:p w:rsidR="002B1CEB" w:rsidRPr="00CF582C" w:rsidRDefault="002B1CEB" w:rsidP="002B1CEB">
          <w:pPr>
            <w:pStyle w:val="Heading1"/>
            <w:rPr>
              <w:rFonts w:eastAsia="Calibri"/>
              <w:lang w:val="en-GB"/>
            </w:rPr>
          </w:pPr>
          <w:r w:rsidRPr="00CF582C">
            <w:rPr>
              <w:rFonts w:eastAsia="Calibri"/>
              <w:lang w:val="en-GB"/>
            </w:rPr>
            <w:t>Appendix 1</w:t>
          </w:r>
          <w:bookmarkStart w:id="0" w:name="_GoBack"/>
          <w:bookmarkEnd w:id="0"/>
        </w:p>
        <w:p w:rsidR="002B1CEB" w:rsidRPr="00CF582C" w:rsidRDefault="002B1CEB" w:rsidP="002B1CEB">
          <w:pPr>
            <w:widowControl w:val="0"/>
            <w:autoSpaceDE w:val="0"/>
            <w:autoSpaceDN w:val="0"/>
            <w:adjustRightInd w:val="0"/>
            <w:spacing w:after="0" w:line="240" w:lineRule="auto"/>
            <w:ind w:left="640" w:hanging="640"/>
            <w:jc w:val="both"/>
            <w:rPr>
              <w:rFonts w:ascii="Calibri" w:eastAsia="Calibri" w:hAnsi="Calibri" w:cs="Times New Roman"/>
              <w:sz w:val="16"/>
              <w:szCs w:val="16"/>
              <w:lang w:val="en-GB"/>
            </w:rPr>
          </w:pPr>
        </w:p>
        <w:p w:rsidR="002B1CEB" w:rsidRPr="00CF582C" w:rsidRDefault="002B1CEB" w:rsidP="002B1CEB">
          <w:pPr>
            <w:widowControl w:val="0"/>
            <w:autoSpaceDE w:val="0"/>
            <w:autoSpaceDN w:val="0"/>
            <w:adjustRightInd w:val="0"/>
            <w:spacing w:after="0" w:line="240" w:lineRule="auto"/>
            <w:jc w:val="both"/>
            <w:rPr>
              <w:rFonts w:ascii="Calibri" w:eastAsia="Calibri" w:hAnsi="Calibri" w:cs="Times New Roman"/>
              <w:b/>
              <w:sz w:val="18"/>
              <w:szCs w:val="18"/>
              <w:lang w:val="en-GB"/>
            </w:rPr>
          </w:pPr>
          <w:r w:rsidRPr="00CF582C">
            <w:rPr>
              <w:rFonts w:ascii="Calibri" w:eastAsia="Calibri" w:hAnsi="Calibri" w:cs="Times New Roman"/>
              <w:b/>
              <w:sz w:val="18"/>
              <w:szCs w:val="18"/>
              <w:lang w:val="en-GB"/>
            </w:rPr>
            <w:t>How barriers and facilitators affect the adoption and scaling of RPMTSs:</w:t>
          </w:r>
        </w:p>
        <w:p w:rsidR="002B1CEB" w:rsidRDefault="002B1CEB" w:rsidP="002B1CEB">
          <w:pPr>
            <w:widowControl w:val="0"/>
            <w:autoSpaceDE w:val="0"/>
            <w:autoSpaceDN w:val="0"/>
            <w:adjustRightInd w:val="0"/>
            <w:spacing w:after="0" w:line="240" w:lineRule="auto"/>
            <w:jc w:val="both"/>
            <w:rPr>
              <w:rFonts w:ascii="Calibri" w:eastAsia="Calibri" w:hAnsi="Calibri" w:cs="Times New Roman"/>
              <w:b/>
              <w:color w:val="8496B0" w:themeColor="text2" w:themeTint="99"/>
              <w:sz w:val="16"/>
              <w:szCs w:val="16"/>
              <w:lang w:val="en-GB"/>
            </w:rPr>
          </w:pPr>
        </w:p>
        <w:tbl>
          <w:tblPr>
            <w:tblW w:w="0" w:type="auto"/>
            <w:jc w:val="center"/>
            <w:tblLook w:val="04A0" w:firstRow="1" w:lastRow="0" w:firstColumn="1" w:lastColumn="0" w:noHBand="0" w:noVBand="1"/>
          </w:tblPr>
          <w:tblGrid>
            <w:gridCol w:w="496"/>
            <w:gridCol w:w="3523"/>
            <w:gridCol w:w="2405"/>
            <w:gridCol w:w="1639"/>
            <w:gridCol w:w="1277"/>
          </w:tblGrid>
          <w:tr w:rsidR="002B1CEB" w:rsidRPr="00F94636" w:rsidTr="00EB7678">
            <w:trPr>
              <w:trHeight w:val="600"/>
              <w:jc w:val="center"/>
            </w:trPr>
            <w:tc>
              <w:tcPr>
                <w:tcW w:w="0" w:type="auto"/>
                <w:tcBorders>
                  <w:top w:val="single" w:sz="8" w:space="0" w:color="auto"/>
                  <w:left w:val="single" w:sz="8" w:space="0" w:color="auto"/>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jc w:val="center"/>
                  <w:rPr>
                    <w:rFonts w:ascii="Calibri" w:eastAsia="Times New Roman" w:hAnsi="Calibri" w:cs="Times New Roman"/>
                    <w:b/>
                    <w:bCs/>
                    <w:color w:val="000000"/>
                  </w:rPr>
                </w:pPr>
                <w:r>
                  <w:rPr>
                    <w:rFonts w:ascii="Calibri" w:eastAsia="Times New Roman" w:hAnsi="Calibri" w:cs="Times New Roman"/>
                    <w:b/>
                    <w:bCs/>
                    <w:color w:val="000000"/>
                  </w:rPr>
                  <w:t>Nr</w:t>
                </w:r>
                <w:r w:rsidRPr="00F94636">
                  <w:rPr>
                    <w:rFonts w:ascii="Calibri" w:eastAsia="Times New Roman" w:hAnsi="Calibri" w:cs="Times New Roman"/>
                    <w:b/>
                    <w:bCs/>
                    <w:color w:val="000000"/>
                  </w:rPr>
                  <w:t> </w:t>
                </w:r>
              </w:p>
            </w:tc>
            <w:tc>
              <w:tcPr>
                <w:tcW w:w="0" w:type="auto"/>
                <w:tcBorders>
                  <w:top w:val="single" w:sz="8" w:space="0" w:color="auto"/>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jc w:val="center"/>
                  <w:rPr>
                    <w:rFonts w:ascii="Calibri" w:eastAsia="Times New Roman" w:hAnsi="Calibri" w:cs="Times New Roman"/>
                    <w:b/>
                    <w:bCs/>
                    <w:color w:val="000000"/>
                  </w:rPr>
                </w:pPr>
                <w:r w:rsidRPr="00F94636">
                  <w:rPr>
                    <w:rFonts w:ascii="Calibri" w:eastAsia="Times New Roman" w:hAnsi="Calibri" w:cs="Times New Roman"/>
                    <w:b/>
                    <w:bCs/>
                    <w:color w:val="000000"/>
                  </w:rPr>
                  <w:t>Main Categories</w:t>
                </w:r>
              </w:p>
            </w:tc>
            <w:tc>
              <w:tcPr>
                <w:tcW w:w="2405" w:type="dxa"/>
                <w:tcBorders>
                  <w:top w:val="single" w:sz="8" w:space="0" w:color="auto"/>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jc w:val="center"/>
                  <w:rPr>
                    <w:rFonts w:ascii="Calibri" w:eastAsia="Times New Roman" w:hAnsi="Calibri" w:cs="Times New Roman"/>
                    <w:b/>
                    <w:bCs/>
                    <w:color w:val="000000"/>
                  </w:rPr>
                </w:pPr>
                <w:r w:rsidRPr="00F94636">
                  <w:rPr>
                    <w:rFonts w:ascii="Calibri" w:eastAsia="Times New Roman" w:hAnsi="Calibri" w:cs="Times New Roman"/>
                    <w:b/>
                    <w:bCs/>
                    <w:color w:val="000000"/>
                  </w:rPr>
                  <w:t>Sub-categories(potential barriers and facilitators)</w:t>
                </w:r>
              </w:p>
            </w:tc>
            <w:tc>
              <w:tcPr>
                <w:tcW w:w="3100" w:type="dxa"/>
                <w:tcBorders>
                  <w:top w:val="single" w:sz="8" w:space="0" w:color="auto"/>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jc w:val="center"/>
                  <w:rPr>
                    <w:rFonts w:ascii="Calibri" w:eastAsia="Times New Roman" w:hAnsi="Calibri" w:cs="Times New Roman"/>
                    <w:b/>
                    <w:bCs/>
                    <w:color w:val="000000"/>
                  </w:rPr>
                </w:pPr>
                <w:r>
                  <w:rPr>
                    <w:rFonts w:ascii="Calibri" w:eastAsia="Times New Roman" w:hAnsi="Calibri" w:cs="Times New Roman"/>
                    <w:b/>
                    <w:bCs/>
                    <w:color w:val="000000"/>
                  </w:rPr>
                  <w:t>How  sub-categories affect adoption and s</w:t>
                </w:r>
                <w:r w:rsidRPr="00F94636">
                  <w:rPr>
                    <w:rFonts w:ascii="Calibri" w:eastAsia="Times New Roman" w:hAnsi="Calibri" w:cs="Times New Roman"/>
                    <w:b/>
                    <w:bCs/>
                    <w:color w:val="000000"/>
                  </w:rPr>
                  <w:t>caling</w:t>
                </w:r>
                <w:r>
                  <w:rPr>
                    <w:rFonts w:ascii="Calibri" w:eastAsia="Times New Roman" w:hAnsi="Calibri" w:cs="Times New Roman"/>
                    <w:b/>
                    <w:bCs/>
                    <w:color w:val="000000"/>
                  </w:rPr>
                  <w:t xml:space="preserve"> of RPMTS Interventions</w:t>
                </w:r>
              </w:p>
            </w:tc>
            <w:tc>
              <w:tcPr>
                <w:tcW w:w="0" w:type="auto"/>
                <w:tcBorders>
                  <w:top w:val="single" w:sz="8" w:space="0" w:color="auto"/>
                  <w:left w:val="nil"/>
                  <w:bottom w:val="single" w:sz="4" w:space="0" w:color="auto"/>
                  <w:right w:val="single" w:sz="8" w:space="0" w:color="auto"/>
                </w:tcBorders>
                <w:shd w:val="clear" w:color="auto" w:fill="auto"/>
                <w:vAlign w:val="center"/>
                <w:hideMark/>
              </w:tcPr>
              <w:p w:rsidR="002B1CEB" w:rsidRPr="00F94636" w:rsidRDefault="002B1CEB" w:rsidP="00EB7678">
                <w:pPr>
                  <w:spacing w:after="0" w:line="240" w:lineRule="auto"/>
                  <w:jc w:val="center"/>
                  <w:rPr>
                    <w:rFonts w:ascii="Calibri" w:eastAsia="Times New Roman" w:hAnsi="Calibri" w:cs="Times New Roman"/>
                    <w:b/>
                    <w:bCs/>
                    <w:color w:val="000000"/>
                  </w:rPr>
                </w:pPr>
                <w:r w:rsidRPr="00F94636">
                  <w:rPr>
                    <w:rFonts w:ascii="Calibri" w:eastAsia="Times New Roman" w:hAnsi="Calibri" w:cs="Times New Roman"/>
                    <w:b/>
                    <w:bCs/>
                    <w:color w:val="000000"/>
                  </w:rPr>
                  <w:t xml:space="preserve">Secondary source used </w:t>
                </w:r>
              </w:p>
            </w:tc>
          </w:tr>
          <w:tr w:rsidR="002B1CEB" w:rsidRPr="00F94636" w:rsidTr="00EB7678">
            <w:trPr>
              <w:trHeight w:val="300"/>
              <w:jc w:val="center"/>
            </w:trPr>
            <w:tc>
              <w:tcPr>
                <w:tcW w:w="0" w:type="auto"/>
                <w:tcBorders>
                  <w:top w:val="nil"/>
                  <w:left w:val="single" w:sz="8" w:space="0" w:color="auto"/>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c>
              <w:tcPr>
                <w:tcW w:w="0" w:type="auto"/>
                <w:tcBorders>
                  <w:top w:val="nil"/>
                  <w:left w:val="nil"/>
                  <w:bottom w:val="single" w:sz="4" w:space="0" w:color="auto"/>
                  <w:right w:val="single" w:sz="4" w:space="0" w:color="auto"/>
                </w:tcBorders>
                <w:shd w:val="clear" w:color="000000" w:fill="B1A0C7"/>
                <w:noWrap/>
                <w:vAlign w:val="bottom"/>
                <w:hideMark/>
              </w:tcPr>
              <w:p w:rsidR="002B1CEB" w:rsidRPr="00F94636" w:rsidRDefault="002B1CEB" w:rsidP="00EB7678">
                <w:pPr>
                  <w:spacing w:after="0" w:line="240" w:lineRule="auto"/>
                  <w:rPr>
                    <w:rFonts w:ascii="Calibri" w:eastAsia="Times New Roman" w:hAnsi="Calibri" w:cs="Times New Roman"/>
                    <w:color w:val="000000"/>
                  </w:rPr>
                </w:pPr>
                <w:r w:rsidRPr="00F94636">
                  <w:rPr>
                    <w:rFonts w:ascii="Calibri" w:eastAsia="Times New Roman" w:hAnsi="Calibri" w:cs="Times New Roman"/>
                    <w:color w:val="000000"/>
                  </w:rPr>
                  <w:t> </w:t>
                </w:r>
              </w:p>
            </w:tc>
            <w:tc>
              <w:tcPr>
                <w:tcW w:w="2405" w:type="dxa"/>
                <w:tcBorders>
                  <w:top w:val="nil"/>
                  <w:left w:val="nil"/>
                  <w:bottom w:val="single" w:sz="4" w:space="0" w:color="auto"/>
                  <w:right w:val="single" w:sz="4" w:space="0" w:color="auto"/>
                </w:tcBorders>
                <w:shd w:val="clear" w:color="000000" w:fill="B1A0C7"/>
                <w:noWrap/>
                <w:vAlign w:val="bottom"/>
                <w:hideMark/>
              </w:tcPr>
              <w:p w:rsidR="002B1CEB" w:rsidRPr="00F94636" w:rsidRDefault="002B1CEB" w:rsidP="00EB7678">
                <w:pPr>
                  <w:spacing w:after="0" w:line="240" w:lineRule="auto"/>
                  <w:rPr>
                    <w:rFonts w:ascii="Calibri" w:eastAsia="Times New Roman" w:hAnsi="Calibri" w:cs="Times New Roman"/>
                    <w:color w:val="000000"/>
                  </w:rPr>
                </w:pPr>
                <w:r w:rsidRPr="00F94636">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000000" w:fill="B1A0C7"/>
                <w:vAlign w:val="bottom"/>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000000" w:fill="B1A0C7"/>
                <w:noWrap/>
                <w:vAlign w:val="bottom"/>
                <w:hideMark/>
              </w:tcPr>
              <w:p w:rsidR="002B1CEB" w:rsidRPr="00F94636" w:rsidRDefault="002B1CEB" w:rsidP="00EB7678">
                <w:pPr>
                  <w:spacing w:after="0" w:line="240" w:lineRule="auto"/>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287"/>
              <w:jc w:val="center"/>
            </w:trPr>
            <w:tc>
              <w:tcPr>
                <w:tcW w:w="0" w:type="auto"/>
                <w:tcBorders>
                  <w:top w:val="nil"/>
                  <w:left w:val="single" w:sz="8" w:space="0" w:color="auto"/>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1</w:t>
                </w:r>
              </w:p>
            </w:tc>
            <w:tc>
              <w:tcPr>
                <w:tcW w:w="0" w:type="auto"/>
                <w:tcBorders>
                  <w:top w:val="nil"/>
                  <w:left w:val="nil"/>
                  <w:bottom w:val="single" w:sz="4" w:space="0" w:color="auto"/>
                  <w:right w:val="single" w:sz="4" w:space="0" w:color="auto"/>
                </w:tcBorders>
                <w:shd w:val="clear" w:color="auto" w:fill="auto"/>
                <w:vAlign w:val="bottom"/>
                <w:hideMark/>
              </w:tcPr>
              <w:p w:rsidR="002B1CEB" w:rsidRPr="00F94636" w:rsidRDefault="002B1CEB" w:rsidP="00EB7678">
                <w:pPr>
                  <w:spacing w:after="0" w:line="240" w:lineRule="auto"/>
                  <w:rPr>
                    <w:rFonts w:ascii="Calibri" w:eastAsia="Times New Roman" w:hAnsi="Calibri" w:cs="Times New Roman"/>
                    <w:b/>
                    <w:bCs/>
                    <w:i/>
                    <w:iCs/>
                    <w:color w:val="000000"/>
                  </w:rPr>
                </w:pPr>
                <w:r w:rsidRPr="00F94636">
                  <w:rPr>
                    <w:rFonts w:ascii="Calibri" w:eastAsia="Times New Roman" w:hAnsi="Calibri" w:cs="Times New Roman"/>
                    <w:b/>
                    <w:bCs/>
                    <w:i/>
                    <w:iCs/>
                    <w:color w:val="000000"/>
                  </w:rPr>
                  <w:t>Stakeholders’ Interests</w:t>
                </w:r>
              </w:p>
            </w:tc>
            <w:tc>
              <w:tcPr>
                <w:tcW w:w="2405" w:type="dxa"/>
                <w:tcBorders>
                  <w:top w:val="nil"/>
                  <w:left w:val="nil"/>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rPr>
                    <w:rFonts w:ascii="Calibri" w:eastAsia="Times New Roman" w:hAnsi="Calibri" w:cs="Times New Roman"/>
                    <w:color w:val="000000"/>
                  </w:rPr>
                </w:pPr>
                <w:r w:rsidRPr="00F94636">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auto" w:fill="auto"/>
                <w:vAlign w:val="bottom"/>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836"/>
              <w:jc w:val="center"/>
            </w:trPr>
            <w:tc>
              <w:tcPr>
                <w:tcW w:w="0" w:type="auto"/>
                <w:vMerge w:val="restart"/>
                <w:tcBorders>
                  <w:top w:val="nil"/>
                  <w:left w:val="single" w:sz="8" w:space="0" w:color="auto"/>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c>
              <w:tcPr>
                <w:tcW w:w="0" w:type="auto"/>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1CEB" w:rsidRPr="00F94636" w:rsidRDefault="002B1CEB" w:rsidP="00EB7678">
                <w:pPr>
                  <w:spacing w:after="0" w:line="240" w:lineRule="auto"/>
                  <w:jc w:val="center"/>
                  <w:rPr>
                    <w:rFonts w:ascii="Calibri" w:eastAsia="Times New Roman" w:hAnsi="Calibri" w:cs="Times New Roman"/>
                    <w:b/>
                    <w:bCs/>
                    <w:color w:val="000000"/>
                    <w:sz w:val="20"/>
                    <w:szCs w:val="20"/>
                  </w:rPr>
                </w:pPr>
                <w:r w:rsidRPr="00F94636">
                  <w:rPr>
                    <w:rFonts w:ascii="Calibri" w:eastAsia="Times New Roman" w:hAnsi="Calibri" w:cs="Times New Roman"/>
                    <w:b/>
                    <w:bCs/>
                    <w:color w:val="000000"/>
                    <w:sz w:val="20"/>
                    <w:szCs w:val="20"/>
                  </w:rPr>
                  <w:t xml:space="preserve">Conflicting and dynamic interests of and relationships between stakeholders is sure to have a significant impact on the adoption and scaling of RPMTSs. The extent to which RPMTS designers and developers are able to </w:t>
                </w:r>
                <w:r w:rsidRPr="00F94636">
                  <w:rPr>
                    <w:rFonts w:ascii="Calibri" w:eastAsia="Times New Roman" w:hAnsi="Calibri" w:cs="Times New Roman"/>
                    <w:b/>
                    <w:bCs/>
                    <w:i/>
                    <w:iCs/>
                    <w:color w:val="000000"/>
                    <w:sz w:val="20"/>
                    <w:szCs w:val="20"/>
                  </w:rPr>
                  <w:t>manage</w:t>
                </w:r>
                <w:r w:rsidRPr="00F94636">
                  <w:rPr>
                    <w:rFonts w:ascii="Calibri" w:eastAsia="Times New Roman" w:hAnsi="Calibri" w:cs="Times New Roman"/>
                    <w:b/>
                    <w:bCs/>
                    <w:color w:val="000000"/>
                    <w:sz w:val="20"/>
                    <w:szCs w:val="20"/>
                  </w:rPr>
                  <w:t xml:space="preserve"> these conflicts and power relations may have a bearing on adoption and scaling thereof. </w:t>
                </w:r>
              </w:p>
            </w:tc>
            <w:tc>
              <w:tcPr>
                <w:tcW w:w="2405" w:type="dxa"/>
                <w:tcBorders>
                  <w:top w:val="nil"/>
                  <w:left w:val="nil"/>
                  <w:bottom w:val="single" w:sz="4" w:space="0" w:color="auto"/>
                  <w:right w:val="single" w:sz="4" w:space="0" w:color="auto"/>
                </w:tcBorders>
                <w:shd w:val="clear" w:color="auto" w:fill="auto"/>
                <w:noWrap/>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 xml:space="preserve">Healthcare </w:t>
                </w:r>
                <w:r w:rsidRPr="00CF582C">
                  <w:rPr>
                    <w:rFonts w:ascii="Calibri" w:eastAsia="Times New Roman" w:hAnsi="Calibri" w:cs="Times New Roman"/>
                    <w:iCs/>
                    <w:color w:val="000000"/>
                    <w:lang w:val="en-GB"/>
                  </w:rPr>
                  <w:t>Organisations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Pursued visons, missions, strategies, funding structures and profit motives determine </w:t>
                </w:r>
                <w:r w:rsidRPr="00F94636">
                  <w:rPr>
                    <w:rFonts w:ascii="Calibri" w:eastAsia="Times New Roman" w:hAnsi="Calibri" w:cs="Times New Roman"/>
                    <w:color w:val="000000"/>
                    <w:sz w:val="16"/>
                    <w:szCs w:val="16"/>
                    <w:lang w:val="en-GB"/>
                  </w:rPr>
                  <w:t>organisational</w:t>
                </w:r>
                <w:r w:rsidRPr="00F94636">
                  <w:rPr>
                    <w:rFonts w:ascii="Calibri" w:eastAsia="Times New Roman" w:hAnsi="Calibri" w:cs="Times New Roman"/>
                    <w:color w:val="000000"/>
                    <w:sz w:val="16"/>
                    <w:szCs w:val="16"/>
                  </w:rPr>
                  <w:t xml:space="preserve"> structures and priorities. This may in turn lead to resistance or commitment to a particular RPMTS intervention. </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[5], [26]</w:t>
                </w:r>
              </w:p>
            </w:tc>
          </w:tr>
          <w:tr w:rsidR="002B1CEB" w:rsidRPr="00F94636" w:rsidTr="00EB7678">
            <w:trPr>
              <w:trHeight w:val="62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noWrap/>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 xml:space="preserve">Clinicians </w:t>
                </w:r>
              </w:p>
            </w:tc>
            <w:tc>
              <w:tcPr>
                <w:tcW w:w="3100" w:type="dxa"/>
                <w:tcBorders>
                  <w:top w:val="nil"/>
                  <w:left w:val="nil"/>
                  <w:bottom w:val="single" w:sz="4" w:space="0" w:color="auto"/>
                  <w:right w:val="single" w:sz="4" w:space="0" w:color="auto"/>
                </w:tcBorders>
                <w:shd w:val="clear" w:color="auto" w:fill="auto"/>
                <w:vAlign w:val="bottom"/>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How a new RPMTS intervention </w:t>
                </w:r>
                <w:r>
                  <w:rPr>
                    <w:rFonts w:ascii="Calibri" w:eastAsia="Times New Roman" w:hAnsi="Calibri" w:cs="Times New Roman"/>
                    <w:color w:val="000000"/>
                    <w:sz w:val="16"/>
                    <w:szCs w:val="16"/>
                  </w:rPr>
                  <w:t>will</w:t>
                </w:r>
                <w:r w:rsidRPr="00F94636">
                  <w:rPr>
                    <w:rFonts w:ascii="Calibri" w:eastAsia="Times New Roman" w:hAnsi="Calibri" w:cs="Times New Roman"/>
                    <w:color w:val="000000"/>
                    <w:sz w:val="16"/>
                    <w:szCs w:val="16"/>
                  </w:rPr>
                  <w:t xml:space="preserve"> affect existing workflows, work dynamics and job security will lead to support or resistance by clinicians</w:t>
                </w:r>
                <w:r>
                  <w:rPr>
                    <w:rFonts w:ascii="Calibri" w:eastAsia="Times New Roman" w:hAnsi="Calibri" w:cs="Times New Roman"/>
                    <w:color w:val="000000"/>
                    <w:sz w:val="16"/>
                    <w:szCs w:val="16"/>
                  </w:rPr>
                  <w:t xml:space="preserve"> and other healthcare practitioners</w:t>
                </w:r>
                <w:r w:rsidRPr="00F94636">
                  <w:rPr>
                    <w:rFonts w:ascii="Calibri" w:eastAsia="Times New Roman" w:hAnsi="Calibri" w:cs="Times New Roman"/>
                    <w:color w:val="000000"/>
                    <w:sz w:val="16"/>
                    <w:szCs w:val="16"/>
                  </w:rPr>
                  <w:t>.</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[5]</w:t>
                </w:r>
              </w:p>
            </w:tc>
          </w:tr>
          <w:tr w:rsidR="002B1CEB" w:rsidRPr="00F94636" w:rsidTr="00EB7678">
            <w:trPr>
              <w:trHeight w:val="548"/>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noWrap/>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Patients or potential patients</w:t>
                </w:r>
              </w:p>
            </w:tc>
            <w:tc>
              <w:tcPr>
                <w:tcW w:w="3100" w:type="dxa"/>
                <w:tcBorders>
                  <w:top w:val="nil"/>
                  <w:left w:val="nil"/>
                  <w:bottom w:val="single" w:sz="4" w:space="0" w:color="auto"/>
                  <w:right w:val="single" w:sz="4" w:space="0" w:color="auto"/>
                </w:tcBorders>
                <w:shd w:val="clear" w:color="auto" w:fill="auto"/>
                <w:vAlign w:val="bottom"/>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Incentives such as being able to save on money and or time while enjoying improved quality of care and better access to health</w:t>
                </w:r>
                <w:r>
                  <w:rPr>
                    <w:rFonts w:ascii="Calibri" w:eastAsia="Times New Roman" w:hAnsi="Calibri" w:cs="Times New Roman"/>
                    <w:color w:val="000000"/>
                    <w:sz w:val="16"/>
                    <w:szCs w:val="16"/>
                  </w:rPr>
                  <w:t>care</w:t>
                </w:r>
                <w:r w:rsidRPr="00F94636">
                  <w:rPr>
                    <w:rFonts w:ascii="Calibri" w:eastAsia="Times New Roman" w:hAnsi="Calibri" w:cs="Times New Roman"/>
                    <w:color w:val="000000"/>
                    <w:sz w:val="16"/>
                    <w:szCs w:val="16"/>
                  </w:rPr>
                  <w:t xml:space="preserve"> service</w:t>
                </w:r>
                <w:r>
                  <w:rPr>
                    <w:rFonts w:ascii="Calibri" w:eastAsia="Times New Roman" w:hAnsi="Calibri" w:cs="Times New Roman"/>
                    <w:color w:val="000000"/>
                    <w:sz w:val="16"/>
                    <w:szCs w:val="16"/>
                  </w:rPr>
                  <w:t>s</w:t>
                </w:r>
                <w:r w:rsidRPr="00F94636">
                  <w:rPr>
                    <w:rFonts w:ascii="Calibri" w:eastAsia="Times New Roman" w:hAnsi="Calibri" w:cs="Times New Roman"/>
                    <w:color w:val="000000"/>
                    <w:sz w:val="16"/>
                    <w:szCs w:val="16"/>
                  </w:rPr>
                  <w:t xml:space="preserve"> may promote adoption and or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251"/>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noWrap/>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Health technology companies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The visons, missions, strategies</w:t>
                </w:r>
                <w:r>
                  <w:rPr>
                    <w:rFonts w:ascii="Calibri" w:eastAsia="Times New Roman" w:hAnsi="Calibri" w:cs="Times New Roman"/>
                    <w:color w:val="000000"/>
                    <w:sz w:val="16"/>
                    <w:szCs w:val="16"/>
                  </w:rPr>
                  <w:t xml:space="preserve"> </w:t>
                </w:r>
                <w:r w:rsidRPr="00F94636">
                  <w:rPr>
                    <w:rFonts w:ascii="Calibri" w:eastAsia="Times New Roman" w:hAnsi="Calibri" w:cs="Times New Roman"/>
                    <w:color w:val="000000"/>
                    <w:sz w:val="16"/>
                    <w:szCs w:val="16"/>
                  </w:rPr>
                  <w:t xml:space="preserve">and profits motives will affect how RPMTS interventions are designed and deployed (intellectual property, policies and regulations) </w:t>
                </w:r>
                <w:r>
                  <w:rPr>
                    <w:rFonts w:ascii="Calibri" w:eastAsia="Times New Roman" w:hAnsi="Calibri" w:cs="Times New Roman"/>
                    <w:color w:val="000000"/>
                    <w:sz w:val="16"/>
                    <w:szCs w:val="16"/>
                  </w:rPr>
                  <w:t xml:space="preserve">thereby </w:t>
                </w:r>
                <w:r w:rsidRPr="00F94636">
                  <w:rPr>
                    <w:rFonts w:ascii="Calibri" w:eastAsia="Times New Roman" w:hAnsi="Calibri" w:cs="Times New Roman"/>
                    <w:color w:val="000000"/>
                    <w:sz w:val="16"/>
                    <w:szCs w:val="16"/>
                  </w:rPr>
                  <w:t>positively or negatively affect</w:t>
                </w:r>
                <w:r>
                  <w:rPr>
                    <w:rFonts w:ascii="Calibri" w:eastAsia="Times New Roman" w:hAnsi="Calibri" w:cs="Times New Roman"/>
                    <w:color w:val="000000"/>
                    <w:sz w:val="16"/>
                    <w:szCs w:val="16"/>
                  </w:rPr>
                  <w:t xml:space="preserve">ing </w:t>
                </w:r>
                <w:r w:rsidRPr="00F94636">
                  <w:rPr>
                    <w:rFonts w:ascii="Calibri" w:eastAsia="Times New Roman" w:hAnsi="Calibri" w:cs="Times New Roman"/>
                    <w:color w:val="000000"/>
                    <w:sz w:val="16"/>
                    <w:szCs w:val="16"/>
                  </w:rPr>
                  <w:t>adoption and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[26]</w:t>
                </w:r>
              </w:p>
            </w:tc>
          </w:tr>
          <w:tr w:rsidR="002B1CEB" w:rsidRPr="00F94636" w:rsidTr="00EB7678">
            <w:trPr>
              <w:trHeight w:val="611"/>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noWrap/>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Governments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Government's political priorities, policies and regulations may significantly promote or stifle an RPMTS's </w:t>
                </w:r>
                <w:r w:rsidRPr="00F94636">
                  <w:rPr>
                    <w:rFonts w:ascii="Calibri" w:eastAsia="Times New Roman" w:hAnsi="Calibri" w:cs="Times New Roman"/>
                    <w:color w:val="000000"/>
                    <w:sz w:val="16"/>
                    <w:szCs w:val="16"/>
                  </w:rPr>
                  <w:lastRenderedPageBreak/>
                  <w:t>development and potential for adoption and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lastRenderedPageBreak/>
                  <w:t>[5], [26]</w:t>
                </w:r>
              </w:p>
            </w:tc>
          </w:tr>
          <w:tr w:rsidR="002B1CEB" w:rsidRPr="00F94636" w:rsidTr="00EB7678">
            <w:trPr>
              <w:trHeight w:val="80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noWrap/>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Others (investors, NGOs, etc...)</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Interests of other institutions such as NGOs, professional associations and lobby groups expressed in their missions and goals may promote or hinder the development, adoption and scaling of certain RPMTS intervention</w:t>
                </w:r>
                <w:r>
                  <w:rPr>
                    <w:rFonts w:ascii="Calibri" w:eastAsia="Times New Roman" w:hAnsi="Calibri" w:cs="Times New Roman"/>
                    <w:color w:val="000000"/>
                    <w:sz w:val="16"/>
                    <w:szCs w:val="16"/>
                  </w:rPr>
                  <w:t>s</w:t>
                </w:r>
                <w:r w:rsidRPr="00F94636">
                  <w:rPr>
                    <w:rFonts w:ascii="Calibri" w:eastAsia="Times New Roman" w:hAnsi="Calibri" w:cs="Times New Roman"/>
                    <w:color w:val="000000"/>
                    <w:sz w:val="16"/>
                    <w:szCs w:val="16"/>
                  </w:rPr>
                  <w:t>.</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[26]</w:t>
                </w:r>
              </w:p>
            </w:tc>
          </w:tr>
          <w:tr w:rsidR="002B1CEB" w:rsidRPr="00F94636" w:rsidTr="00EB7678">
            <w:trPr>
              <w:trHeight w:val="30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tcBorders>
                  <w:top w:val="nil"/>
                  <w:left w:val="nil"/>
                  <w:bottom w:val="single" w:sz="4" w:space="0" w:color="auto"/>
                  <w:right w:val="single" w:sz="4" w:space="0" w:color="auto"/>
                </w:tcBorders>
                <w:shd w:val="clear" w:color="000000" w:fill="C5D9F1"/>
                <w:vAlign w:val="bottom"/>
                <w:hideMark/>
              </w:tcPr>
              <w:p w:rsidR="002B1CEB" w:rsidRPr="00F94636" w:rsidRDefault="002B1CEB" w:rsidP="00EB7678">
                <w:pPr>
                  <w:spacing w:after="0" w:line="240" w:lineRule="auto"/>
                  <w:rPr>
                    <w:rFonts w:ascii="Calibri" w:eastAsia="Times New Roman" w:hAnsi="Calibri" w:cs="Times New Roman"/>
                    <w:color w:val="000000"/>
                  </w:rPr>
                </w:pPr>
                <w:r w:rsidRPr="00F94636">
                  <w:rPr>
                    <w:rFonts w:ascii="Calibri" w:eastAsia="Times New Roman" w:hAnsi="Calibri" w:cs="Times New Roman"/>
                    <w:color w:val="000000"/>
                  </w:rPr>
                  <w:t> </w:t>
                </w:r>
              </w:p>
            </w:tc>
            <w:tc>
              <w:tcPr>
                <w:tcW w:w="2405" w:type="dxa"/>
                <w:tcBorders>
                  <w:top w:val="nil"/>
                  <w:left w:val="nil"/>
                  <w:bottom w:val="single" w:sz="4" w:space="0" w:color="auto"/>
                  <w:right w:val="single" w:sz="4" w:space="0" w:color="auto"/>
                </w:tcBorders>
                <w:shd w:val="clear" w:color="000000" w:fill="C5D9F1"/>
                <w:noWrap/>
                <w:vAlign w:val="center"/>
                <w:hideMark/>
              </w:tcPr>
              <w:p w:rsidR="002B1CEB" w:rsidRPr="00CF582C" w:rsidRDefault="002B1CEB" w:rsidP="00EB7678">
                <w:pPr>
                  <w:spacing w:after="0" w:line="240" w:lineRule="auto"/>
                  <w:rPr>
                    <w:rFonts w:ascii="Calibri" w:eastAsia="Times New Roman" w:hAnsi="Calibri" w:cs="Times New Roman"/>
                    <w:color w:val="000000"/>
                  </w:rPr>
                </w:pPr>
                <w:r w:rsidRPr="00CF582C">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000000" w:fill="C5D9F1"/>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000000" w:fill="C5D9F1"/>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305"/>
              <w:jc w:val="center"/>
            </w:trPr>
            <w:tc>
              <w:tcPr>
                <w:tcW w:w="0" w:type="auto"/>
                <w:tcBorders>
                  <w:top w:val="nil"/>
                  <w:left w:val="single" w:sz="8" w:space="0" w:color="auto"/>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2</w:t>
                </w:r>
              </w:p>
            </w:tc>
            <w:tc>
              <w:tcPr>
                <w:tcW w:w="0" w:type="auto"/>
                <w:tcBorders>
                  <w:top w:val="nil"/>
                  <w:left w:val="nil"/>
                  <w:bottom w:val="single" w:sz="4" w:space="0" w:color="auto"/>
                  <w:right w:val="single" w:sz="4" w:space="0" w:color="auto"/>
                </w:tcBorders>
                <w:shd w:val="clear" w:color="auto" w:fill="auto"/>
                <w:vAlign w:val="bottom"/>
                <w:hideMark/>
              </w:tcPr>
              <w:p w:rsidR="002B1CEB" w:rsidRPr="00F94636" w:rsidRDefault="002B1CEB" w:rsidP="00EB7678">
                <w:pPr>
                  <w:spacing w:after="0" w:line="240" w:lineRule="auto"/>
                  <w:rPr>
                    <w:rFonts w:ascii="Calibri" w:eastAsia="Times New Roman" w:hAnsi="Calibri" w:cs="Times New Roman"/>
                    <w:b/>
                    <w:bCs/>
                    <w:i/>
                    <w:iCs/>
                    <w:color w:val="000000"/>
                  </w:rPr>
                </w:pPr>
                <w:r w:rsidRPr="00F94636">
                  <w:rPr>
                    <w:rFonts w:ascii="Calibri" w:eastAsia="Times New Roman" w:hAnsi="Calibri" w:cs="Times New Roman"/>
                    <w:b/>
                    <w:bCs/>
                    <w:i/>
                    <w:iCs/>
                    <w:color w:val="000000"/>
                  </w:rPr>
                  <w:t>Contextual understanding</w:t>
                </w:r>
              </w:p>
            </w:tc>
            <w:tc>
              <w:tcPr>
                <w:tcW w:w="2405" w:type="dxa"/>
                <w:tcBorders>
                  <w:top w:val="nil"/>
                  <w:left w:val="nil"/>
                  <w:bottom w:val="single" w:sz="4" w:space="0" w:color="auto"/>
                  <w:right w:val="single" w:sz="4" w:space="0" w:color="auto"/>
                </w:tcBorders>
                <w:shd w:val="clear" w:color="auto" w:fill="auto"/>
                <w:noWrap/>
                <w:vAlign w:val="center"/>
                <w:hideMark/>
              </w:tcPr>
              <w:p w:rsidR="002B1CEB" w:rsidRPr="00CF582C" w:rsidRDefault="002B1CEB" w:rsidP="00EB7678">
                <w:pPr>
                  <w:spacing w:after="0" w:line="240" w:lineRule="auto"/>
                  <w:rPr>
                    <w:rFonts w:ascii="Calibri" w:eastAsia="Times New Roman" w:hAnsi="Calibri" w:cs="Times New Roman"/>
                    <w:color w:val="000000"/>
                  </w:rPr>
                </w:pPr>
                <w:r w:rsidRPr="00CF582C">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620"/>
              <w:jc w:val="center"/>
            </w:trPr>
            <w:tc>
              <w:tcPr>
                <w:tcW w:w="0" w:type="auto"/>
                <w:vMerge w:val="restart"/>
                <w:tcBorders>
                  <w:top w:val="nil"/>
                  <w:left w:val="single" w:sz="8" w:space="0" w:color="auto"/>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c>
              <w:tcPr>
                <w:tcW w:w="0" w:type="auto"/>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1CEB" w:rsidRPr="00F94636" w:rsidRDefault="002B1CEB" w:rsidP="00EB7678">
                <w:pPr>
                  <w:spacing w:after="0" w:line="240" w:lineRule="auto"/>
                  <w:jc w:val="center"/>
                  <w:rPr>
                    <w:rFonts w:ascii="Calibri" w:eastAsia="Times New Roman" w:hAnsi="Calibri" w:cs="Times New Roman"/>
                    <w:b/>
                    <w:bCs/>
                    <w:color w:val="000000"/>
                    <w:sz w:val="20"/>
                    <w:szCs w:val="20"/>
                  </w:rPr>
                </w:pPr>
                <w:r w:rsidRPr="00F94636">
                  <w:rPr>
                    <w:rFonts w:ascii="Calibri" w:eastAsia="Times New Roman" w:hAnsi="Calibri" w:cs="Times New Roman"/>
                    <w:b/>
                    <w:bCs/>
                    <w:color w:val="000000"/>
                    <w:sz w:val="20"/>
                    <w:szCs w:val="20"/>
                  </w:rPr>
                  <w:t xml:space="preserve">The deeper the understanding that RPMTS designers and developers have of the </w:t>
                </w:r>
                <w:r w:rsidRPr="00F94636">
                  <w:rPr>
                    <w:rFonts w:ascii="Calibri" w:eastAsia="Times New Roman" w:hAnsi="Calibri" w:cs="Times New Roman"/>
                    <w:b/>
                    <w:bCs/>
                    <w:i/>
                    <w:iCs/>
                    <w:color w:val="000000"/>
                    <w:sz w:val="20"/>
                    <w:szCs w:val="20"/>
                  </w:rPr>
                  <w:t xml:space="preserve">context </w:t>
                </w:r>
                <w:r w:rsidRPr="00F94636">
                  <w:rPr>
                    <w:rFonts w:ascii="Calibri" w:eastAsia="Times New Roman" w:hAnsi="Calibri" w:cs="Times New Roman"/>
                    <w:b/>
                    <w:bCs/>
                    <w:color w:val="000000"/>
                    <w:sz w:val="20"/>
                    <w:szCs w:val="20"/>
                  </w:rPr>
                  <w:t>within which their planned intervention will be deployed, the more likely the intervention is to be suitable for adoption and scaling.</w:t>
                </w: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 xml:space="preserve">Community's socio-economic factors </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A community's economic </w:t>
                </w:r>
                <w:r>
                  <w:rPr>
                    <w:rFonts w:ascii="Calibri" w:eastAsia="Times New Roman" w:hAnsi="Calibri" w:cs="Times New Roman"/>
                    <w:color w:val="000000"/>
                    <w:sz w:val="16"/>
                    <w:szCs w:val="16"/>
                  </w:rPr>
                  <w:t>s</w:t>
                </w:r>
                <w:r w:rsidRPr="00F94636">
                  <w:rPr>
                    <w:rFonts w:ascii="Calibri" w:eastAsia="Times New Roman" w:hAnsi="Calibri" w:cs="Times New Roman"/>
                    <w:color w:val="000000"/>
                    <w:sz w:val="16"/>
                    <w:szCs w:val="16"/>
                  </w:rPr>
                  <w:t>tatus and general social realities (income levels, social cohesion, financial resources,..) can impact the potentia</w:t>
                </w:r>
                <w:r>
                  <w:rPr>
                    <w:rFonts w:ascii="Calibri" w:eastAsia="Times New Roman" w:hAnsi="Calibri" w:cs="Times New Roman"/>
                    <w:color w:val="000000"/>
                    <w:sz w:val="16"/>
                    <w:szCs w:val="16"/>
                  </w:rPr>
                  <w:t>l for adoption and scaling of an</w:t>
                </w:r>
                <w:r w:rsidRPr="00F94636">
                  <w:rPr>
                    <w:rFonts w:ascii="Calibri" w:eastAsia="Times New Roman" w:hAnsi="Calibri" w:cs="Times New Roman"/>
                    <w:color w:val="000000"/>
                    <w:sz w:val="16"/>
                    <w:szCs w:val="16"/>
                  </w:rPr>
                  <w:t xml:space="preserve"> RPMTS.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 [26]</w:t>
                </w:r>
              </w:p>
            </w:tc>
          </w:tr>
          <w:tr w:rsidR="002B1CEB" w:rsidRPr="00F94636" w:rsidTr="00EB7678">
            <w:trPr>
              <w:trHeight w:val="51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Socio-Cultural, values and beliefs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Cultural beliefs and values espoused by a given </w:t>
                </w:r>
                <w:r>
                  <w:rPr>
                    <w:rFonts w:ascii="Calibri" w:eastAsia="Times New Roman" w:hAnsi="Calibri" w:cs="Times New Roman"/>
                    <w:color w:val="000000"/>
                    <w:sz w:val="16"/>
                    <w:szCs w:val="16"/>
                  </w:rPr>
                  <w:t xml:space="preserve">target </w:t>
                </w:r>
                <w:r w:rsidRPr="00F94636">
                  <w:rPr>
                    <w:rFonts w:ascii="Calibri" w:eastAsia="Times New Roman" w:hAnsi="Calibri" w:cs="Times New Roman"/>
                    <w:color w:val="000000"/>
                    <w:sz w:val="16"/>
                    <w:szCs w:val="16"/>
                  </w:rPr>
                  <w:t>community may lead to resistance or acceptance of an RPMTS's intervention.</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 [26]</w:t>
                </w:r>
              </w:p>
            </w:tc>
          </w:tr>
          <w:tr w:rsidR="002B1CEB" w:rsidRPr="00F94636" w:rsidTr="00EB7678">
            <w:trPr>
              <w:trHeight w:val="45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Political Priorities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Prevailing political views and priorities may enhance or hinder the </w:t>
                </w:r>
                <w:r>
                  <w:rPr>
                    <w:rFonts w:ascii="Calibri" w:eastAsia="Times New Roman" w:hAnsi="Calibri" w:cs="Times New Roman"/>
                    <w:color w:val="000000"/>
                    <w:sz w:val="16"/>
                    <w:szCs w:val="16"/>
                  </w:rPr>
                  <w:t xml:space="preserve">development, </w:t>
                </w:r>
                <w:r w:rsidRPr="00F94636">
                  <w:rPr>
                    <w:rFonts w:ascii="Calibri" w:eastAsia="Times New Roman" w:hAnsi="Calibri" w:cs="Times New Roman"/>
                    <w:color w:val="000000"/>
                    <w:sz w:val="16"/>
                    <w:szCs w:val="16"/>
                  </w:rPr>
                  <w:t>adoption and scaling of RPMTS interventions.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[26]</w:t>
                </w:r>
              </w:p>
            </w:tc>
          </w:tr>
          <w:tr w:rsidR="002B1CEB" w:rsidRPr="00F94636" w:rsidTr="00EB7678">
            <w:trPr>
              <w:trHeight w:val="566"/>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Health standards, policies and guidelines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Existing health policies, standards and guidelines may allow and encourage or obstruct the development, adoption and scaling of RPMTS interventions.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 [26]</w:t>
                </w:r>
              </w:p>
            </w:tc>
          </w:tr>
          <w:tr w:rsidR="002B1CEB" w:rsidRPr="00F94636" w:rsidTr="00EB7678">
            <w:trPr>
              <w:trHeight w:val="782"/>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General attitude towards technology</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A community's general interest in and experience in technology ' use (such as the use of smart phones and related apps) may be indicative of its propensity to adopt or not adopt RPMTS interventions.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80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Levels of education and technology skills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General levels of education has a bearing on the ability of a community to </w:t>
                </w:r>
                <w:r w:rsidRPr="00F94636">
                  <w:rPr>
                    <w:rFonts w:ascii="Calibri" w:eastAsia="Times New Roman" w:hAnsi="Calibri" w:cs="Times New Roman"/>
                    <w:color w:val="000000"/>
                    <w:sz w:val="16"/>
                    <w:szCs w:val="16"/>
                  </w:rPr>
                  <w:lastRenderedPageBreak/>
                  <w:t>grasp the benefits of RPMTS's use and to therefore take advantage of  available learning and training opportunities around RPMTS interventions.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lastRenderedPageBreak/>
                  <w:t>[4], [5], [26]</w:t>
                </w:r>
              </w:p>
            </w:tc>
          </w:tr>
          <w:tr w:rsidR="002B1CEB" w:rsidRPr="00F94636" w:rsidTr="00EB7678">
            <w:trPr>
              <w:trHeight w:val="224"/>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tcBorders>
                  <w:top w:val="nil"/>
                  <w:left w:val="nil"/>
                  <w:bottom w:val="single" w:sz="4" w:space="0" w:color="auto"/>
                  <w:right w:val="single" w:sz="4" w:space="0" w:color="auto"/>
                </w:tcBorders>
                <w:shd w:val="clear" w:color="000000" w:fill="E4DFEC"/>
                <w:vAlign w:val="bottom"/>
                <w:hideMark/>
              </w:tcPr>
              <w:p w:rsidR="002B1CEB" w:rsidRPr="00F94636" w:rsidRDefault="002B1CEB" w:rsidP="00EB7678">
                <w:pPr>
                  <w:spacing w:after="0" w:line="240" w:lineRule="auto"/>
                  <w:rPr>
                    <w:rFonts w:ascii="Calibri" w:eastAsia="Times New Roman" w:hAnsi="Calibri" w:cs="Times New Roman"/>
                    <w:color w:val="000000"/>
                  </w:rPr>
                </w:pPr>
                <w:r w:rsidRPr="00F94636">
                  <w:rPr>
                    <w:rFonts w:ascii="Calibri" w:eastAsia="Times New Roman" w:hAnsi="Calibri" w:cs="Times New Roman"/>
                    <w:color w:val="000000"/>
                  </w:rPr>
                  <w:t> </w:t>
                </w:r>
              </w:p>
            </w:tc>
            <w:tc>
              <w:tcPr>
                <w:tcW w:w="2405" w:type="dxa"/>
                <w:tcBorders>
                  <w:top w:val="nil"/>
                  <w:left w:val="nil"/>
                  <w:bottom w:val="single" w:sz="4" w:space="0" w:color="auto"/>
                  <w:right w:val="single" w:sz="4" w:space="0" w:color="auto"/>
                </w:tcBorders>
                <w:shd w:val="clear" w:color="000000" w:fill="E4DFEC"/>
                <w:vAlign w:val="center"/>
                <w:hideMark/>
              </w:tcPr>
              <w:p w:rsidR="002B1CEB" w:rsidRPr="00CF582C" w:rsidRDefault="002B1CEB" w:rsidP="00EB7678">
                <w:pPr>
                  <w:spacing w:after="0" w:line="240" w:lineRule="auto"/>
                  <w:rPr>
                    <w:rFonts w:ascii="Calibri" w:eastAsia="Times New Roman" w:hAnsi="Calibri" w:cs="Times New Roman"/>
                    <w:color w:val="000000"/>
                  </w:rPr>
                </w:pPr>
                <w:r w:rsidRPr="00CF582C">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000000" w:fill="E4DFEC"/>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000000" w:fill="E4DFEC"/>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305"/>
              <w:jc w:val="center"/>
            </w:trPr>
            <w:tc>
              <w:tcPr>
                <w:tcW w:w="0" w:type="auto"/>
                <w:tcBorders>
                  <w:top w:val="nil"/>
                  <w:left w:val="single" w:sz="8" w:space="0" w:color="auto"/>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3</w:t>
                </w:r>
              </w:p>
            </w:tc>
            <w:tc>
              <w:tcPr>
                <w:tcW w:w="0" w:type="auto"/>
                <w:tcBorders>
                  <w:top w:val="nil"/>
                  <w:left w:val="nil"/>
                  <w:bottom w:val="single" w:sz="4" w:space="0" w:color="auto"/>
                  <w:right w:val="single" w:sz="4" w:space="0" w:color="auto"/>
                </w:tcBorders>
                <w:shd w:val="clear" w:color="auto" w:fill="auto"/>
                <w:vAlign w:val="bottom"/>
                <w:hideMark/>
              </w:tcPr>
              <w:p w:rsidR="002B1CEB" w:rsidRPr="00F94636" w:rsidRDefault="002B1CEB" w:rsidP="00EB7678">
                <w:pPr>
                  <w:spacing w:after="0" w:line="240" w:lineRule="auto"/>
                  <w:rPr>
                    <w:rFonts w:ascii="Calibri" w:eastAsia="Times New Roman" w:hAnsi="Calibri" w:cs="Times New Roman"/>
                    <w:b/>
                    <w:bCs/>
                    <w:i/>
                    <w:iCs/>
                    <w:color w:val="000000"/>
                  </w:rPr>
                </w:pPr>
                <w:r w:rsidRPr="00F94636">
                  <w:rPr>
                    <w:rFonts w:ascii="Calibri" w:eastAsia="Times New Roman" w:hAnsi="Calibri" w:cs="Times New Roman"/>
                    <w:b/>
                    <w:bCs/>
                    <w:i/>
                    <w:iCs/>
                    <w:color w:val="000000"/>
                  </w:rPr>
                  <w:t>Existing local ICT infrastructure</w:t>
                </w: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color w:val="000000"/>
                  </w:rPr>
                </w:pPr>
                <w:r w:rsidRPr="00CF582C">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755"/>
              <w:jc w:val="center"/>
            </w:trPr>
            <w:tc>
              <w:tcPr>
                <w:tcW w:w="0" w:type="auto"/>
                <w:vMerge w:val="restart"/>
                <w:tcBorders>
                  <w:top w:val="single" w:sz="4" w:space="0" w:color="auto"/>
                  <w:left w:val="single" w:sz="8" w:space="0" w:color="auto"/>
                  <w:bottom w:val="single" w:sz="4" w:space="0" w:color="auto"/>
                  <w:right w:val="single" w:sz="4" w:space="0" w:color="auto"/>
                </w:tcBorders>
                <w:shd w:val="clear" w:color="auto" w:fill="auto"/>
                <w:noWrap/>
                <w:tcFitText/>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2B1CEB">
                  <w:rPr>
                    <w:rFonts w:ascii="Calibri" w:eastAsia="Times New Roman" w:hAnsi="Calibri" w:cs="Times New Roman"/>
                    <w:color w:val="000000"/>
                  </w:rPr>
                  <w:t> </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textDirection w:val="btLr"/>
                <w:tcFitText/>
                <w:vAlign w:val="center"/>
                <w:hideMark/>
              </w:tcPr>
              <w:p w:rsidR="002B1CEB" w:rsidRPr="00F94636" w:rsidRDefault="002B1CEB" w:rsidP="00EB7678">
                <w:pPr>
                  <w:spacing w:after="0" w:line="240" w:lineRule="auto"/>
                  <w:jc w:val="center"/>
                  <w:rPr>
                    <w:rFonts w:ascii="Calibri" w:eastAsia="Times New Roman" w:hAnsi="Calibri" w:cs="Times New Roman"/>
                    <w:b/>
                    <w:bCs/>
                    <w:color w:val="000000"/>
                    <w:sz w:val="20"/>
                    <w:szCs w:val="20"/>
                  </w:rPr>
                </w:pPr>
                <w:r w:rsidRPr="00E13C98">
                  <w:rPr>
                    <w:rFonts w:ascii="Calibri" w:eastAsia="Times New Roman" w:hAnsi="Calibri" w:cs="Times New Roman"/>
                    <w:b/>
                    <w:bCs/>
                    <w:color w:val="000000"/>
                    <w:sz w:val="20"/>
                    <w:szCs w:val="20"/>
                  </w:rPr>
                  <w:t>Prior to the planning and designing of an RPMTS intervention, adequate ICT infrastructure (appropriate network coverage, device penetration, data costs and reliability thereof) must exist to support its deployment and subsequent scaling.</w:t>
                </w: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ICTs' accessibility, availability &amp; sustainability</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A community's accessibility to an ICT infrastructure with long term financial sustainability (costs of data, apps and devices) may have a signi</w:t>
                </w:r>
                <w:r>
                  <w:rPr>
                    <w:rFonts w:ascii="Calibri" w:eastAsia="Times New Roman" w:hAnsi="Calibri" w:cs="Times New Roman"/>
                    <w:color w:val="000000"/>
                    <w:sz w:val="16"/>
                    <w:szCs w:val="16"/>
                  </w:rPr>
                  <w:t>fi</w:t>
                </w:r>
                <w:r w:rsidRPr="00F94636">
                  <w:rPr>
                    <w:rFonts w:ascii="Calibri" w:eastAsia="Times New Roman" w:hAnsi="Calibri" w:cs="Times New Roman"/>
                    <w:color w:val="000000"/>
                    <w:sz w:val="16"/>
                    <w:szCs w:val="16"/>
                  </w:rPr>
                  <w:t>cant impact on RPMTS's adoption and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 [26]</w:t>
                </w:r>
              </w:p>
            </w:tc>
          </w:tr>
          <w:tr w:rsidR="002B1CEB" w:rsidRPr="00F94636" w:rsidTr="00EB7678">
            <w:trPr>
              <w:trHeight w:val="80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9201AF">
                  <w:rPr>
                    <w:rFonts w:ascii="Calibri" w:eastAsia="Times New Roman" w:hAnsi="Calibri" w:cs="Times New Roman"/>
                    <w:iCs/>
                    <w:color w:val="000000"/>
                  </w:rPr>
                  <w:t>Connectivity &amp; reliability</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The reliability and stability of established ICT connections for the purpose of healthcare services increase the community's trust and confidence in RPMTSs interventions and their potential to effectively complement or replace face to face service.</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701"/>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Potential for stakeholder collaboration</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The ability of stakeholders to collaborate within and across industries to achieve health goals (e.g.: ICT providers' willingness to reduce data costs used for health purposes) may  significantly  improve the adoption and scaling of RPMTS interventions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[5], [26]</w:t>
                </w:r>
              </w:p>
            </w:tc>
          </w:tr>
          <w:tr w:rsidR="002B1CEB" w:rsidRPr="00F94636" w:rsidTr="00EB7678">
            <w:trPr>
              <w:trHeight w:val="71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Adequate technical support</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The availability of adequate technical support increases the sustainability, continued adoption and scaling of RPMTS interventions. New users may adopt a new RPMTS intervention because of the availability of reliable, adequate support.</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566"/>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 xml:space="preserve">Network capacity &amp; device penetration </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The prevalence of mobile devices (smart phones) and network capacity in the target ar</w:t>
                </w:r>
                <w:r>
                  <w:rPr>
                    <w:rFonts w:ascii="Calibri" w:eastAsia="Times New Roman" w:hAnsi="Calibri" w:cs="Times New Roman"/>
                    <w:color w:val="000000"/>
                    <w:sz w:val="16"/>
                    <w:szCs w:val="16"/>
                  </w:rPr>
                  <w:t xml:space="preserve">ea may limit the potential for </w:t>
                </w:r>
                <w:r w:rsidRPr="00F94636">
                  <w:rPr>
                    <w:rFonts w:ascii="Calibri" w:eastAsia="Times New Roman" w:hAnsi="Calibri" w:cs="Times New Roman"/>
                    <w:color w:val="000000"/>
                    <w:sz w:val="16"/>
                    <w:szCs w:val="16"/>
                  </w:rPr>
                  <w:lastRenderedPageBreak/>
                  <w:t>scaling and further adoption of a given RPMTS intervention.</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lastRenderedPageBreak/>
                  <w:t>[5], [26]</w:t>
                </w:r>
              </w:p>
            </w:tc>
          </w:tr>
          <w:tr w:rsidR="002B1CEB" w:rsidRPr="00F94636" w:rsidTr="00EB7678">
            <w:trPr>
              <w:trHeight w:val="30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tcBorders>
                  <w:top w:val="nil"/>
                  <w:left w:val="nil"/>
                  <w:bottom w:val="single" w:sz="4" w:space="0" w:color="auto"/>
                  <w:right w:val="single" w:sz="4" w:space="0" w:color="auto"/>
                </w:tcBorders>
                <w:shd w:val="clear" w:color="000000" w:fill="DDD9C4"/>
                <w:vAlign w:val="bottom"/>
                <w:hideMark/>
              </w:tcPr>
              <w:p w:rsidR="002B1CEB" w:rsidRPr="00F94636" w:rsidRDefault="002B1CEB" w:rsidP="00EB7678">
                <w:pPr>
                  <w:spacing w:after="0" w:line="240" w:lineRule="auto"/>
                  <w:rPr>
                    <w:rFonts w:ascii="Calibri" w:eastAsia="Times New Roman" w:hAnsi="Calibri" w:cs="Times New Roman"/>
                    <w:color w:val="000000"/>
                  </w:rPr>
                </w:pPr>
                <w:r w:rsidRPr="00F94636">
                  <w:rPr>
                    <w:rFonts w:ascii="Calibri" w:eastAsia="Times New Roman" w:hAnsi="Calibri" w:cs="Times New Roman"/>
                    <w:color w:val="000000"/>
                  </w:rPr>
                  <w:t> </w:t>
                </w:r>
              </w:p>
            </w:tc>
            <w:tc>
              <w:tcPr>
                <w:tcW w:w="2405" w:type="dxa"/>
                <w:tcBorders>
                  <w:top w:val="nil"/>
                  <w:left w:val="nil"/>
                  <w:bottom w:val="single" w:sz="4" w:space="0" w:color="auto"/>
                  <w:right w:val="single" w:sz="4" w:space="0" w:color="auto"/>
                </w:tcBorders>
                <w:shd w:val="clear" w:color="000000" w:fill="DDD9C4"/>
                <w:vAlign w:val="center"/>
                <w:hideMark/>
              </w:tcPr>
              <w:p w:rsidR="002B1CEB" w:rsidRPr="00CF582C" w:rsidRDefault="002B1CEB" w:rsidP="00EB7678">
                <w:pPr>
                  <w:spacing w:after="0" w:line="240" w:lineRule="auto"/>
                  <w:rPr>
                    <w:rFonts w:ascii="Calibri" w:eastAsia="Times New Roman" w:hAnsi="Calibri" w:cs="Times New Roman"/>
                    <w:color w:val="000000"/>
                  </w:rPr>
                </w:pPr>
                <w:r w:rsidRPr="00CF582C">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000000" w:fill="DDD9C4"/>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000000" w:fill="DDD9C4"/>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242"/>
              <w:jc w:val="center"/>
            </w:trPr>
            <w:tc>
              <w:tcPr>
                <w:tcW w:w="0" w:type="auto"/>
                <w:tcBorders>
                  <w:top w:val="nil"/>
                  <w:left w:val="single" w:sz="8" w:space="0" w:color="auto"/>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w:t>
                </w:r>
              </w:p>
            </w:tc>
            <w:tc>
              <w:tcPr>
                <w:tcW w:w="0" w:type="auto"/>
                <w:tcBorders>
                  <w:top w:val="nil"/>
                  <w:left w:val="nil"/>
                  <w:bottom w:val="single" w:sz="4" w:space="0" w:color="auto"/>
                  <w:right w:val="single" w:sz="4" w:space="0" w:color="auto"/>
                </w:tcBorders>
                <w:shd w:val="clear" w:color="auto" w:fill="auto"/>
                <w:vAlign w:val="bottom"/>
                <w:hideMark/>
              </w:tcPr>
              <w:p w:rsidR="002B1CEB" w:rsidRPr="00F94636" w:rsidRDefault="002B1CEB" w:rsidP="00EB7678">
                <w:pPr>
                  <w:spacing w:after="0" w:line="240" w:lineRule="auto"/>
                  <w:rPr>
                    <w:rFonts w:ascii="Calibri" w:eastAsia="Times New Roman" w:hAnsi="Calibri" w:cs="Times New Roman"/>
                    <w:b/>
                    <w:bCs/>
                    <w:i/>
                    <w:iCs/>
                    <w:color w:val="000000"/>
                  </w:rPr>
                </w:pPr>
                <w:r w:rsidRPr="00F94636">
                  <w:rPr>
                    <w:rFonts w:ascii="Calibri" w:eastAsia="Times New Roman" w:hAnsi="Calibri" w:cs="Times New Roman"/>
                    <w:b/>
                    <w:bCs/>
                    <w:i/>
                    <w:iCs/>
                    <w:color w:val="000000"/>
                  </w:rPr>
                  <w:t>Design approach</w:t>
                </w: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color w:val="000000"/>
                  </w:rPr>
                </w:pPr>
                <w:r w:rsidRPr="00CF582C">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638"/>
              <w:jc w:val="center"/>
            </w:trPr>
            <w:tc>
              <w:tcPr>
                <w:tcW w:w="0" w:type="auto"/>
                <w:vMerge w:val="restart"/>
                <w:tcBorders>
                  <w:top w:val="nil"/>
                  <w:left w:val="single" w:sz="8" w:space="0" w:color="auto"/>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c>
              <w:tcPr>
                <w:tcW w:w="0" w:type="auto"/>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1CEB" w:rsidRPr="00F94636" w:rsidRDefault="002B1CEB" w:rsidP="00EB7678">
                <w:pPr>
                  <w:spacing w:after="0" w:line="240" w:lineRule="auto"/>
                  <w:jc w:val="center"/>
                  <w:rPr>
                    <w:rFonts w:ascii="Calibri" w:eastAsia="Times New Roman" w:hAnsi="Calibri" w:cs="Times New Roman"/>
                    <w:b/>
                    <w:bCs/>
                    <w:color w:val="000000"/>
                    <w:sz w:val="20"/>
                    <w:szCs w:val="20"/>
                  </w:rPr>
                </w:pPr>
                <w:r w:rsidRPr="00F94636">
                  <w:rPr>
                    <w:rFonts w:ascii="Calibri" w:eastAsia="Times New Roman" w:hAnsi="Calibri" w:cs="Times New Roman"/>
                    <w:b/>
                    <w:bCs/>
                    <w:color w:val="000000"/>
                    <w:sz w:val="20"/>
                    <w:szCs w:val="20"/>
                  </w:rPr>
                  <w:t xml:space="preserve">When the design of an RPMTS intervention is </w:t>
                </w:r>
                <w:r w:rsidRPr="00F94636">
                  <w:rPr>
                    <w:rFonts w:ascii="Calibri" w:eastAsia="Times New Roman" w:hAnsi="Calibri" w:cs="Times New Roman"/>
                    <w:b/>
                    <w:bCs/>
                    <w:i/>
                    <w:iCs/>
                    <w:color w:val="000000"/>
                    <w:sz w:val="20"/>
                    <w:szCs w:val="20"/>
                  </w:rPr>
                  <w:t xml:space="preserve">centered </w:t>
                </w:r>
                <w:r>
                  <w:rPr>
                    <w:rFonts w:ascii="Calibri" w:eastAsia="Times New Roman" w:hAnsi="Calibri" w:cs="Times New Roman"/>
                    <w:b/>
                    <w:bCs/>
                    <w:i/>
                    <w:iCs/>
                    <w:color w:val="000000"/>
                    <w:sz w:val="20"/>
                    <w:szCs w:val="20"/>
                  </w:rPr>
                  <w:t>on</w:t>
                </w:r>
                <w:r w:rsidRPr="00F94636">
                  <w:rPr>
                    <w:rFonts w:ascii="Calibri" w:eastAsia="Times New Roman" w:hAnsi="Calibri" w:cs="Times New Roman"/>
                    <w:b/>
                    <w:bCs/>
                    <w:color w:val="000000"/>
                    <w:sz w:val="20"/>
                    <w:szCs w:val="20"/>
                  </w:rPr>
                  <w:t xml:space="preserve"> its targeted users, their needs and lifestyles; they will be more inclined to adopt it. Furthermore, if they are engaged in shaping it</w:t>
                </w:r>
                <w:r w:rsidRPr="00F94636">
                  <w:rPr>
                    <w:rFonts w:ascii="Calibri" w:eastAsia="Times New Roman" w:hAnsi="Calibri" w:cs="Times New Roman"/>
                    <w:b/>
                    <w:bCs/>
                    <w:i/>
                    <w:iCs/>
                    <w:color w:val="000000"/>
                    <w:sz w:val="20"/>
                    <w:szCs w:val="20"/>
                  </w:rPr>
                  <w:t xml:space="preserve"> from its inception</w:t>
                </w:r>
                <w:r w:rsidRPr="00F94636">
                  <w:rPr>
                    <w:rFonts w:ascii="Calibri" w:eastAsia="Times New Roman" w:hAnsi="Calibri" w:cs="Times New Roman"/>
                    <w:b/>
                    <w:bCs/>
                    <w:color w:val="000000"/>
                    <w:sz w:val="20"/>
                    <w:szCs w:val="20"/>
                  </w:rPr>
                  <w:t>, they may feel a sense of ownership, which may positively influence their attitude toward its adoption and scaling.</w:t>
                </w: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Interoperability &amp; compatibility</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The extent to which new RPMTS interventions</w:t>
                </w:r>
                <w:r>
                  <w:rPr>
                    <w:rFonts w:ascii="Calibri" w:eastAsia="Times New Roman" w:hAnsi="Calibri" w:cs="Times New Roman"/>
                    <w:color w:val="000000"/>
                    <w:sz w:val="16"/>
                    <w:szCs w:val="16"/>
                  </w:rPr>
                  <w:t xml:space="preserve"> </w:t>
                </w:r>
                <w:r w:rsidRPr="00F94636">
                  <w:rPr>
                    <w:rFonts w:ascii="Calibri" w:eastAsia="Times New Roman" w:hAnsi="Calibri" w:cs="Times New Roman"/>
                    <w:color w:val="000000"/>
                    <w:sz w:val="16"/>
                    <w:szCs w:val="16"/>
                  </w:rPr>
                  <w:t xml:space="preserve"> seamlessly fit into, interface and work with and within existing healthcare systems has a significant impact their adoption and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 [26]</w:t>
                </w:r>
              </w:p>
            </w:tc>
          </w:tr>
          <w:tr w:rsidR="002B1CEB" w:rsidRPr="00F94636" w:rsidTr="00EB7678">
            <w:trPr>
              <w:trHeight w:val="791"/>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Patient-centered Design</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The extent to which RPMTS interventions are designed to meet the need</w:t>
                </w:r>
                <w:r>
                  <w:rPr>
                    <w:rFonts w:ascii="Calibri" w:eastAsia="Times New Roman" w:hAnsi="Calibri" w:cs="Times New Roman"/>
                    <w:color w:val="000000"/>
                    <w:sz w:val="16"/>
                    <w:szCs w:val="16"/>
                  </w:rPr>
                  <w:t>s of and provide tangible benefi</w:t>
                </w:r>
                <w:r w:rsidRPr="00F94636">
                  <w:rPr>
                    <w:rFonts w:ascii="Calibri" w:eastAsia="Times New Roman" w:hAnsi="Calibri" w:cs="Times New Roman"/>
                    <w:color w:val="000000"/>
                    <w:sz w:val="16"/>
                    <w:szCs w:val="16"/>
                  </w:rPr>
                  <w:t>ts to patients and potential patients significantly increase the chances of  adoption and scaling of RPMTS's interventions.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71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Functionality &amp; adaptability</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The inclusion of features and functionalities which are in light with the needs of intended users as well as the potential for </w:t>
                </w:r>
                <w:r w:rsidRPr="00F94636">
                  <w:rPr>
                    <w:rFonts w:ascii="Calibri" w:eastAsia="Times New Roman" w:hAnsi="Calibri" w:cs="Times New Roman"/>
                    <w:color w:val="000000"/>
                    <w:sz w:val="16"/>
                    <w:szCs w:val="16"/>
                    <w:lang w:val="en-GB"/>
                  </w:rPr>
                  <w:t>customising</w:t>
                </w:r>
                <w:r w:rsidRPr="00F94636">
                  <w:rPr>
                    <w:rFonts w:ascii="Calibri" w:eastAsia="Times New Roman" w:hAnsi="Calibri" w:cs="Times New Roman"/>
                    <w:color w:val="000000"/>
                    <w:sz w:val="16"/>
                    <w:szCs w:val="16"/>
                  </w:rPr>
                  <w:t xml:space="preserve"> above features to a broad range of user groups would foster increased adoption and scaling of RPMTS interventions.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 [26]</w:t>
                </w:r>
              </w:p>
            </w:tc>
          </w:tr>
          <w:tr w:rsidR="002B1CEB" w:rsidRPr="00F94636" w:rsidTr="00EB7678">
            <w:trPr>
              <w:trHeight w:val="1034"/>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Integration in clinical workflows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Integration of RPMTS interventions into clinical workflows and EPR, EMR and EHR improves access to and quality of healthcare services and may lead to their increased adoption and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80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Collaboration across the healthcare domain</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Coordination of health services and collaboration between health care professionals helps to align often conflicting interests and may promote improved adoption and scaling of RPMTS interventions especially among clinicians.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[5], [26]</w:t>
                </w:r>
              </w:p>
            </w:tc>
          </w:tr>
          <w:tr w:rsidR="002B1CEB" w:rsidRPr="00F94636" w:rsidTr="00EB7678">
            <w:trPr>
              <w:trHeight w:val="80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user engagement</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Involvement of users in development and planning of RPMTS interventions allows </w:t>
                </w:r>
                <w:r w:rsidRPr="00F94636">
                  <w:rPr>
                    <w:rFonts w:ascii="Calibri" w:eastAsia="Times New Roman" w:hAnsi="Calibri" w:cs="Times New Roman"/>
                    <w:color w:val="000000"/>
                    <w:sz w:val="16"/>
                    <w:szCs w:val="16"/>
                  </w:rPr>
                  <w:lastRenderedPageBreak/>
                  <w:t>planners to become better acquainted with their requirements and to become aware of their potential resistance to adoptions and scaling of RPMTS interventions.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lastRenderedPageBreak/>
                  <w:t>[4], [5]</w:t>
                </w:r>
              </w:p>
            </w:tc>
          </w:tr>
          <w:tr w:rsidR="002B1CEB" w:rsidRPr="00F94636" w:rsidTr="00EB7678">
            <w:trPr>
              <w:trHeight w:val="809"/>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Simulation and validation (triability)</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Opportunities</w:t>
                </w:r>
                <w:r>
                  <w:rPr>
                    <w:rFonts w:ascii="Calibri" w:eastAsia="Times New Roman" w:hAnsi="Calibri" w:cs="Times New Roman"/>
                    <w:color w:val="000000"/>
                    <w:sz w:val="16"/>
                    <w:szCs w:val="16"/>
                  </w:rPr>
                  <w:t xml:space="preserve"> to </w:t>
                </w:r>
                <w:r w:rsidRPr="00F94636">
                  <w:rPr>
                    <w:rFonts w:ascii="Calibri" w:eastAsia="Times New Roman" w:hAnsi="Calibri" w:cs="Times New Roman"/>
                    <w:color w:val="000000"/>
                    <w:sz w:val="16"/>
                    <w:szCs w:val="16"/>
                  </w:rPr>
                  <w:t>learn about and try RPMTS interventions without strings attached may increase the trust worthiness of specific RPMTS interve</w:t>
                </w:r>
                <w:r>
                  <w:rPr>
                    <w:rFonts w:ascii="Calibri" w:eastAsia="Times New Roman" w:hAnsi="Calibri" w:cs="Times New Roman"/>
                    <w:color w:val="000000"/>
                    <w:sz w:val="16"/>
                    <w:szCs w:val="16"/>
                  </w:rPr>
                  <w:t>nti</w:t>
                </w:r>
                <w:r w:rsidRPr="00F94636">
                  <w:rPr>
                    <w:rFonts w:ascii="Calibri" w:eastAsia="Times New Roman" w:hAnsi="Calibri" w:cs="Times New Roman"/>
                    <w:color w:val="000000"/>
                    <w:sz w:val="16"/>
                    <w:szCs w:val="16"/>
                  </w:rPr>
                  <w:t>ons and hence increase adoption and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[5]</w:t>
                </w:r>
              </w:p>
            </w:tc>
          </w:tr>
          <w:tr w:rsidR="002B1CEB" w:rsidRPr="00F94636" w:rsidTr="00EB7678">
            <w:trPr>
              <w:trHeight w:val="80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 xml:space="preserve">Fit between technology, users and </w:t>
                </w:r>
                <w:r w:rsidRPr="00CF582C">
                  <w:rPr>
                    <w:rFonts w:ascii="Calibri" w:eastAsia="Times New Roman" w:hAnsi="Calibri" w:cs="Times New Roman"/>
                    <w:iCs/>
                    <w:color w:val="000000"/>
                    <w:lang w:val="en-GB"/>
                  </w:rPr>
                  <w:t>organisation</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The extent to which RPMTS interventions are aligned with healthcare </w:t>
                </w:r>
                <w:r w:rsidRPr="00F94636">
                  <w:rPr>
                    <w:rFonts w:ascii="Calibri" w:eastAsia="Times New Roman" w:hAnsi="Calibri" w:cs="Times New Roman"/>
                    <w:color w:val="000000"/>
                    <w:sz w:val="16"/>
                    <w:szCs w:val="16"/>
                    <w:lang w:val="en-GB"/>
                  </w:rPr>
                  <w:t>organisations'</w:t>
                </w:r>
                <w:r w:rsidRPr="00F94636">
                  <w:rPr>
                    <w:rFonts w:ascii="Calibri" w:eastAsia="Times New Roman" w:hAnsi="Calibri" w:cs="Times New Roman"/>
                    <w:color w:val="000000"/>
                    <w:sz w:val="16"/>
                    <w:szCs w:val="16"/>
                  </w:rPr>
                  <w:t xml:space="preserve"> goals and missions and helps users achieve their objectives (e.g. cost-effective, quality care), may determine their adoption and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[5]</w:t>
                </w:r>
              </w:p>
            </w:tc>
          </w:tr>
          <w:tr w:rsidR="002B1CEB" w:rsidRPr="00F94636" w:rsidTr="00EB7678">
            <w:trPr>
              <w:trHeight w:val="755"/>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Data privacy &amp;security</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Privacy and security issues and concerns related to an RPMTS intervention may limit or even prevent its adoption and scaling altogether as potential users are not prepared to compromise their privacy.</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 [26]</w:t>
                </w:r>
              </w:p>
            </w:tc>
          </w:tr>
          <w:tr w:rsidR="002B1CEB" w:rsidRPr="00F94636" w:rsidTr="00EB7678">
            <w:trPr>
              <w:trHeight w:val="30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tcBorders>
                  <w:top w:val="nil"/>
                  <w:left w:val="nil"/>
                  <w:bottom w:val="single" w:sz="4" w:space="0" w:color="auto"/>
                  <w:right w:val="single" w:sz="4" w:space="0" w:color="auto"/>
                </w:tcBorders>
                <w:shd w:val="clear" w:color="000000" w:fill="FDE9D9"/>
                <w:vAlign w:val="bottom"/>
                <w:hideMark/>
              </w:tcPr>
              <w:p w:rsidR="002B1CEB" w:rsidRPr="00F94636" w:rsidRDefault="002B1CEB" w:rsidP="00EB7678">
                <w:pPr>
                  <w:spacing w:after="0" w:line="240" w:lineRule="auto"/>
                  <w:rPr>
                    <w:rFonts w:ascii="Calibri" w:eastAsia="Times New Roman" w:hAnsi="Calibri" w:cs="Times New Roman"/>
                    <w:color w:val="000000"/>
                  </w:rPr>
                </w:pPr>
                <w:r w:rsidRPr="00F94636">
                  <w:rPr>
                    <w:rFonts w:ascii="Calibri" w:eastAsia="Times New Roman" w:hAnsi="Calibri" w:cs="Times New Roman"/>
                    <w:color w:val="000000"/>
                  </w:rPr>
                  <w:t> </w:t>
                </w:r>
              </w:p>
            </w:tc>
            <w:tc>
              <w:tcPr>
                <w:tcW w:w="2405" w:type="dxa"/>
                <w:tcBorders>
                  <w:top w:val="nil"/>
                  <w:left w:val="nil"/>
                  <w:bottom w:val="single" w:sz="4" w:space="0" w:color="auto"/>
                  <w:right w:val="single" w:sz="4" w:space="0" w:color="auto"/>
                </w:tcBorders>
                <w:shd w:val="clear" w:color="000000" w:fill="FDE9D9"/>
                <w:vAlign w:val="center"/>
                <w:hideMark/>
              </w:tcPr>
              <w:p w:rsidR="002B1CEB" w:rsidRPr="00CF582C" w:rsidRDefault="002B1CEB" w:rsidP="00EB7678">
                <w:pPr>
                  <w:spacing w:after="0" w:line="240" w:lineRule="auto"/>
                  <w:rPr>
                    <w:rFonts w:ascii="Calibri" w:eastAsia="Times New Roman" w:hAnsi="Calibri" w:cs="Times New Roman"/>
                    <w:color w:val="000000"/>
                  </w:rPr>
                </w:pPr>
                <w:r w:rsidRPr="00CF582C">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000000" w:fill="FDE9D9"/>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000000" w:fill="FDE9D9"/>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350"/>
              <w:jc w:val="center"/>
            </w:trPr>
            <w:tc>
              <w:tcPr>
                <w:tcW w:w="0" w:type="auto"/>
                <w:tcBorders>
                  <w:top w:val="nil"/>
                  <w:left w:val="single" w:sz="8" w:space="0" w:color="auto"/>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5</w:t>
                </w:r>
              </w:p>
            </w:tc>
            <w:tc>
              <w:tcPr>
                <w:tcW w:w="0" w:type="auto"/>
                <w:tcBorders>
                  <w:top w:val="nil"/>
                  <w:left w:val="nil"/>
                  <w:bottom w:val="single" w:sz="4" w:space="0" w:color="auto"/>
                  <w:right w:val="single" w:sz="4" w:space="0" w:color="auto"/>
                </w:tcBorders>
                <w:shd w:val="clear" w:color="auto" w:fill="auto"/>
                <w:vAlign w:val="bottom"/>
                <w:hideMark/>
              </w:tcPr>
              <w:p w:rsidR="002B1CEB" w:rsidRPr="00F94636" w:rsidRDefault="002B1CEB" w:rsidP="00EB7678">
                <w:pPr>
                  <w:spacing w:after="0" w:line="240" w:lineRule="auto"/>
                  <w:rPr>
                    <w:rFonts w:ascii="Calibri" w:eastAsia="Times New Roman" w:hAnsi="Calibri" w:cs="Times New Roman"/>
                    <w:b/>
                    <w:bCs/>
                    <w:i/>
                    <w:iCs/>
                    <w:color w:val="000000"/>
                  </w:rPr>
                </w:pPr>
                <w:r w:rsidRPr="00F94636">
                  <w:rPr>
                    <w:rFonts w:ascii="Calibri" w:eastAsia="Times New Roman" w:hAnsi="Calibri" w:cs="Times New Roman"/>
                    <w:b/>
                    <w:bCs/>
                    <w:i/>
                    <w:iCs/>
                    <w:color w:val="000000"/>
                  </w:rPr>
                  <w:t xml:space="preserve">Triggers for use and adoption </w:t>
                </w: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color w:val="000000"/>
                  </w:rPr>
                </w:pPr>
                <w:r w:rsidRPr="00CF582C">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1655"/>
              <w:jc w:val="center"/>
            </w:trPr>
            <w:tc>
              <w:tcPr>
                <w:tcW w:w="0" w:type="auto"/>
                <w:vMerge w:val="restart"/>
                <w:tcBorders>
                  <w:top w:val="nil"/>
                  <w:left w:val="single" w:sz="8" w:space="0" w:color="auto"/>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c>
              <w:tcPr>
                <w:tcW w:w="0" w:type="auto"/>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1CEB" w:rsidRPr="00F94636" w:rsidRDefault="002B1CEB" w:rsidP="00EB7678">
                <w:pPr>
                  <w:spacing w:after="0" w:line="240" w:lineRule="auto"/>
                  <w:jc w:val="center"/>
                  <w:rPr>
                    <w:rFonts w:ascii="Calibri" w:eastAsia="Times New Roman" w:hAnsi="Calibri" w:cs="Times New Roman"/>
                    <w:b/>
                    <w:bCs/>
                    <w:color w:val="000000"/>
                    <w:sz w:val="20"/>
                    <w:szCs w:val="20"/>
                  </w:rPr>
                </w:pPr>
                <w:r w:rsidRPr="00F94636">
                  <w:rPr>
                    <w:rFonts w:ascii="Calibri" w:eastAsia="Times New Roman" w:hAnsi="Calibri" w:cs="Times New Roman"/>
                    <w:b/>
                    <w:bCs/>
                    <w:color w:val="000000"/>
                    <w:sz w:val="20"/>
                    <w:szCs w:val="20"/>
                  </w:rPr>
                  <w:t>Interventions ought to provide</w:t>
                </w:r>
                <w:r w:rsidRPr="00F94636">
                  <w:rPr>
                    <w:rFonts w:ascii="Calibri" w:eastAsia="Times New Roman" w:hAnsi="Calibri" w:cs="Times New Roman"/>
                    <w:b/>
                    <w:bCs/>
                    <w:i/>
                    <w:iCs/>
                    <w:color w:val="000000"/>
                    <w:sz w:val="20"/>
                    <w:szCs w:val="20"/>
                  </w:rPr>
                  <w:t xml:space="preserve"> use triggering opportunities</w:t>
                </w:r>
                <w:r w:rsidRPr="00F94636">
                  <w:rPr>
                    <w:rFonts w:ascii="Calibri" w:eastAsia="Times New Roman" w:hAnsi="Calibri" w:cs="Times New Roman"/>
                    <w:b/>
                    <w:bCs/>
                    <w:color w:val="000000"/>
                    <w:sz w:val="20"/>
                    <w:szCs w:val="20"/>
                  </w:rPr>
                  <w:t xml:space="preserve"> to potential users to try or start using a particular RPMTS intervention. The greater the number of people in the targeted community able to come across and access these opportunities, the more likely an RPMTS intervention is to be adopted and scaled.</w:t>
                </w: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Number of targeted diseases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The diversity of health conditions addressed by an RPMTS Intervention broadens opportunities for its uses (or usefulness). Furthermore, it may be the case that the greater the number of its users, the lower its costs per a user (economies of scale).</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w:t>
                </w:r>
              </w:p>
            </w:tc>
          </w:tr>
          <w:tr w:rsidR="002B1CEB" w:rsidRPr="00F94636" w:rsidTr="00EB7678">
            <w:trPr>
              <w:trHeight w:val="611"/>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Awareness and promotion</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The extent to which new RPMTS interventions are promoted can shape attitudes and perceptions of potential users</w:t>
                </w:r>
                <w:r>
                  <w:rPr>
                    <w:rFonts w:ascii="Calibri" w:eastAsia="Times New Roman" w:hAnsi="Calibri" w:cs="Times New Roman"/>
                    <w:color w:val="000000"/>
                    <w:sz w:val="16"/>
                    <w:szCs w:val="16"/>
                  </w:rPr>
                  <w:t xml:space="preserve"> </w:t>
                </w:r>
                <w:r w:rsidRPr="00F94636">
                  <w:rPr>
                    <w:rFonts w:ascii="Calibri" w:eastAsia="Times New Roman" w:hAnsi="Calibri" w:cs="Times New Roman"/>
                    <w:color w:val="000000"/>
                    <w:sz w:val="16"/>
                    <w:szCs w:val="16"/>
                  </w:rPr>
                  <w:t xml:space="preserve">and trigger subsequent adoption and scaling </w:t>
                </w:r>
                <w:r w:rsidRPr="00F94636">
                  <w:rPr>
                    <w:rFonts w:ascii="Calibri" w:eastAsia="Times New Roman" w:hAnsi="Calibri" w:cs="Times New Roman"/>
                    <w:color w:val="000000"/>
                    <w:sz w:val="16"/>
                    <w:szCs w:val="16"/>
                  </w:rPr>
                  <w:lastRenderedPageBreak/>
                  <w:t>of these systems and tools.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lastRenderedPageBreak/>
                  <w:t>[5], [26]</w:t>
                </w:r>
              </w:p>
            </w:tc>
          </w:tr>
          <w:tr w:rsidR="002B1CEB" w:rsidRPr="00F94636" w:rsidTr="00EB7678">
            <w:trPr>
              <w:trHeight w:val="675"/>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Trustworthiness and quality</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The quality and trust that potential users perceive and experience from an RPMTS intervention may be a key trigger for its sub</w:t>
                </w:r>
                <w:r>
                  <w:rPr>
                    <w:rFonts w:ascii="Calibri" w:eastAsia="Times New Roman" w:hAnsi="Calibri" w:cs="Times New Roman"/>
                    <w:color w:val="000000"/>
                    <w:sz w:val="16"/>
                    <w:szCs w:val="16"/>
                  </w:rPr>
                  <w:t>se</w:t>
                </w:r>
                <w:r w:rsidRPr="00F94636">
                  <w:rPr>
                    <w:rFonts w:ascii="Calibri" w:eastAsia="Times New Roman" w:hAnsi="Calibri" w:cs="Times New Roman"/>
                    <w:color w:val="000000"/>
                    <w:sz w:val="16"/>
                    <w:szCs w:val="16"/>
                  </w:rPr>
                  <w:t>quent use, adoption and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602"/>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Ease of use &amp; automation</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The ease of use and level of automation of RPMTS interventions can encourage users to start using them and eventually lead to their adoption and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620"/>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Mobility &amp; flexibility</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Mobility and flexibility offers convenience to potential users and may help trigger the adoption of RPMTS intervention and lead to their subsequent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485"/>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Training (clinician &amp; users)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Opportunities for training on new RPMTS interventions often triggers adoption and may lead to sub</w:t>
                </w:r>
                <w:r>
                  <w:rPr>
                    <w:rFonts w:ascii="Calibri" w:eastAsia="Times New Roman" w:hAnsi="Calibri" w:cs="Times New Roman"/>
                    <w:color w:val="000000"/>
                    <w:sz w:val="16"/>
                    <w:szCs w:val="16"/>
                  </w:rPr>
                  <w:t>se</w:t>
                </w:r>
                <w:r w:rsidRPr="00F94636">
                  <w:rPr>
                    <w:rFonts w:ascii="Calibri" w:eastAsia="Times New Roman" w:hAnsi="Calibri" w:cs="Times New Roman"/>
                    <w:color w:val="000000"/>
                    <w:sz w:val="16"/>
                    <w:szCs w:val="16"/>
                  </w:rPr>
                  <w:t>quent scaling of these interventions.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611"/>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Promotion of self-management</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Promotion of self-management empowers clinicians and patients and increases their sense of ownership of an intervention, leading to adoption and subsequent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[5], [26]</w:t>
                </w:r>
              </w:p>
            </w:tc>
          </w:tr>
          <w:tr w:rsidR="002B1CEB" w:rsidRPr="00F94636" w:rsidTr="00EB7678">
            <w:trPr>
              <w:trHeight w:val="251"/>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Accessibility to the general public</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All things being equal, a more easily accessible RPMTS intervention is more likely to be used than one the public struggles to access</w:t>
                </w:r>
                <w:r>
                  <w:rPr>
                    <w:rFonts w:ascii="Calibri" w:eastAsia="Times New Roman" w:hAnsi="Calibri" w:cs="Times New Roman"/>
                    <w:color w:val="000000"/>
                    <w:sz w:val="16"/>
                    <w:szCs w:val="16"/>
                  </w:rPr>
                  <w:t xml:space="preserve"> or one which only  a small number of people can access</w:t>
                </w:r>
                <w:r w:rsidRPr="00F94636">
                  <w:rPr>
                    <w:rFonts w:ascii="Calibri" w:eastAsia="Times New Roman" w:hAnsi="Calibri" w:cs="Times New Roman"/>
                    <w:color w:val="000000"/>
                    <w:sz w:val="16"/>
                    <w:szCs w:val="16"/>
                  </w:rPr>
                  <w:t>.</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728"/>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Perception &amp; short feedback times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If users perceive RPMTS interventions as proving them with quick feedback than traditional channels, they are more likely to try them and adopt their use. Potential for scaling is also increased.</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 [26]</w:t>
                </w:r>
              </w:p>
            </w:tc>
          </w:tr>
          <w:tr w:rsidR="002B1CEB" w:rsidRPr="00F94636" w:rsidTr="00EB7678">
            <w:trPr>
              <w:trHeight w:val="737"/>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Ability to complement or replace visits to clinics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Users who feel that RPMTS interventions complement or can replace face-to face interventions will be motivated to use them when accessing healthcare services.</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r w:rsidR="002B1CEB" w:rsidRPr="00F94636" w:rsidTr="00EB7678">
            <w:trPr>
              <w:trHeight w:val="152"/>
              <w:jc w:val="center"/>
            </w:trPr>
            <w:tc>
              <w:tcPr>
                <w:tcW w:w="0" w:type="auto"/>
                <w:vMerge/>
                <w:tcBorders>
                  <w:top w:val="nil"/>
                  <w:left w:val="single" w:sz="8"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tcBorders>
                  <w:top w:val="nil"/>
                  <w:left w:val="nil"/>
                  <w:bottom w:val="single" w:sz="4" w:space="0" w:color="auto"/>
                  <w:right w:val="single" w:sz="4" w:space="0" w:color="auto"/>
                </w:tcBorders>
                <w:shd w:val="clear" w:color="000000" w:fill="EBF1DE"/>
                <w:vAlign w:val="bottom"/>
                <w:hideMark/>
              </w:tcPr>
              <w:p w:rsidR="002B1CEB" w:rsidRPr="00F94636" w:rsidRDefault="002B1CEB" w:rsidP="00EB7678">
                <w:pPr>
                  <w:spacing w:after="0" w:line="240" w:lineRule="auto"/>
                  <w:rPr>
                    <w:rFonts w:ascii="Calibri" w:eastAsia="Times New Roman" w:hAnsi="Calibri" w:cs="Times New Roman"/>
                    <w:color w:val="000000"/>
                  </w:rPr>
                </w:pPr>
                <w:r w:rsidRPr="00F94636">
                  <w:rPr>
                    <w:rFonts w:ascii="Calibri" w:eastAsia="Times New Roman" w:hAnsi="Calibri" w:cs="Times New Roman"/>
                    <w:color w:val="000000"/>
                  </w:rPr>
                  <w:t> </w:t>
                </w:r>
              </w:p>
            </w:tc>
            <w:tc>
              <w:tcPr>
                <w:tcW w:w="2405" w:type="dxa"/>
                <w:tcBorders>
                  <w:top w:val="nil"/>
                  <w:left w:val="nil"/>
                  <w:bottom w:val="single" w:sz="4" w:space="0" w:color="auto"/>
                  <w:right w:val="single" w:sz="4" w:space="0" w:color="auto"/>
                </w:tcBorders>
                <w:shd w:val="clear" w:color="000000" w:fill="EBF1DE"/>
                <w:vAlign w:val="center"/>
                <w:hideMark/>
              </w:tcPr>
              <w:p w:rsidR="002B1CEB" w:rsidRPr="00CF582C" w:rsidRDefault="002B1CEB" w:rsidP="00EB7678">
                <w:pPr>
                  <w:spacing w:after="0" w:line="240" w:lineRule="auto"/>
                  <w:rPr>
                    <w:rFonts w:ascii="Calibri" w:eastAsia="Times New Roman" w:hAnsi="Calibri" w:cs="Times New Roman"/>
                    <w:color w:val="000000"/>
                  </w:rPr>
                </w:pPr>
                <w:r w:rsidRPr="00CF582C">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000000" w:fill="EBF1DE"/>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000000" w:fill="EBF1DE"/>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494"/>
              <w:jc w:val="center"/>
            </w:trPr>
            <w:tc>
              <w:tcPr>
                <w:tcW w:w="0" w:type="auto"/>
                <w:tcBorders>
                  <w:top w:val="nil"/>
                  <w:left w:val="single" w:sz="8" w:space="0" w:color="auto"/>
                  <w:bottom w:val="single" w:sz="4" w:space="0" w:color="auto"/>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6</w:t>
                </w:r>
              </w:p>
            </w:tc>
            <w:tc>
              <w:tcPr>
                <w:tcW w:w="0" w:type="auto"/>
                <w:tcBorders>
                  <w:top w:val="nil"/>
                  <w:left w:val="nil"/>
                  <w:bottom w:val="single" w:sz="4" w:space="0" w:color="auto"/>
                  <w:right w:val="single" w:sz="4" w:space="0" w:color="auto"/>
                </w:tcBorders>
                <w:shd w:val="clear" w:color="auto" w:fill="auto"/>
                <w:vAlign w:val="bottom"/>
                <w:hideMark/>
              </w:tcPr>
              <w:p w:rsidR="002B1CEB" w:rsidRPr="00F94636" w:rsidRDefault="002B1CEB" w:rsidP="00EB7678">
                <w:pPr>
                  <w:spacing w:after="0" w:line="240" w:lineRule="auto"/>
                  <w:rPr>
                    <w:rFonts w:ascii="Calibri" w:eastAsia="Times New Roman" w:hAnsi="Calibri" w:cs="Times New Roman"/>
                    <w:b/>
                    <w:bCs/>
                    <w:i/>
                    <w:iCs/>
                    <w:color w:val="000000"/>
                  </w:rPr>
                </w:pPr>
                <w:r w:rsidRPr="00F94636">
                  <w:rPr>
                    <w:rFonts w:ascii="Calibri" w:eastAsia="Times New Roman" w:hAnsi="Calibri" w:cs="Times New Roman"/>
                    <w:b/>
                    <w:bCs/>
                    <w:i/>
                    <w:iCs/>
                    <w:color w:val="000000"/>
                  </w:rPr>
                  <w:t>Post-deployment assessment factors</w:t>
                </w: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color w:val="000000"/>
                  </w:rPr>
                </w:pPr>
                <w:r w:rsidRPr="00CF582C">
                  <w:rPr>
                    <w:rFonts w:ascii="Calibri" w:eastAsia="Times New Roman" w:hAnsi="Calibri" w:cs="Times New Roman"/>
                    <w:color w:val="000000"/>
                  </w:rPr>
                  <w:t> </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r>
          <w:tr w:rsidR="002B1CEB" w:rsidRPr="00F94636" w:rsidTr="00EB7678">
            <w:trPr>
              <w:trHeight w:val="602"/>
              <w:jc w:val="center"/>
            </w:trPr>
            <w:tc>
              <w:tcPr>
                <w:tcW w:w="0" w:type="auto"/>
                <w:vMerge w:val="restart"/>
                <w:tcBorders>
                  <w:top w:val="nil"/>
                  <w:left w:val="single" w:sz="8" w:space="0" w:color="auto"/>
                  <w:bottom w:val="single" w:sz="8" w:space="0" w:color="000000"/>
                  <w:right w:val="single" w:sz="4"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 </w:t>
                </w:r>
              </w:p>
            </w:tc>
            <w:tc>
              <w:tcPr>
                <w:tcW w:w="0" w:type="auto"/>
                <w:vMerge w:val="restart"/>
                <w:tcBorders>
                  <w:top w:val="nil"/>
                  <w:left w:val="single" w:sz="4" w:space="0" w:color="auto"/>
                  <w:bottom w:val="single" w:sz="4" w:space="0" w:color="auto"/>
                  <w:right w:val="single" w:sz="4" w:space="0" w:color="auto"/>
                </w:tcBorders>
                <w:shd w:val="clear" w:color="auto" w:fill="auto"/>
                <w:textDirection w:val="btLr"/>
                <w:tcFitText/>
                <w:vAlign w:val="center"/>
                <w:hideMark/>
              </w:tcPr>
              <w:p w:rsidR="002B1CEB" w:rsidRPr="00F94636" w:rsidRDefault="002B1CEB" w:rsidP="00EB7678">
                <w:pPr>
                  <w:spacing w:after="0" w:line="240" w:lineRule="auto"/>
                  <w:jc w:val="center"/>
                  <w:rPr>
                    <w:rFonts w:ascii="Calibri" w:eastAsia="Times New Roman" w:hAnsi="Calibri" w:cs="Times New Roman"/>
                    <w:b/>
                    <w:bCs/>
                    <w:color w:val="000000"/>
                    <w:sz w:val="20"/>
                    <w:szCs w:val="20"/>
                  </w:rPr>
                </w:pPr>
                <w:r w:rsidRPr="006A6F1E">
                  <w:rPr>
                    <w:rFonts w:ascii="Calibri" w:eastAsia="Times New Roman" w:hAnsi="Calibri" w:cs="Times New Roman"/>
                    <w:b/>
                    <w:bCs/>
                    <w:color w:val="000000"/>
                    <w:sz w:val="20"/>
                    <w:szCs w:val="20"/>
                  </w:rPr>
                  <w:t>Interventions are expected to be able to convincingly demonstrate (</w:t>
                </w:r>
                <w:r w:rsidRPr="006A6F1E">
                  <w:rPr>
                    <w:rFonts w:ascii="Calibri" w:eastAsia="Times New Roman" w:hAnsi="Calibri" w:cs="Times New Roman"/>
                    <w:b/>
                    <w:bCs/>
                    <w:i/>
                    <w:iCs/>
                    <w:color w:val="000000"/>
                    <w:sz w:val="20"/>
                    <w:szCs w:val="20"/>
                    <w:u w:val="single"/>
                  </w:rPr>
                  <w:t>a-priori</w:t>
                </w:r>
                <w:r w:rsidRPr="006A6F1E">
                  <w:rPr>
                    <w:rFonts w:ascii="Calibri" w:eastAsia="Times New Roman" w:hAnsi="Calibri" w:cs="Times New Roman"/>
                    <w:b/>
                    <w:bCs/>
                    <w:color w:val="000000"/>
                    <w:sz w:val="20"/>
                    <w:szCs w:val="20"/>
                  </w:rPr>
                  <w:t>) evidence of how they will be able to meet certain</w:t>
                </w:r>
                <w:r w:rsidRPr="006A6F1E">
                  <w:rPr>
                    <w:rFonts w:ascii="Calibri" w:eastAsia="Times New Roman" w:hAnsi="Calibri" w:cs="Times New Roman"/>
                    <w:b/>
                    <w:bCs/>
                    <w:i/>
                    <w:iCs/>
                    <w:color w:val="000000"/>
                    <w:sz w:val="20"/>
                    <w:szCs w:val="20"/>
                  </w:rPr>
                  <w:t xml:space="preserve"> key performance indicators after</w:t>
                </w:r>
                <w:r w:rsidRPr="006A6F1E">
                  <w:rPr>
                    <w:rFonts w:ascii="Calibri" w:eastAsia="Times New Roman" w:hAnsi="Calibri" w:cs="Times New Roman"/>
                    <w:b/>
                    <w:bCs/>
                    <w:color w:val="000000"/>
                    <w:sz w:val="20"/>
                    <w:szCs w:val="20"/>
                  </w:rPr>
                  <w:t xml:space="preserve"> their implementation in order to attract adequate support and funding which may in turn have a bearing on their subsequent adoption and scaling.</w:t>
                </w: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Reduced healthcare costs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If stakeholders and users believe that the use of RPMTS leads to reduced healthcare costs; they are more likely to promoted its adoption and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 [26]</w:t>
                </w:r>
              </w:p>
            </w:tc>
          </w:tr>
          <w:tr w:rsidR="002B1CEB" w:rsidRPr="00F94636" w:rsidTr="00EB7678">
            <w:trPr>
              <w:trHeight w:val="250"/>
              <w:jc w:val="center"/>
            </w:trPr>
            <w:tc>
              <w:tcPr>
                <w:tcW w:w="0" w:type="auto"/>
                <w:vMerge/>
                <w:tcBorders>
                  <w:top w:val="nil"/>
                  <w:left w:val="single" w:sz="8" w:space="0" w:color="auto"/>
                  <w:bottom w:val="single" w:sz="8" w:space="0" w:color="000000"/>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Return on investment(funding)</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Funders expect some form of return on their funds and the extent to which an RPMTS intervention can demonstrates its sustainable benefits in this regard, the more likely that </w:t>
                </w:r>
                <w:r>
                  <w:rPr>
                    <w:rFonts w:ascii="Calibri" w:eastAsia="Times New Roman" w:hAnsi="Calibri" w:cs="Times New Roman"/>
                    <w:color w:val="000000"/>
                    <w:sz w:val="16"/>
                    <w:szCs w:val="16"/>
                  </w:rPr>
                  <w:t xml:space="preserve">the </w:t>
                </w:r>
                <w:r w:rsidRPr="00F94636">
                  <w:rPr>
                    <w:rFonts w:ascii="Calibri" w:eastAsia="Times New Roman" w:hAnsi="Calibri" w:cs="Times New Roman"/>
                    <w:color w:val="000000"/>
                    <w:sz w:val="16"/>
                    <w:szCs w:val="16"/>
                  </w:rPr>
                  <w:t>necessary fund</w:t>
                </w:r>
                <w:r>
                  <w:rPr>
                    <w:rFonts w:ascii="Calibri" w:eastAsia="Times New Roman" w:hAnsi="Calibri" w:cs="Times New Roman"/>
                    <w:color w:val="000000"/>
                    <w:sz w:val="16"/>
                    <w:szCs w:val="16"/>
                  </w:rPr>
                  <w:t xml:space="preserve">s  </w:t>
                </w:r>
                <w:r w:rsidRPr="00F94636">
                  <w:rPr>
                    <w:rFonts w:ascii="Calibri" w:eastAsia="Times New Roman" w:hAnsi="Calibri" w:cs="Times New Roman"/>
                    <w:color w:val="000000"/>
                    <w:sz w:val="16"/>
                    <w:szCs w:val="16"/>
                  </w:rPr>
                  <w:t xml:space="preserve">will be made available to design them for adoption and scaling. </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[5], [26]</w:t>
                </w:r>
              </w:p>
            </w:tc>
          </w:tr>
          <w:tr w:rsidR="002B1CEB" w:rsidRPr="00F94636" w:rsidTr="00EB7678">
            <w:trPr>
              <w:trHeight w:val="1105"/>
              <w:jc w:val="center"/>
            </w:trPr>
            <w:tc>
              <w:tcPr>
                <w:tcW w:w="0" w:type="auto"/>
                <w:vMerge/>
                <w:tcBorders>
                  <w:top w:val="nil"/>
                  <w:left w:val="single" w:sz="8" w:space="0" w:color="auto"/>
                  <w:bottom w:val="single" w:sz="8" w:space="0" w:color="000000"/>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Better quality of care</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Planned RPMTS Interventions</w:t>
                </w:r>
                <w:r>
                  <w:rPr>
                    <w:rFonts w:ascii="Calibri" w:eastAsia="Times New Roman" w:hAnsi="Calibri" w:cs="Times New Roman"/>
                    <w:color w:val="000000"/>
                    <w:sz w:val="16"/>
                    <w:szCs w:val="16"/>
                  </w:rPr>
                  <w:t xml:space="preserve"> </w:t>
                </w:r>
                <w:r w:rsidRPr="00F94636">
                  <w:rPr>
                    <w:rFonts w:ascii="Calibri" w:eastAsia="Times New Roman" w:hAnsi="Calibri" w:cs="Times New Roman"/>
                    <w:color w:val="000000"/>
                    <w:sz w:val="16"/>
                    <w:szCs w:val="16"/>
                  </w:rPr>
                  <w:t>able to demonstrate evidence of improved quality of care after their deployment are more likely to improve their chances of receiving adequate funding and subsequent adoption and scaling.</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[5], [26]</w:t>
                </w:r>
              </w:p>
            </w:tc>
          </w:tr>
          <w:tr w:rsidR="002B1CEB" w:rsidRPr="00F94636" w:rsidTr="00EB7678">
            <w:trPr>
              <w:trHeight w:val="619"/>
              <w:jc w:val="center"/>
            </w:trPr>
            <w:tc>
              <w:tcPr>
                <w:tcW w:w="0" w:type="auto"/>
                <w:vMerge/>
                <w:tcBorders>
                  <w:top w:val="nil"/>
                  <w:left w:val="single" w:sz="8" w:space="0" w:color="auto"/>
                  <w:bottom w:val="single" w:sz="8" w:space="0" w:color="000000"/>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 xml:space="preserve">Reduced rates of </w:t>
                </w:r>
                <w:r w:rsidRPr="00CF582C">
                  <w:rPr>
                    <w:rFonts w:ascii="Calibri" w:eastAsia="Times New Roman" w:hAnsi="Calibri" w:cs="Times New Roman"/>
                    <w:iCs/>
                    <w:color w:val="000000"/>
                    <w:lang w:val="en-GB"/>
                  </w:rPr>
                  <w:t>hospitalisation</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RPMTS Interventions</w:t>
                </w:r>
                <w:r>
                  <w:rPr>
                    <w:rFonts w:ascii="Calibri" w:eastAsia="Times New Roman" w:hAnsi="Calibri" w:cs="Times New Roman"/>
                    <w:color w:val="000000"/>
                    <w:sz w:val="16"/>
                    <w:szCs w:val="16"/>
                  </w:rPr>
                  <w:t xml:space="preserve"> </w:t>
                </w:r>
                <w:r w:rsidRPr="00F94636">
                  <w:rPr>
                    <w:rFonts w:ascii="Calibri" w:eastAsia="Times New Roman" w:hAnsi="Calibri" w:cs="Times New Roman"/>
                    <w:color w:val="000000"/>
                    <w:sz w:val="16"/>
                    <w:szCs w:val="16"/>
                  </w:rPr>
                  <w:t xml:space="preserve">capable of demonstrating reduced rates of </w:t>
                </w:r>
                <w:r w:rsidRPr="00F94636">
                  <w:rPr>
                    <w:rFonts w:ascii="Calibri" w:eastAsia="Times New Roman" w:hAnsi="Calibri" w:cs="Times New Roman"/>
                    <w:color w:val="000000"/>
                    <w:sz w:val="16"/>
                    <w:szCs w:val="16"/>
                    <w:lang w:val="en-GB"/>
                  </w:rPr>
                  <w:t>hospitalisation</w:t>
                </w:r>
                <w:r w:rsidRPr="00F94636">
                  <w:rPr>
                    <w:rFonts w:ascii="Calibri" w:eastAsia="Times New Roman" w:hAnsi="Calibri" w:cs="Times New Roman"/>
                    <w:color w:val="000000"/>
                    <w:sz w:val="16"/>
                    <w:szCs w:val="16"/>
                  </w:rPr>
                  <w:t xml:space="preserve"> are not only more likely to attract adequate funding but also likely to be adopted and scaled</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w:t>
                </w:r>
              </w:p>
            </w:tc>
          </w:tr>
          <w:tr w:rsidR="002B1CEB" w:rsidRPr="00F94636" w:rsidTr="00EB7678">
            <w:trPr>
              <w:trHeight w:val="700"/>
              <w:jc w:val="center"/>
            </w:trPr>
            <w:tc>
              <w:tcPr>
                <w:tcW w:w="0" w:type="auto"/>
                <w:vMerge/>
                <w:tcBorders>
                  <w:top w:val="nil"/>
                  <w:left w:val="single" w:sz="8" w:space="0" w:color="auto"/>
                  <w:bottom w:val="single" w:sz="8" w:space="0" w:color="000000"/>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Community wellbeing</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RPMTS interventions which emphasize the relationship between healthcare providers and the community they serve to promote overall community’s wellbeing are likely to be adopted and scaled.</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[26]</w:t>
                </w:r>
              </w:p>
            </w:tc>
          </w:tr>
          <w:tr w:rsidR="002B1CEB" w:rsidRPr="00F94636" w:rsidTr="00EB7678">
            <w:trPr>
              <w:trHeight w:val="610"/>
              <w:jc w:val="center"/>
            </w:trPr>
            <w:tc>
              <w:tcPr>
                <w:tcW w:w="0" w:type="auto"/>
                <w:vMerge/>
                <w:tcBorders>
                  <w:top w:val="nil"/>
                  <w:left w:val="single" w:sz="8" w:space="0" w:color="auto"/>
                  <w:bottom w:val="single" w:sz="8" w:space="0" w:color="000000"/>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Reduced waiting times and overcrowding</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 xml:space="preserve">Patients and potential patients are likely to adopt RPMTS </w:t>
                </w:r>
                <w:r w:rsidRPr="00F94636">
                  <w:rPr>
                    <w:rFonts w:ascii="Calibri" w:eastAsia="Times New Roman" w:hAnsi="Calibri" w:cs="Times New Roman"/>
                    <w:color w:val="000000"/>
                    <w:sz w:val="16"/>
                    <w:szCs w:val="16"/>
                  </w:rPr>
                  <w:lastRenderedPageBreak/>
                  <w:t>interventions which reduce their waiting time and clinicians may promote those the reduce overcrowding at their health facility.</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lastRenderedPageBreak/>
                  <w:t>[4], [5], [26]</w:t>
                </w:r>
              </w:p>
            </w:tc>
          </w:tr>
          <w:tr w:rsidR="002B1CEB" w:rsidRPr="00F94636" w:rsidTr="00EB7678">
            <w:trPr>
              <w:trHeight w:val="1375"/>
              <w:jc w:val="center"/>
            </w:trPr>
            <w:tc>
              <w:tcPr>
                <w:tcW w:w="0" w:type="auto"/>
                <w:vMerge/>
                <w:tcBorders>
                  <w:top w:val="nil"/>
                  <w:left w:val="single" w:sz="8" w:space="0" w:color="auto"/>
                  <w:bottom w:val="single" w:sz="8" w:space="0" w:color="000000"/>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color w:val="000000"/>
                  </w:rPr>
                </w:pPr>
              </w:p>
            </w:tc>
            <w:tc>
              <w:tcPr>
                <w:tcW w:w="0" w:type="auto"/>
                <w:vMerge/>
                <w:tcBorders>
                  <w:top w:val="nil"/>
                  <w:left w:val="single" w:sz="4" w:space="0" w:color="auto"/>
                  <w:bottom w:val="single" w:sz="4" w:space="0" w:color="auto"/>
                  <w:right w:val="single" w:sz="4" w:space="0" w:color="auto"/>
                </w:tcBorders>
                <w:vAlign w:val="center"/>
                <w:hideMark/>
              </w:tcPr>
              <w:p w:rsidR="002B1CEB" w:rsidRPr="00F94636" w:rsidRDefault="002B1CEB" w:rsidP="00EB7678">
                <w:pPr>
                  <w:spacing w:after="0" w:line="240" w:lineRule="auto"/>
                  <w:rPr>
                    <w:rFonts w:ascii="Calibri" w:eastAsia="Times New Roman" w:hAnsi="Calibri" w:cs="Times New Roman"/>
                    <w:b/>
                    <w:bCs/>
                    <w:color w:val="000000"/>
                    <w:sz w:val="20"/>
                    <w:szCs w:val="20"/>
                  </w:rPr>
                </w:pPr>
              </w:p>
            </w:tc>
            <w:tc>
              <w:tcPr>
                <w:tcW w:w="2405" w:type="dxa"/>
                <w:tcBorders>
                  <w:top w:val="nil"/>
                  <w:left w:val="nil"/>
                  <w:bottom w:val="single" w:sz="4" w:space="0" w:color="auto"/>
                  <w:right w:val="single" w:sz="4" w:space="0" w:color="auto"/>
                </w:tcBorders>
                <w:shd w:val="clear" w:color="auto" w:fill="auto"/>
                <w:vAlign w:val="center"/>
                <w:hideMark/>
              </w:tcPr>
              <w:p w:rsidR="002B1CEB" w:rsidRPr="00CF582C" w:rsidRDefault="002B1CEB" w:rsidP="00EB7678">
                <w:pPr>
                  <w:spacing w:after="0" w:line="240" w:lineRule="auto"/>
                  <w:rPr>
                    <w:rFonts w:ascii="Calibri" w:eastAsia="Times New Roman" w:hAnsi="Calibri" w:cs="Times New Roman"/>
                    <w:iCs/>
                    <w:color w:val="000000"/>
                  </w:rPr>
                </w:pPr>
                <w:r w:rsidRPr="00CF582C">
                  <w:rPr>
                    <w:rFonts w:ascii="Calibri" w:eastAsia="Times New Roman" w:hAnsi="Calibri" w:cs="Times New Roman"/>
                    <w:iCs/>
                    <w:color w:val="000000"/>
                  </w:rPr>
                  <w:t>Improved access to healthcare services</w:t>
                </w:r>
              </w:p>
            </w:tc>
            <w:tc>
              <w:tcPr>
                <w:tcW w:w="3100" w:type="dxa"/>
                <w:tcBorders>
                  <w:top w:val="nil"/>
                  <w:left w:val="nil"/>
                  <w:bottom w:val="single" w:sz="4" w:space="0" w:color="auto"/>
                  <w:right w:val="single" w:sz="4" w:space="0" w:color="auto"/>
                </w:tcBorders>
                <w:shd w:val="clear" w:color="auto" w:fill="auto"/>
                <w:vAlign w:val="center"/>
                <w:hideMark/>
              </w:tcPr>
              <w:p w:rsidR="002B1CEB" w:rsidRPr="00F94636" w:rsidRDefault="002B1CEB" w:rsidP="00EB7678">
                <w:pPr>
                  <w:spacing w:after="0" w:line="240" w:lineRule="auto"/>
                  <w:rPr>
                    <w:rFonts w:ascii="Calibri" w:eastAsia="Times New Roman" w:hAnsi="Calibri" w:cs="Times New Roman"/>
                    <w:color w:val="000000"/>
                    <w:sz w:val="16"/>
                    <w:szCs w:val="16"/>
                  </w:rPr>
                </w:pPr>
                <w:r w:rsidRPr="00F94636">
                  <w:rPr>
                    <w:rFonts w:ascii="Calibri" w:eastAsia="Times New Roman" w:hAnsi="Calibri" w:cs="Times New Roman"/>
                    <w:color w:val="000000"/>
                    <w:sz w:val="16"/>
                    <w:szCs w:val="16"/>
                  </w:rPr>
                  <w:t>RPMTS interventions demonstrating evidence of improved access to healthcare ser</w:t>
                </w:r>
                <w:r>
                  <w:rPr>
                    <w:rFonts w:ascii="Calibri" w:eastAsia="Times New Roman" w:hAnsi="Calibri" w:cs="Times New Roman"/>
                    <w:color w:val="000000"/>
                    <w:sz w:val="16"/>
                    <w:szCs w:val="16"/>
                  </w:rPr>
                  <w:t>v</w:t>
                </w:r>
                <w:r w:rsidRPr="00F94636">
                  <w:rPr>
                    <w:rFonts w:ascii="Calibri" w:eastAsia="Times New Roman" w:hAnsi="Calibri" w:cs="Times New Roman"/>
                    <w:color w:val="000000"/>
                    <w:sz w:val="16"/>
                    <w:szCs w:val="16"/>
                  </w:rPr>
                  <w:t>ices (without increasing the care burden on traditional healthcare systems) after their implementation are more likely to be funded, adopted and scaled.</w:t>
                </w:r>
              </w:p>
            </w:tc>
            <w:tc>
              <w:tcPr>
                <w:tcW w:w="0" w:type="auto"/>
                <w:tcBorders>
                  <w:top w:val="nil"/>
                  <w:left w:val="nil"/>
                  <w:bottom w:val="single" w:sz="4" w:space="0" w:color="auto"/>
                  <w:right w:val="single" w:sz="8" w:space="0" w:color="auto"/>
                </w:tcBorders>
                <w:shd w:val="clear" w:color="auto" w:fill="auto"/>
                <w:noWrap/>
                <w:vAlign w:val="center"/>
                <w:hideMark/>
              </w:tcPr>
              <w:p w:rsidR="002B1CEB" w:rsidRPr="00F94636" w:rsidRDefault="002B1CEB" w:rsidP="00EB7678">
                <w:pPr>
                  <w:spacing w:after="0" w:line="240" w:lineRule="auto"/>
                  <w:jc w:val="center"/>
                  <w:rPr>
                    <w:rFonts w:ascii="Calibri" w:eastAsia="Times New Roman" w:hAnsi="Calibri" w:cs="Times New Roman"/>
                    <w:color w:val="000000"/>
                  </w:rPr>
                </w:pPr>
                <w:r w:rsidRPr="00F94636">
                  <w:rPr>
                    <w:rFonts w:ascii="Calibri" w:eastAsia="Times New Roman" w:hAnsi="Calibri" w:cs="Times New Roman"/>
                    <w:color w:val="000000"/>
                  </w:rPr>
                  <w:t>[4], [5]</w:t>
                </w:r>
              </w:p>
            </w:tc>
          </w:tr>
        </w:tbl>
        <w:p w:rsidR="002B1CEB" w:rsidRDefault="002B1CEB" w:rsidP="002B1CEB">
          <w:pPr>
            <w:widowControl w:val="0"/>
            <w:autoSpaceDE w:val="0"/>
            <w:autoSpaceDN w:val="0"/>
            <w:adjustRightInd w:val="0"/>
            <w:spacing w:after="0" w:line="240" w:lineRule="auto"/>
            <w:ind w:left="640" w:hanging="640"/>
            <w:jc w:val="both"/>
            <w:rPr>
              <w:rFonts w:ascii="Calibri" w:eastAsia="Calibri" w:hAnsi="Calibri" w:cs="Times New Roman"/>
              <w:sz w:val="32"/>
              <w:szCs w:val="32"/>
              <w:lang w:val="en-GB"/>
            </w:rPr>
          </w:pPr>
        </w:p>
        <w:p w:rsidR="002B1CEB" w:rsidRDefault="002B1CEB" w:rsidP="002B1CEB">
          <w:pPr>
            <w:widowControl w:val="0"/>
            <w:autoSpaceDE w:val="0"/>
            <w:autoSpaceDN w:val="0"/>
            <w:adjustRightInd w:val="0"/>
            <w:spacing w:after="0" w:line="240" w:lineRule="auto"/>
            <w:ind w:left="640" w:hanging="640"/>
            <w:jc w:val="both"/>
            <w:rPr>
              <w:rFonts w:ascii="Calibri" w:eastAsia="Calibri" w:hAnsi="Calibri" w:cs="Times New Roman"/>
              <w:sz w:val="32"/>
              <w:szCs w:val="32"/>
              <w:lang w:val="en-GB"/>
            </w:rPr>
          </w:pPr>
        </w:p>
        <w:p w:rsidR="002B1CEB" w:rsidRDefault="002B1CEB" w:rsidP="002B1CEB">
          <w:pPr>
            <w:widowControl w:val="0"/>
            <w:autoSpaceDE w:val="0"/>
            <w:autoSpaceDN w:val="0"/>
            <w:adjustRightInd w:val="0"/>
            <w:spacing w:after="0" w:line="240" w:lineRule="auto"/>
            <w:ind w:left="640" w:hanging="640"/>
            <w:jc w:val="both"/>
            <w:rPr>
              <w:rFonts w:ascii="Calibri" w:eastAsia="Calibri" w:hAnsi="Calibri" w:cs="Times New Roman"/>
              <w:sz w:val="32"/>
              <w:szCs w:val="32"/>
              <w:lang w:val="en-GB"/>
            </w:rPr>
          </w:pPr>
        </w:p>
        <w:p w:rsidR="002B1CEB" w:rsidRPr="00CF582C" w:rsidRDefault="002B1CEB" w:rsidP="002B1CEB">
          <w:pPr>
            <w:widowControl w:val="0"/>
            <w:autoSpaceDE w:val="0"/>
            <w:autoSpaceDN w:val="0"/>
            <w:adjustRightInd w:val="0"/>
            <w:spacing w:after="0" w:line="240" w:lineRule="auto"/>
            <w:ind w:left="640" w:hanging="640"/>
            <w:jc w:val="both"/>
            <w:rPr>
              <w:rFonts w:ascii="Calibri" w:eastAsia="Calibri" w:hAnsi="Calibri" w:cs="Times New Roman"/>
              <w:sz w:val="32"/>
              <w:szCs w:val="32"/>
              <w:lang w:val="en-GB"/>
            </w:rPr>
          </w:pPr>
          <w:r w:rsidRPr="00CF582C">
            <w:rPr>
              <w:rFonts w:ascii="Calibri" w:eastAsia="Calibri" w:hAnsi="Calibri" w:cs="Times New Roman"/>
              <w:sz w:val="32"/>
              <w:szCs w:val="32"/>
              <w:lang w:val="en-GB"/>
            </w:rPr>
            <w:t>Appendix 2</w:t>
          </w:r>
        </w:p>
        <w:p w:rsidR="002B1CEB" w:rsidRPr="00CF582C" w:rsidRDefault="002B1CEB" w:rsidP="002B1CEB">
          <w:pPr>
            <w:widowControl w:val="0"/>
            <w:autoSpaceDE w:val="0"/>
            <w:autoSpaceDN w:val="0"/>
            <w:adjustRightInd w:val="0"/>
            <w:spacing w:after="0" w:line="240" w:lineRule="auto"/>
            <w:ind w:left="640" w:hanging="640"/>
            <w:jc w:val="both"/>
            <w:rPr>
              <w:rFonts w:ascii="Calibri" w:eastAsia="Calibri" w:hAnsi="Calibri" w:cs="Times New Roman"/>
              <w:sz w:val="16"/>
              <w:szCs w:val="16"/>
              <w:lang w:val="en-GB"/>
            </w:rPr>
          </w:pPr>
        </w:p>
        <w:p w:rsidR="002B1CEB" w:rsidRPr="00CF582C" w:rsidRDefault="002B1CEB" w:rsidP="002B1CEB">
          <w:pPr>
            <w:keepNext/>
            <w:spacing w:line="240" w:lineRule="auto"/>
            <w:rPr>
              <w:rFonts w:ascii="Calibri" w:hAnsi="Calibri" w:cs="Times New Roman"/>
              <w:b/>
              <w:bCs/>
              <w:sz w:val="18"/>
              <w:szCs w:val="18"/>
            </w:rPr>
          </w:pPr>
          <w:r w:rsidRPr="00CF582C">
            <w:rPr>
              <w:rFonts w:ascii="Calibri" w:hAnsi="Calibri" w:cs="Times New Roman"/>
              <w:b/>
              <w:bCs/>
              <w:sz w:val="18"/>
              <w:szCs w:val="18"/>
            </w:rPr>
            <w:t>Summary of the characteristics of the included studies:</w:t>
          </w:r>
        </w:p>
        <w:tbl>
          <w:tblPr>
            <w:tblStyle w:val="TableGrid11"/>
            <w:tblW w:w="10620" w:type="dxa"/>
            <w:jc w:val="center"/>
            <w:tblLook w:val="04A0" w:firstRow="1" w:lastRow="0" w:firstColumn="1" w:lastColumn="0" w:noHBand="0" w:noVBand="1"/>
          </w:tblPr>
          <w:tblGrid>
            <w:gridCol w:w="1620"/>
            <w:gridCol w:w="4950"/>
            <w:gridCol w:w="4050"/>
          </w:tblGrid>
          <w:tr w:rsidR="002B1CEB" w:rsidRPr="001E2AF9" w:rsidTr="00EB7678">
            <w:trPr>
              <w:trHeight w:val="332"/>
              <w:jc w:val="center"/>
            </w:trPr>
            <w:tc>
              <w:tcPr>
                <w:tcW w:w="1620" w:type="dxa"/>
              </w:tcPr>
              <w:p w:rsidR="002B1CEB" w:rsidRPr="001E2AF9" w:rsidRDefault="002B1CEB" w:rsidP="00EB7678">
                <w:pPr>
                  <w:jc w:val="both"/>
                  <w:rPr>
                    <w:b/>
                    <w:sz w:val="26"/>
                    <w:szCs w:val="26"/>
                  </w:rPr>
                </w:pPr>
                <w:r w:rsidRPr="001E2AF9">
                  <w:rPr>
                    <w:b/>
                    <w:sz w:val="26"/>
                    <w:szCs w:val="26"/>
                  </w:rPr>
                  <w:t>Key Variables</w:t>
                </w:r>
              </w:p>
            </w:tc>
            <w:tc>
              <w:tcPr>
                <w:tcW w:w="4950" w:type="dxa"/>
              </w:tcPr>
              <w:p w:rsidR="002B1CEB" w:rsidRPr="001E2AF9" w:rsidRDefault="002B1CEB" w:rsidP="00EB7678">
                <w:pPr>
                  <w:jc w:val="both"/>
                  <w:rPr>
                    <w:b/>
                    <w:sz w:val="28"/>
                    <w:szCs w:val="28"/>
                  </w:rPr>
                </w:pPr>
                <w:r w:rsidRPr="001E2AF9">
                  <w:rPr>
                    <w:b/>
                    <w:sz w:val="28"/>
                    <w:szCs w:val="28"/>
                  </w:rPr>
                  <w:t>Subthemes</w:t>
                </w:r>
              </w:p>
            </w:tc>
            <w:tc>
              <w:tcPr>
                <w:tcW w:w="4050" w:type="dxa"/>
              </w:tcPr>
              <w:p w:rsidR="002B1CEB" w:rsidRPr="001E2AF9" w:rsidRDefault="002B1CEB" w:rsidP="00EB7678">
                <w:pPr>
                  <w:jc w:val="both"/>
                  <w:rPr>
                    <w:b/>
                    <w:sz w:val="28"/>
                    <w:szCs w:val="28"/>
                  </w:rPr>
                </w:pPr>
                <w:r w:rsidRPr="001E2AF9">
                  <w:rPr>
                    <w:b/>
                    <w:sz w:val="28"/>
                    <w:szCs w:val="28"/>
                  </w:rPr>
                  <w:t>References</w:t>
                </w:r>
              </w:p>
            </w:tc>
          </w:tr>
          <w:tr w:rsidR="002B1CEB" w:rsidRPr="001E2AF9" w:rsidTr="00EB7678">
            <w:trPr>
              <w:trHeight w:val="1170"/>
              <w:jc w:val="center"/>
            </w:trPr>
            <w:tc>
              <w:tcPr>
                <w:tcW w:w="1620" w:type="dxa"/>
                <w:vMerge w:val="restart"/>
              </w:tcPr>
              <w:p w:rsidR="002B1CEB" w:rsidRPr="001E2AF9" w:rsidRDefault="002B1CEB" w:rsidP="00EB7678">
                <w:pPr>
                  <w:jc w:val="both"/>
                </w:pPr>
                <w:r w:rsidRPr="001E2AF9">
                  <w:t>Position,</w:t>
                </w:r>
              </w:p>
            </w:tc>
            <w:tc>
              <w:tcPr>
                <w:tcW w:w="4950" w:type="dxa"/>
              </w:tcPr>
              <w:p w:rsidR="002B1CEB" w:rsidRPr="001E2AF9" w:rsidRDefault="002B1CEB" w:rsidP="00EB7678">
                <w:pPr>
                  <w:rPr>
                    <w:sz w:val="18"/>
                    <w:szCs w:val="18"/>
                  </w:rPr>
                </w:pPr>
                <w:r w:rsidRPr="001E2AF9">
                  <w:rPr>
                    <w:b/>
                    <w:i/>
                    <w:sz w:val="18"/>
                    <w:szCs w:val="18"/>
                  </w:rPr>
                  <w:t>Systematic Reviews</w:t>
                </w:r>
                <w:r w:rsidRPr="001E2AF9">
                  <w:rPr>
                    <w:sz w:val="18"/>
                    <w:szCs w:val="18"/>
                  </w:rPr>
                  <w:t>: Communication between clinicians and patients prior to visits,  telemedicine, detecting or predicting health deterioration, e-consultation; collection and tracking health related data, prehospital assistance, symptom checkers,  and Community workers with health apps.</w:t>
                </w:r>
              </w:p>
            </w:tc>
            <w:tc>
              <w:tcPr>
                <w:tcW w:w="4050" w:type="dxa"/>
              </w:tcPr>
              <w:p w:rsidR="002B1CEB" w:rsidRPr="001E2AF9" w:rsidRDefault="002B1CEB" w:rsidP="00EB7678">
                <w:pPr>
                  <w:spacing w:line="288" w:lineRule="auto"/>
                  <w:jc w:val="both"/>
                  <w:rPr>
                    <w:rFonts w:ascii="Calibri" w:eastAsia="Calibri" w:hAnsi="Calibri" w:cs="Times New Roman"/>
                    <w:color w:val="000000"/>
                    <w:sz w:val="24"/>
                    <w:szCs w:val="24"/>
                    <w:lang w:val="en-GB"/>
                  </w:rPr>
                </w:pPr>
                <w:r w:rsidRPr="00E659DA">
                  <w:rPr>
                    <w:rFonts w:ascii="Calibri" w:eastAsia="Calibri" w:hAnsi="Calibri" w:cs="Times New Roman"/>
                    <w:color w:val="000000"/>
                    <w:sz w:val="24"/>
                    <w:szCs w:val="24"/>
                    <w:lang w:val="en-GB"/>
                  </w:rPr>
                  <w:t>[4, 12, 18, 29, 30, 31, 32, 33, 34, 35]</w:t>
                </w:r>
              </w:p>
            </w:tc>
          </w:tr>
          <w:tr w:rsidR="002B1CEB" w:rsidRPr="001E2AF9" w:rsidTr="00EB7678">
            <w:trPr>
              <w:trHeight w:val="722"/>
              <w:jc w:val="center"/>
            </w:trPr>
            <w:tc>
              <w:tcPr>
                <w:tcW w:w="1620" w:type="dxa"/>
                <w:vMerge/>
              </w:tcPr>
              <w:p w:rsidR="002B1CEB" w:rsidRPr="001E2AF9" w:rsidRDefault="002B1CEB" w:rsidP="00EB7678">
                <w:pPr>
                  <w:jc w:val="both"/>
                </w:pPr>
              </w:p>
            </w:tc>
            <w:tc>
              <w:tcPr>
                <w:tcW w:w="4950" w:type="dxa"/>
              </w:tcPr>
              <w:p w:rsidR="002B1CEB" w:rsidRPr="001E2AF9" w:rsidRDefault="002B1CEB" w:rsidP="00EB7678">
                <w:pPr>
                  <w:jc w:val="both"/>
                  <w:rPr>
                    <w:sz w:val="18"/>
                    <w:szCs w:val="18"/>
                  </w:rPr>
                </w:pPr>
                <w:r w:rsidRPr="001E2AF9">
                  <w:rPr>
                    <w:b/>
                    <w:i/>
                    <w:sz w:val="18"/>
                    <w:szCs w:val="18"/>
                  </w:rPr>
                  <w:t>Primary articles</w:t>
                </w:r>
                <w:r w:rsidRPr="001E2AF9">
                  <w:rPr>
                    <w:sz w:val="18"/>
                    <w:szCs w:val="18"/>
                  </w:rPr>
                  <w:t>: Remote monitoring in primary care, classification and prediction, behavioral health services in primary care, Primary Care-Mental Health Integration, real-time visualization, quanti</w:t>
                </w:r>
                <w:r w:rsidRPr="001E2AF9">
                  <w:rPr>
                    <w:rFonts w:cs="Calibri"/>
                    <w:sz w:val="18"/>
                    <w:szCs w:val="18"/>
                  </w:rPr>
                  <w:t>fi</w:t>
                </w:r>
                <w:r w:rsidRPr="001E2AF9">
                  <w:rPr>
                    <w:sz w:val="18"/>
                    <w:szCs w:val="18"/>
                  </w:rPr>
                  <w:t>ed-self, technology-based objective measures, diagnosis of infectious diseases, digital cryptocurrency and blockchain, referrals through a smartphone app, preventive care, health awareness, self-monitoring and community-based disease surveillance.</w:t>
                </w:r>
              </w:p>
            </w:tc>
            <w:tc>
              <w:tcPr>
                <w:tcW w:w="4050" w:type="dxa"/>
              </w:tcPr>
              <w:p w:rsidR="002B1CEB" w:rsidRPr="001E2AF9" w:rsidRDefault="002B1CEB" w:rsidP="00EB7678">
                <w:pPr>
                  <w:jc w:val="both"/>
                  <w:rPr>
                    <w:sz w:val="24"/>
                    <w:szCs w:val="24"/>
                  </w:rPr>
                </w:pPr>
                <w:r w:rsidRPr="00E659DA">
                  <w:rPr>
                    <w:rFonts w:ascii="Calibri" w:eastAsia="Calibri" w:hAnsi="Calibri" w:cs="Times New Roman"/>
                    <w:color w:val="000000"/>
                    <w:sz w:val="24"/>
                    <w:szCs w:val="24"/>
                    <w:lang w:val="en-GB"/>
                  </w:rPr>
                  <w:t>[3, 36, 37, 38, 39, 40, 41, 42, 43, 44, 45, 46]</w:t>
                </w:r>
              </w:p>
            </w:tc>
          </w:tr>
          <w:tr w:rsidR="002B1CEB" w:rsidRPr="001E2AF9" w:rsidTr="00EB7678">
            <w:trPr>
              <w:trHeight w:val="285"/>
              <w:jc w:val="center"/>
            </w:trPr>
            <w:tc>
              <w:tcPr>
                <w:tcW w:w="1620" w:type="dxa"/>
                <w:vMerge w:val="restart"/>
              </w:tcPr>
              <w:p w:rsidR="002B1CEB" w:rsidRPr="001E2AF9" w:rsidRDefault="002B1CEB" w:rsidP="00EB7678">
                <w:pPr>
                  <w:jc w:val="both"/>
                </w:pPr>
                <w:r w:rsidRPr="001E2AF9">
                  <w:t>Integration,</w:t>
                </w:r>
              </w:p>
            </w:tc>
            <w:tc>
              <w:tcPr>
                <w:tcW w:w="4950" w:type="dxa"/>
              </w:tcPr>
              <w:p w:rsidR="002B1CEB" w:rsidRPr="001E2AF9" w:rsidRDefault="002B1CEB" w:rsidP="00EB7678">
                <w:pPr>
                  <w:jc w:val="both"/>
                </w:pPr>
                <w:r w:rsidRPr="001E2AF9">
                  <w:rPr>
                    <w:b/>
                    <w:i/>
                    <w:sz w:val="18"/>
                    <w:szCs w:val="18"/>
                  </w:rPr>
                  <w:t>Systematic Reviews</w:t>
                </w:r>
                <w:r w:rsidRPr="001E2AF9">
                  <w:rPr>
                    <w:sz w:val="18"/>
                    <w:szCs w:val="18"/>
                  </w:rPr>
                  <w:t>: complimentary monitoring tool, users behaviors and motivations, clinical communication, HIS clients, medical training, prompt medical care under emergencies, Telehealth,  telemedicine,  and video conferencing.</w:t>
                </w:r>
              </w:p>
            </w:tc>
            <w:tc>
              <w:tcPr>
                <w:tcW w:w="4050" w:type="dxa"/>
              </w:tcPr>
              <w:p w:rsidR="002B1CEB" w:rsidRPr="001E2AF9" w:rsidRDefault="002B1CEB" w:rsidP="00EB7678">
                <w:pPr>
                  <w:spacing w:line="288" w:lineRule="auto"/>
                  <w:jc w:val="both"/>
                  <w:rPr>
                    <w:rFonts w:ascii="Calibri" w:eastAsia="Calibri" w:hAnsi="Calibri" w:cs="Times New Roman"/>
                    <w:color w:val="000000"/>
                    <w:sz w:val="24"/>
                    <w:szCs w:val="24"/>
                    <w:lang w:val="en-GB"/>
                  </w:rPr>
                </w:pPr>
                <w:r>
                  <w:rPr>
                    <w:rFonts w:ascii="Calibri" w:eastAsia="Calibri" w:hAnsi="Calibri" w:cs="Times New Roman"/>
                    <w:color w:val="000000"/>
                    <w:sz w:val="24"/>
                    <w:szCs w:val="24"/>
                    <w:lang w:val="en-GB"/>
                  </w:rPr>
                  <w:t>[4, 9, 12, 24, 29, 31</w:t>
                </w:r>
                <w:r w:rsidRPr="00902409">
                  <w:rPr>
                    <w:rFonts w:ascii="Calibri" w:eastAsia="Calibri" w:hAnsi="Calibri" w:cs="Times New Roman"/>
                    <w:color w:val="000000"/>
                    <w:sz w:val="24"/>
                    <w:szCs w:val="24"/>
                    <w:lang w:val="en-GB"/>
                  </w:rPr>
                  <w:t>, 47, 48</w:t>
                </w:r>
                <w:r>
                  <w:rPr>
                    <w:rFonts w:ascii="Calibri" w:eastAsia="Calibri" w:hAnsi="Calibri" w:cs="Times New Roman"/>
                    <w:color w:val="000000"/>
                    <w:sz w:val="24"/>
                    <w:szCs w:val="24"/>
                    <w:lang w:val="en-GB"/>
                  </w:rPr>
                  <w:t>, 49</w:t>
                </w:r>
                <w:r w:rsidRPr="00902409">
                  <w:rPr>
                    <w:rFonts w:ascii="Calibri" w:eastAsia="Calibri" w:hAnsi="Calibri" w:cs="Times New Roman"/>
                    <w:color w:val="000000"/>
                    <w:sz w:val="24"/>
                    <w:szCs w:val="24"/>
                    <w:lang w:val="en-GB"/>
                  </w:rPr>
                  <w:t>]</w:t>
                </w:r>
              </w:p>
            </w:tc>
          </w:tr>
          <w:tr w:rsidR="002B1CEB" w:rsidRPr="001E2AF9" w:rsidTr="00EB7678">
            <w:trPr>
              <w:trHeight w:val="240"/>
              <w:jc w:val="center"/>
            </w:trPr>
            <w:tc>
              <w:tcPr>
                <w:tcW w:w="1620" w:type="dxa"/>
                <w:vMerge/>
              </w:tcPr>
              <w:p w:rsidR="002B1CEB" w:rsidRPr="001E2AF9" w:rsidRDefault="002B1CEB" w:rsidP="00EB7678">
                <w:pPr>
                  <w:jc w:val="both"/>
                </w:pPr>
              </w:p>
            </w:tc>
            <w:tc>
              <w:tcPr>
                <w:tcW w:w="4950" w:type="dxa"/>
              </w:tcPr>
              <w:p w:rsidR="002B1CEB" w:rsidRPr="001E2AF9" w:rsidRDefault="002B1CEB" w:rsidP="00EB7678">
                <w:pPr>
                  <w:jc w:val="both"/>
                </w:pPr>
                <w:r w:rsidRPr="001E2AF9">
                  <w:rPr>
                    <w:b/>
                    <w:i/>
                    <w:sz w:val="18"/>
                    <w:szCs w:val="18"/>
                  </w:rPr>
                  <w:t>Primary articles</w:t>
                </w:r>
                <w:r w:rsidRPr="001E2AF9">
                  <w:rPr>
                    <w:sz w:val="18"/>
                    <w:szCs w:val="18"/>
                  </w:rPr>
                  <w:t>:</w:t>
                </w:r>
                <w:r w:rsidRPr="001E2AF9">
                  <w:t xml:space="preserve"> </w:t>
                </w:r>
                <w:r w:rsidRPr="001E2AF9">
                  <w:rPr>
                    <w:sz w:val="18"/>
                    <w:szCs w:val="18"/>
                  </w:rPr>
                  <w:t xml:space="preserve">integration of behavioral health, collaborative team building, remote monitoring and communication, reporting to the dispensary for laboratory diagnosis, Fracture Liaison Service Model of Care, remotely sent data to the hospital, data is embedded on web-based TDS platform, RPM involves patients/caregivers in their care, tablets transmit data to a </w:t>
                </w:r>
                <w:r w:rsidRPr="001E2AF9">
                  <w:rPr>
                    <w:sz w:val="18"/>
                    <w:szCs w:val="18"/>
                  </w:rPr>
                  <w:lastRenderedPageBreak/>
                  <w:t>remote secure cloud, and alert activated when symptoms are reported.</w:t>
                </w:r>
              </w:p>
            </w:tc>
            <w:tc>
              <w:tcPr>
                <w:tcW w:w="4050" w:type="dxa"/>
              </w:tcPr>
              <w:p w:rsidR="002B1CEB" w:rsidRPr="001E2AF9" w:rsidRDefault="002B1CEB" w:rsidP="00EB7678">
                <w:pPr>
                  <w:spacing w:line="288" w:lineRule="auto"/>
                  <w:jc w:val="both"/>
                  <w:rPr>
                    <w:rFonts w:ascii="Calibri" w:eastAsia="Calibri" w:hAnsi="Calibri" w:cs="Times New Roman"/>
                    <w:color w:val="000000"/>
                    <w:sz w:val="24"/>
                    <w:szCs w:val="24"/>
                    <w:lang w:val="en-GB"/>
                  </w:rPr>
                </w:pPr>
                <w:r>
                  <w:rPr>
                    <w:rFonts w:ascii="Calibri" w:eastAsia="Calibri" w:hAnsi="Calibri" w:cs="Times New Roman"/>
                    <w:color w:val="000000"/>
                    <w:sz w:val="24"/>
                    <w:szCs w:val="24"/>
                    <w:lang w:val="en-GB"/>
                  </w:rPr>
                  <w:lastRenderedPageBreak/>
                  <w:t>[20, 37, 41, 42</w:t>
                </w:r>
                <w:r w:rsidRPr="00902409">
                  <w:rPr>
                    <w:rFonts w:ascii="Calibri" w:eastAsia="Calibri" w:hAnsi="Calibri" w:cs="Times New Roman"/>
                    <w:color w:val="000000"/>
                    <w:sz w:val="24"/>
                    <w:szCs w:val="24"/>
                    <w:lang w:val="en-GB"/>
                  </w:rPr>
                  <w:t>, 52, 53, 54, 55, 56</w:t>
                </w:r>
                <w:r>
                  <w:rPr>
                    <w:rFonts w:ascii="Calibri" w:eastAsia="Calibri" w:hAnsi="Calibri" w:cs="Times New Roman"/>
                    <w:color w:val="000000"/>
                    <w:sz w:val="24"/>
                    <w:szCs w:val="24"/>
                    <w:lang w:val="en-GB"/>
                  </w:rPr>
                  <w:t>, 57</w:t>
                </w:r>
                <w:r w:rsidRPr="00902409">
                  <w:rPr>
                    <w:rFonts w:ascii="Calibri" w:eastAsia="Calibri" w:hAnsi="Calibri" w:cs="Times New Roman"/>
                    <w:color w:val="000000"/>
                    <w:sz w:val="24"/>
                    <w:szCs w:val="24"/>
                    <w:lang w:val="en-GB"/>
                  </w:rPr>
                  <w:t>]</w:t>
                </w:r>
                <w:r w:rsidRPr="00902409">
                  <w:rPr>
                    <w:rFonts w:ascii="Calibri" w:eastAsia="Calibri" w:hAnsi="Calibri" w:cs="Times New Roman"/>
                    <w:color w:val="000000"/>
                    <w:sz w:val="24"/>
                    <w:szCs w:val="24"/>
                    <w:lang w:val="en-GB"/>
                  </w:rPr>
                  <w:tab/>
                </w:r>
              </w:p>
            </w:tc>
          </w:tr>
          <w:tr w:rsidR="002B1CEB" w:rsidRPr="001E2AF9" w:rsidTr="00EB7678">
            <w:trPr>
              <w:trHeight w:val="315"/>
              <w:jc w:val="center"/>
            </w:trPr>
            <w:tc>
              <w:tcPr>
                <w:tcW w:w="1620" w:type="dxa"/>
                <w:vMerge w:val="restart"/>
              </w:tcPr>
              <w:p w:rsidR="002B1CEB" w:rsidRPr="001E2AF9" w:rsidRDefault="002B1CEB" w:rsidP="00EB7678">
                <w:pPr>
                  <w:jc w:val="both"/>
                </w:pPr>
                <w:r w:rsidRPr="001E2AF9">
                  <w:t>Versatility,</w:t>
                </w:r>
              </w:p>
            </w:tc>
            <w:tc>
              <w:tcPr>
                <w:tcW w:w="4950" w:type="dxa"/>
              </w:tcPr>
              <w:p w:rsidR="002B1CEB" w:rsidRPr="001E2AF9" w:rsidRDefault="002B1CEB" w:rsidP="00EB7678">
                <w:pPr>
                  <w:jc w:val="both"/>
                </w:pPr>
                <w:r w:rsidRPr="001E2AF9">
                  <w:rPr>
                    <w:b/>
                    <w:i/>
                    <w:sz w:val="18"/>
                    <w:szCs w:val="18"/>
                  </w:rPr>
                  <w:t>Systematic Reviews</w:t>
                </w:r>
                <w:r w:rsidRPr="001E2AF9">
                  <w:rPr>
                    <w:sz w:val="18"/>
                    <w:szCs w:val="18"/>
                  </w:rPr>
                  <w:t>: CVD include hypertension (HTN), coronary artery disease, and congestive heart failure, fall detection, Chronic lung diseases (CLDs) include asthma and chronic obstructive pulmonary disease (COPD), brain and neurological disorders,  mental health, diabetes, cancer, burn injuries, cognitive rehabilitation, HIV, Multiple sclerosis, PD, physical activity, Psychotherapy, cardiac, epilepsy, dementia, or paralysis disease, perinatal depression, high-risk pregnancy, fetal and pediatric cardiology, pre-eclampsia, pregnancy termination, and fetal alcohol spectrum disorder.</w:t>
                </w:r>
              </w:p>
            </w:tc>
            <w:tc>
              <w:tcPr>
                <w:tcW w:w="4050" w:type="dxa"/>
              </w:tcPr>
              <w:p w:rsidR="002B1CEB" w:rsidRPr="001E2AF9" w:rsidRDefault="002B1CEB" w:rsidP="00EB7678">
                <w:pPr>
                  <w:spacing w:line="288" w:lineRule="auto"/>
                  <w:jc w:val="both"/>
                  <w:rPr>
                    <w:rFonts w:ascii="Calibri" w:eastAsia="Calibri" w:hAnsi="Calibri" w:cs="Times New Roman"/>
                    <w:color w:val="000000"/>
                    <w:sz w:val="24"/>
                    <w:szCs w:val="24"/>
                    <w:lang w:val="en-GB"/>
                  </w:rPr>
                </w:pPr>
                <w:r w:rsidRPr="00BA1221">
                  <w:rPr>
                    <w:rFonts w:ascii="Calibri" w:eastAsia="Calibri" w:hAnsi="Calibri" w:cs="Times New Roman"/>
                    <w:color w:val="000000"/>
                    <w:sz w:val="24"/>
                    <w:szCs w:val="24"/>
                    <w:lang w:val="en-GB"/>
                  </w:rPr>
                  <w:t>[</w:t>
                </w:r>
                <w:r>
                  <w:rPr>
                    <w:rFonts w:ascii="Calibri" w:eastAsia="Calibri" w:hAnsi="Calibri" w:cs="Times New Roman"/>
                    <w:color w:val="000000"/>
                    <w:sz w:val="24"/>
                    <w:szCs w:val="24"/>
                    <w:lang w:val="en-GB"/>
                  </w:rPr>
                  <w:t>4, 10, 24, 31, 63</w:t>
                </w:r>
                <w:r w:rsidRPr="00BA1221">
                  <w:rPr>
                    <w:rFonts w:ascii="Calibri" w:eastAsia="Calibri" w:hAnsi="Calibri" w:cs="Times New Roman"/>
                    <w:color w:val="000000"/>
                    <w:sz w:val="24"/>
                    <w:szCs w:val="24"/>
                    <w:lang w:val="en-GB"/>
                  </w:rPr>
                  <w:t>]</w:t>
                </w:r>
              </w:p>
            </w:tc>
          </w:tr>
          <w:tr w:rsidR="002B1CEB" w:rsidRPr="001E2AF9" w:rsidTr="00EB7678">
            <w:trPr>
              <w:trHeight w:val="225"/>
              <w:jc w:val="center"/>
            </w:trPr>
            <w:tc>
              <w:tcPr>
                <w:tcW w:w="1620" w:type="dxa"/>
                <w:vMerge/>
              </w:tcPr>
              <w:p w:rsidR="002B1CEB" w:rsidRPr="001E2AF9" w:rsidRDefault="002B1CEB" w:rsidP="00EB7678">
                <w:pPr>
                  <w:jc w:val="both"/>
                </w:pPr>
              </w:p>
            </w:tc>
            <w:tc>
              <w:tcPr>
                <w:tcW w:w="4950" w:type="dxa"/>
              </w:tcPr>
              <w:p w:rsidR="002B1CEB" w:rsidRPr="001E2AF9" w:rsidRDefault="002B1CEB" w:rsidP="00EB7678">
                <w:pPr>
                  <w:jc w:val="both"/>
                </w:pPr>
                <w:r w:rsidRPr="001E2AF9">
                  <w:rPr>
                    <w:b/>
                    <w:i/>
                    <w:sz w:val="18"/>
                    <w:szCs w:val="18"/>
                  </w:rPr>
                  <w:t>Primary articles</w:t>
                </w:r>
                <w:r w:rsidRPr="001E2AF9">
                  <w:rPr>
                    <w:sz w:val="18"/>
                    <w:szCs w:val="18"/>
                  </w:rPr>
                  <w:t>: Triage(vital signs and features),  multiple sclerosis, low back pain, and osteoporosis, COPD, seasonal affective disorder (SAD), and bipolar affective disorder (BAD), Heart disease and HIV/AIDS and TB.</w:t>
                </w:r>
              </w:p>
            </w:tc>
            <w:tc>
              <w:tcPr>
                <w:tcW w:w="4050" w:type="dxa"/>
              </w:tcPr>
              <w:p w:rsidR="002B1CEB" w:rsidRPr="001E2AF9" w:rsidRDefault="002B1CEB" w:rsidP="00EB7678">
                <w:pPr>
                  <w:spacing w:line="288" w:lineRule="auto"/>
                  <w:jc w:val="both"/>
                  <w:rPr>
                    <w:rFonts w:ascii="Calibri" w:eastAsia="Calibri" w:hAnsi="Calibri" w:cs="Times New Roman"/>
                    <w:color w:val="000000"/>
                    <w:sz w:val="24"/>
                    <w:szCs w:val="24"/>
                    <w:lang w:val="en-GB"/>
                  </w:rPr>
                </w:pPr>
                <w:r w:rsidRPr="001E2AF9">
                  <w:rPr>
                    <w:rFonts w:ascii="Calibri" w:eastAsia="Calibri" w:hAnsi="Calibri" w:cs="Times New Roman"/>
                    <w:color w:val="000000"/>
                    <w:sz w:val="24"/>
                    <w:szCs w:val="24"/>
                    <w:lang w:val="en-GB"/>
                  </w:rPr>
                  <w:t>[</w:t>
                </w:r>
                <w:r w:rsidRPr="00B0323B">
                  <w:rPr>
                    <w:rFonts w:ascii="Calibri" w:eastAsia="Calibri" w:hAnsi="Calibri" w:cs="Times New Roman"/>
                    <w:color w:val="000000"/>
                    <w:sz w:val="24"/>
                    <w:szCs w:val="24"/>
                    <w:lang w:val="en-GB"/>
                  </w:rPr>
                  <w:t>3, 15, 22</w:t>
                </w:r>
                <w:r>
                  <w:rPr>
                    <w:rFonts w:ascii="Calibri" w:eastAsia="Calibri" w:hAnsi="Calibri" w:cs="Times New Roman"/>
                    <w:color w:val="000000"/>
                    <w:sz w:val="24"/>
                    <w:szCs w:val="24"/>
                    <w:lang w:val="en-GB"/>
                  </w:rPr>
                  <w:t>, 38, 43, 44, 45, 60</w:t>
                </w:r>
                <w:r w:rsidRPr="001E2AF9">
                  <w:rPr>
                    <w:rFonts w:ascii="Calibri" w:eastAsia="Calibri" w:hAnsi="Calibri" w:cs="Times New Roman"/>
                    <w:color w:val="000000"/>
                    <w:sz w:val="24"/>
                    <w:szCs w:val="24"/>
                    <w:lang w:val="en-GB"/>
                  </w:rPr>
                  <w:t>]</w:t>
                </w:r>
              </w:p>
            </w:tc>
          </w:tr>
          <w:tr w:rsidR="002B1CEB" w:rsidRPr="001E2AF9" w:rsidTr="00EB7678">
            <w:trPr>
              <w:trHeight w:val="345"/>
              <w:jc w:val="center"/>
            </w:trPr>
            <w:tc>
              <w:tcPr>
                <w:tcW w:w="1620" w:type="dxa"/>
                <w:vMerge w:val="restart"/>
              </w:tcPr>
              <w:p w:rsidR="002B1CEB" w:rsidRPr="001E2AF9" w:rsidRDefault="002B1CEB" w:rsidP="00EB7678">
                <w:pPr>
                  <w:jc w:val="both"/>
                </w:pPr>
                <w:r w:rsidRPr="001E2AF9">
                  <w:t>Accessibility,</w:t>
                </w:r>
              </w:p>
            </w:tc>
            <w:tc>
              <w:tcPr>
                <w:tcW w:w="4950" w:type="dxa"/>
              </w:tcPr>
              <w:p w:rsidR="002B1CEB" w:rsidRPr="001E2AF9" w:rsidRDefault="002B1CEB" w:rsidP="00EB7678">
                <w:pPr>
                  <w:jc w:val="both"/>
                </w:pPr>
                <w:r w:rsidRPr="001E2AF9">
                  <w:rPr>
                    <w:b/>
                    <w:i/>
                    <w:sz w:val="18"/>
                    <w:szCs w:val="18"/>
                  </w:rPr>
                  <w:t>Systematic Reviews</w:t>
                </w:r>
                <w:r w:rsidRPr="001E2AF9">
                  <w:rPr>
                    <w:sz w:val="18"/>
                    <w:szCs w:val="18"/>
                  </w:rPr>
                  <w:t>:</w:t>
                </w:r>
                <w:r w:rsidRPr="001E2AF9">
                  <w:t xml:space="preserve"> </w:t>
                </w:r>
                <w:r w:rsidRPr="001E2AF9">
                  <w:rPr>
                    <w:sz w:val="18"/>
                    <w:szCs w:val="18"/>
                  </w:rPr>
                  <w:t>Telehealth,  telemedicine, video conferencing and home online Health Consultation</w:t>
                </w:r>
              </w:p>
            </w:tc>
            <w:tc>
              <w:tcPr>
                <w:tcW w:w="4050" w:type="dxa"/>
              </w:tcPr>
              <w:p w:rsidR="002B1CEB" w:rsidRPr="001E2AF9" w:rsidRDefault="002B1CEB" w:rsidP="00EB7678">
                <w:pPr>
                  <w:spacing w:line="288" w:lineRule="auto"/>
                  <w:jc w:val="both"/>
                  <w:rPr>
                    <w:rFonts w:ascii="Calibri" w:eastAsia="Calibri" w:hAnsi="Calibri" w:cs="Times New Roman"/>
                    <w:color w:val="000000"/>
                    <w:sz w:val="24"/>
                    <w:szCs w:val="24"/>
                    <w:lang w:val="en-GB"/>
                  </w:rPr>
                </w:pPr>
                <w:r w:rsidRPr="001E2AF9">
                  <w:rPr>
                    <w:rFonts w:ascii="Calibri" w:eastAsia="Calibri" w:hAnsi="Calibri" w:cs="Times New Roman"/>
                    <w:color w:val="000000"/>
                    <w:sz w:val="24"/>
                    <w:szCs w:val="24"/>
                    <w:lang w:val="en-GB"/>
                  </w:rPr>
                  <w:t>[</w:t>
                </w:r>
                <w:r>
                  <w:rPr>
                    <w:rFonts w:ascii="Calibri" w:eastAsia="Calibri" w:hAnsi="Calibri" w:cs="Times New Roman"/>
                    <w:color w:val="000000"/>
                    <w:sz w:val="24"/>
                    <w:szCs w:val="24"/>
                    <w:lang w:val="en-GB"/>
                  </w:rPr>
                  <w:t>4, 12, 24, 29</w:t>
                </w:r>
                <w:r w:rsidRPr="001E2AF9">
                  <w:rPr>
                    <w:rFonts w:ascii="Calibri" w:eastAsia="Calibri" w:hAnsi="Calibri" w:cs="Times New Roman"/>
                    <w:color w:val="000000"/>
                    <w:sz w:val="24"/>
                    <w:szCs w:val="24"/>
                    <w:lang w:val="en-GB"/>
                  </w:rPr>
                  <w:t>]</w:t>
                </w:r>
              </w:p>
            </w:tc>
          </w:tr>
          <w:tr w:rsidR="002B1CEB" w:rsidRPr="001E2AF9" w:rsidTr="00EB7678">
            <w:trPr>
              <w:trHeight w:val="195"/>
              <w:jc w:val="center"/>
            </w:trPr>
            <w:tc>
              <w:tcPr>
                <w:tcW w:w="1620" w:type="dxa"/>
                <w:vMerge/>
              </w:tcPr>
              <w:p w:rsidR="002B1CEB" w:rsidRPr="001E2AF9" w:rsidRDefault="002B1CEB" w:rsidP="00EB7678">
                <w:pPr>
                  <w:jc w:val="both"/>
                </w:pPr>
              </w:p>
            </w:tc>
            <w:tc>
              <w:tcPr>
                <w:tcW w:w="4950" w:type="dxa"/>
              </w:tcPr>
              <w:p w:rsidR="002B1CEB" w:rsidRPr="001E2AF9" w:rsidRDefault="002B1CEB" w:rsidP="00EB7678">
                <w:pPr>
                  <w:jc w:val="both"/>
                </w:pPr>
                <w:r w:rsidRPr="001E2AF9">
                  <w:rPr>
                    <w:b/>
                    <w:i/>
                    <w:sz w:val="18"/>
                    <w:szCs w:val="18"/>
                  </w:rPr>
                  <w:t>Primary articles</w:t>
                </w:r>
                <w:r w:rsidRPr="001E2AF9">
                  <w:rPr>
                    <w:sz w:val="18"/>
                    <w:szCs w:val="18"/>
                  </w:rPr>
                  <w:t>: positive evaluation of the app, incentives for use (additional functionality) and unlimited access to the system.</w:t>
                </w:r>
              </w:p>
            </w:tc>
            <w:tc>
              <w:tcPr>
                <w:tcW w:w="4050" w:type="dxa"/>
              </w:tcPr>
              <w:p w:rsidR="002B1CEB" w:rsidRPr="001E2AF9" w:rsidRDefault="002B1CEB" w:rsidP="00EB7678">
                <w:pPr>
                  <w:spacing w:line="288" w:lineRule="auto"/>
                  <w:jc w:val="both"/>
                  <w:rPr>
                    <w:rFonts w:ascii="Calibri" w:eastAsia="Calibri" w:hAnsi="Calibri" w:cs="Times New Roman"/>
                    <w:color w:val="000000"/>
                    <w:sz w:val="24"/>
                    <w:szCs w:val="24"/>
                    <w:lang w:val="en-GB"/>
                  </w:rPr>
                </w:pPr>
                <w:r w:rsidRPr="001E2AF9">
                  <w:rPr>
                    <w:rFonts w:ascii="Calibri" w:eastAsia="Calibri" w:hAnsi="Calibri" w:cs="Times New Roman"/>
                    <w:color w:val="000000"/>
                    <w:sz w:val="24"/>
                    <w:szCs w:val="24"/>
                    <w:lang w:val="en-GB"/>
                  </w:rPr>
                  <w:t>[</w:t>
                </w:r>
                <w:r>
                  <w:rPr>
                    <w:rFonts w:ascii="Calibri" w:eastAsia="Calibri" w:hAnsi="Calibri" w:cs="Times New Roman"/>
                    <w:color w:val="000000"/>
                    <w:sz w:val="24"/>
                    <w:szCs w:val="24"/>
                    <w:lang w:val="en-GB"/>
                  </w:rPr>
                  <w:t>40, 43, 45</w:t>
                </w:r>
                <w:r w:rsidRPr="001E2AF9">
                  <w:rPr>
                    <w:rFonts w:ascii="Calibri" w:eastAsia="Calibri" w:hAnsi="Calibri" w:cs="Times New Roman"/>
                    <w:color w:val="000000"/>
                    <w:sz w:val="24"/>
                    <w:szCs w:val="24"/>
                    <w:lang w:val="en-GB"/>
                  </w:rPr>
                  <w:t>]</w:t>
                </w:r>
              </w:p>
            </w:tc>
          </w:tr>
          <w:tr w:rsidR="002B1CEB" w:rsidRPr="001E2AF9" w:rsidTr="00EB7678">
            <w:trPr>
              <w:trHeight w:val="270"/>
              <w:jc w:val="center"/>
            </w:trPr>
            <w:tc>
              <w:tcPr>
                <w:tcW w:w="1620" w:type="dxa"/>
                <w:vMerge w:val="restart"/>
              </w:tcPr>
              <w:p w:rsidR="002B1CEB" w:rsidRPr="001E2AF9" w:rsidRDefault="002B1CEB" w:rsidP="00EB7678">
                <w:r w:rsidRPr="001E2AF9">
                  <w:t>Main purpose</w:t>
                </w:r>
              </w:p>
            </w:tc>
            <w:tc>
              <w:tcPr>
                <w:tcW w:w="4950" w:type="dxa"/>
              </w:tcPr>
              <w:p w:rsidR="002B1CEB" w:rsidRPr="001E2AF9" w:rsidRDefault="002B1CEB" w:rsidP="00EB7678">
                <w:pPr>
                  <w:jc w:val="both"/>
                </w:pPr>
                <w:r w:rsidRPr="001E2AF9">
                  <w:rPr>
                    <w:b/>
                    <w:i/>
                    <w:sz w:val="18"/>
                    <w:szCs w:val="18"/>
                  </w:rPr>
                  <w:t>Systematic Reviews</w:t>
                </w:r>
                <w:r w:rsidRPr="001E2AF9">
                  <w:rPr>
                    <w:sz w:val="18"/>
                    <w:szCs w:val="18"/>
                  </w:rPr>
                  <w:t>: early detection and the management of chronic conditions, accessed from any web enabled smartphone, e-consultation and AI diagnosis.</w:t>
                </w:r>
              </w:p>
            </w:tc>
            <w:tc>
              <w:tcPr>
                <w:tcW w:w="4050" w:type="dxa"/>
              </w:tcPr>
              <w:p w:rsidR="002B1CEB" w:rsidRPr="001E2AF9" w:rsidRDefault="002B1CEB" w:rsidP="00EB7678">
                <w:pPr>
                  <w:spacing w:line="288" w:lineRule="auto"/>
                  <w:jc w:val="both"/>
                  <w:rPr>
                    <w:rFonts w:ascii="Calibri" w:eastAsia="Calibri" w:hAnsi="Calibri" w:cs="Times New Roman"/>
                    <w:color w:val="000000"/>
                    <w:sz w:val="24"/>
                    <w:szCs w:val="24"/>
                    <w:lang w:val="en-GB"/>
                  </w:rPr>
                </w:pPr>
                <w:r w:rsidRPr="001E2AF9">
                  <w:rPr>
                    <w:rFonts w:ascii="Calibri" w:eastAsia="Calibri" w:hAnsi="Calibri" w:cs="Times New Roman"/>
                    <w:color w:val="000000"/>
                    <w:sz w:val="24"/>
                    <w:szCs w:val="24"/>
                    <w:lang w:val="en-GB"/>
                  </w:rPr>
                  <w:t>[</w:t>
                </w:r>
                <w:r>
                  <w:rPr>
                    <w:rFonts w:ascii="Calibri" w:eastAsia="Calibri" w:hAnsi="Calibri" w:cs="Times New Roman"/>
                    <w:color w:val="000000"/>
                    <w:sz w:val="24"/>
                    <w:szCs w:val="24"/>
                    <w:lang w:val="en-GB"/>
                  </w:rPr>
                  <w:t>2, 11, 12, 18, 49</w:t>
                </w:r>
                <w:r w:rsidRPr="001E2AF9">
                  <w:rPr>
                    <w:rFonts w:ascii="Calibri" w:eastAsia="Calibri" w:hAnsi="Calibri" w:cs="Times New Roman"/>
                    <w:color w:val="000000"/>
                    <w:sz w:val="24"/>
                    <w:szCs w:val="24"/>
                    <w:lang w:val="en-GB"/>
                  </w:rPr>
                  <w:t>]</w:t>
                </w:r>
              </w:p>
            </w:tc>
          </w:tr>
          <w:tr w:rsidR="002B1CEB" w:rsidRPr="001E2AF9" w:rsidTr="00EB7678">
            <w:trPr>
              <w:trHeight w:val="255"/>
              <w:jc w:val="center"/>
            </w:trPr>
            <w:tc>
              <w:tcPr>
                <w:tcW w:w="1620" w:type="dxa"/>
                <w:vMerge/>
              </w:tcPr>
              <w:p w:rsidR="002B1CEB" w:rsidRPr="001E2AF9" w:rsidRDefault="002B1CEB" w:rsidP="00EB7678">
                <w:pPr>
                  <w:jc w:val="both"/>
                </w:pPr>
              </w:p>
            </w:tc>
            <w:tc>
              <w:tcPr>
                <w:tcW w:w="4950" w:type="dxa"/>
              </w:tcPr>
              <w:p w:rsidR="002B1CEB" w:rsidRPr="001E2AF9" w:rsidRDefault="002B1CEB" w:rsidP="00EB7678">
                <w:pPr>
                  <w:jc w:val="both"/>
                </w:pPr>
                <w:r w:rsidRPr="001E2AF9">
                  <w:rPr>
                    <w:b/>
                    <w:i/>
                    <w:sz w:val="18"/>
                    <w:szCs w:val="18"/>
                  </w:rPr>
                  <w:t>Primary articles</w:t>
                </w:r>
                <w:r w:rsidRPr="001E2AF9">
                  <w:rPr>
                    <w:sz w:val="18"/>
                    <w:szCs w:val="18"/>
                  </w:rPr>
                  <w:t>: improving the effectiveness and efficiency of prevention and prediction.</w:t>
                </w:r>
              </w:p>
            </w:tc>
            <w:tc>
              <w:tcPr>
                <w:tcW w:w="4050" w:type="dxa"/>
              </w:tcPr>
              <w:p w:rsidR="002B1CEB" w:rsidRPr="001E2AF9" w:rsidRDefault="002B1CEB" w:rsidP="00EB7678">
                <w:pPr>
                  <w:jc w:val="both"/>
                </w:pPr>
                <w:r>
                  <w:rPr>
                    <w:sz w:val="24"/>
                    <w:szCs w:val="24"/>
                  </w:rPr>
                  <w:t>[3</w:t>
                </w:r>
                <w:r w:rsidRPr="001E2AF9">
                  <w:rPr>
                    <w:sz w:val="24"/>
                    <w:szCs w:val="24"/>
                  </w:rPr>
                  <w:t>]</w:t>
                </w:r>
              </w:p>
            </w:tc>
          </w:tr>
          <w:tr w:rsidR="002B1CEB" w:rsidRPr="001E2AF9" w:rsidTr="00EB7678">
            <w:trPr>
              <w:trHeight w:val="270"/>
              <w:jc w:val="center"/>
            </w:trPr>
            <w:tc>
              <w:tcPr>
                <w:tcW w:w="1620" w:type="dxa"/>
                <w:vMerge w:val="restart"/>
              </w:tcPr>
              <w:p w:rsidR="002B1CEB" w:rsidRPr="001E2AF9" w:rsidRDefault="002B1CEB" w:rsidP="00EB7678">
                <w:pPr>
                  <w:jc w:val="both"/>
                </w:pPr>
                <w:r w:rsidRPr="001E2AF9">
                  <w:t>Design approach</w:t>
                </w:r>
              </w:p>
            </w:tc>
            <w:tc>
              <w:tcPr>
                <w:tcW w:w="4950" w:type="dxa"/>
              </w:tcPr>
              <w:p w:rsidR="002B1CEB" w:rsidRPr="001E2AF9" w:rsidRDefault="002B1CEB" w:rsidP="00EB7678">
                <w:pPr>
                  <w:jc w:val="both"/>
                </w:pPr>
                <w:r w:rsidRPr="001E2AF9">
                  <w:rPr>
                    <w:b/>
                    <w:i/>
                    <w:sz w:val="18"/>
                    <w:szCs w:val="18"/>
                  </w:rPr>
                  <w:t>Systematic Reviews</w:t>
                </w:r>
                <w:r w:rsidRPr="001E2AF9">
                  <w:rPr>
                    <w:sz w:val="18"/>
                    <w:szCs w:val="18"/>
                  </w:rPr>
                  <w:t>:</w:t>
                </w:r>
                <w:r w:rsidRPr="001E2AF9">
                  <w:t xml:space="preserve"> </w:t>
                </w:r>
                <w:r w:rsidRPr="001E2AF9">
                  <w:rPr>
                    <w:sz w:val="18"/>
                    <w:szCs w:val="18"/>
                  </w:rPr>
                  <w:t>consultation sessions, training, and follow up phone calls (during deployment).</w:t>
                </w:r>
              </w:p>
            </w:tc>
            <w:tc>
              <w:tcPr>
                <w:tcW w:w="4050" w:type="dxa"/>
              </w:tcPr>
              <w:p w:rsidR="002B1CEB" w:rsidRPr="001E2AF9" w:rsidRDefault="002B1CEB" w:rsidP="00EB7678">
                <w:pPr>
                  <w:jc w:val="both"/>
                </w:pPr>
                <w:r>
                  <w:rPr>
                    <w:sz w:val="24"/>
                    <w:szCs w:val="24"/>
                  </w:rPr>
                  <w:t>[9</w:t>
                </w:r>
                <w:r w:rsidRPr="001E2AF9">
                  <w:rPr>
                    <w:sz w:val="24"/>
                    <w:szCs w:val="24"/>
                  </w:rPr>
                  <w:t>]</w:t>
                </w:r>
              </w:p>
            </w:tc>
          </w:tr>
          <w:tr w:rsidR="002B1CEB" w:rsidRPr="001E2AF9" w:rsidTr="00EB7678">
            <w:trPr>
              <w:trHeight w:val="270"/>
              <w:jc w:val="center"/>
            </w:trPr>
            <w:tc>
              <w:tcPr>
                <w:tcW w:w="1620" w:type="dxa"/>
                <w:vMerge/>
              </w:tcPr>
              <w:p w:rsidR="002B1CEB" w:rsidRPr="001E2AF9" w:rsidRDefault="002B1CEB" w:rsidP="00EB7678">
                <w:pPr>
                  <w:jc w:val="both"/>
                </w:pPr>
              </w:p>
            </w:tc>
            <w:tc>
              <w:tcPr>
                <w:tcW w:w="4950" w:type="dxa"/>
              </w:tcPr>
              <w:p w:rsidR="002B1CEB" w:rsidRPr="001E2AF9" w:rsidRDefault="002B1CEB" w:rsidP="00EB7678">
                <w:pPr>
                  <w:jc w:val="both"/>
                </w:pPr>
                <w:r w:rsidRPr="001E2AF9">
                  <w:rPr>
                    <w:b/>
                    <w:i/>
                    <w:sz w:val="18"/>
                    <w:szCs w:val="18"/>
                  </w:rPr>
                  <w:t>Primary articles</w:t>
                </w:r>
                <w:r w:rsidRPr="001E2AF9">
                  <w:rPr>
                    <w:sz w:val="18"/>
                    <w:szCs w:val="18"/>
                  </w:rPr>
                  <w:t>: doctors and nurses participated in each stage of its design and prototyping, Patient representative on the research team, patient acceptability before and after design, user centered design and feedback from the clinical collaborators and the patients in design.</w:t>
                </w:r>
              </w:p>
            </w:tc>
            <w:tc>
              <w:tcPr>
                <w:tcW w:w="4050" w:type="dxa"/>
              </w:tcPr>
              <w:p w:rsidR="002B1CEB" w:rsidRPr="001E2AF9" w:rsidRDefault="002B1CEB" w:rsidP="00EB7678">
                <w:pPr>
                  <w:jc w:val="both"/>
                </w:pPr>
                <w:r w:rsidRPr="001E2AF9">
                  <w:rPr>
                    <w:sz w:val="24"/>
                    <w:szCs w:val="24"/>
                  </w:rPr>
                  <w:t>[</w:t>
                </w:r>
                <w:r>
                  <w:rPr>
                    <w:sz w:val="24"/>
                    <w:szCs w:val="24"/>
                  </w:rPr>
                  <w:t>15, 20, 46, 58, 62</w:t>
                </w:r>
                <w:r w:rsidRPr="001E2AF9">
                  <w:rPr>
                    <w:sz w:val="24"/>
                    <w:szCs w:val="24"/>
                  </w:rPr>
                  <w:t>]</w:t>
                </w:r>
              </w:p>
            </w:tc>
          </w:tr>
        </w:tbl>
        <w:p w:rsidR="002B1CEB" w:rsidRPr="002805B3" w:rsidRDefault="002B1CEB" w:rsidP="002B1CEB">
          <w:pPr>
            <w:tabs>
              <w:tab w:val="left" w:pos="810"/>
            </w:tabs>
            <w:spacing w:after="0"/>
            <w:ind w:right="-144"/>
            <w:jc w:val="both"/>
            <w:rPr>
              <w:rFonts w:ascii="Calibri" w:eastAsia="Calibri" w:hAnsi="Calibri" w:cs="TimesNewRomanPSMT"/>
              <w:sz w:val="21"/>
              <w:szCs w:val="21"/>
            </w:rPr>
          </w:pPr>
        </w:p>
      </w:sdtContent>
    </w:sdt>
    <w:p w:rsidR="00FB7C93" w:rsidRDefault="00FB7C93"/>
    <w:sectPr w:rsidR="00FB7C93" w:rsidSect="002B1CEB">
      <w:pgSz w:w="12240" w:h="15840"/>
      <w:pgMar w:top="99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NewRomanPSM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CEB"/>
    <w:rsid w:val="002B1CEB"/>
    <w:rsid w:val="00FB7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771AF"/>
  <w15:chartTrackingRefBased/>
  <w15:docId w15:val="{7F69AC21-35EC-45CC-8A76-557D29DD3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1CEB"/>
    <w:pPr>
      <w:spacing w:after="200" w:line="276" w:lineRule="auto"/>
    </w:pPr>
  </w:style>
  <w:style w:type="paragraph" w:styleId="Heading1">
    <w:name w:val="heading 1"/>
    <w:basedOn w:val="Heading2"/>
    <w:next w:val="Normal"/>
    <w:link w:val="Heading1Char"/>
    <w:uiPriority w:val="9"/>
    <w:qFormat/>
    <w:rsid w:val="002B1CEB"/>
    <w:pPr>
      <w:spacing w:before="240" w:line="240" w:lineRule="auto"/>
      <w:outlineLvl w:val="0"/>
    </w:pPr>
    <w:rPr>
      <w:rFonts w:ascii="Times New Roman" w:hAnsi="Times New Roman"/>
      <w:b/>
      <w:color w:val="auto"/>
      <w:sz w:val="28"/>
      <w:szCs w:val="28"/>
    </w:rPr>
  </w:style>
  <w:style w:type="paragraph" w:styleId="Heading2">
    <w:name w:val="heading 2"/>
    <w:basedOn w:val="Normal"/>
    <w:next w:val="Normal"/>
    <w:link w:val="Heading2Char"/>
    <w:uiPriority w:val="9"/>
    <w:semiHidden/>
    <w:unhideWhenUsed/>
    <w:qFormat/>
    <w:rsid w:val="002B1CE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1CEB"/>
    <w:rPr>
      <w:rFonts w:ascii="Times New Roman" w:eastAsiaTheme="majorEastAsia" w:hAnsi="Times New Roman" w:cstheme="majorBidi"/>
      <w:b/>
      <w:sz w:val="28"/>
      <w:szCs w:val="28"/>
    </w:rPr>
  </w:style>
  <w:style w:type="table" w:customStyle="1" w:styleId="TableGrid11">
    <w:name w:val="Table Grid11"/>
    <w:basedOn w:val="TableNormal"/>
    <w:next w:val="TableGrid"/>
    <w:uiPriority w:val="59"/>
    <w:rsid w:val="002B1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2B1CEB"/>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2B1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2400</Words>
  <Characters>13682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16050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2021-02-25T07:36:00Z</dcterms:created>
  <dcterms:modified xsi:type="dcterms:W3CDTF">2021-02-25T07:37:00Z</dcterms:modified>
</cp:coreProperties>
</file>