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97A88" w14:textId="77777777" w:rsidR="00DE7E7F" w:rsidRPr="001B2D6B" w:rsidRDefault="00DE7E7F" w:rsidP="00DE7E7F">
      <w:pPr>
        <w:rPr>
          <w:rFonts w:cstheme="minorHAnsi"/>
        </w:rPr>
      </w:pPr>
      <w:r w:rsidRPr="001B2D6B">
        <w:rPr>
          <w:rFonts w:cstheme="minorHAnsi"/>
          <w:b/>
        </w:rPr>
        <w:t xml:space="preserve">Supplemental Table 1. </w:t>
      </w:r>
      <w:r w:rsidRPr="001B2D6B">
        <w:rPr>
          <w:rFonts w:cstheme="minorHAnsi"/>
        </w:rPr>
        <w:t>Oxygen saturation in hospital and Public Health Nurse Clinic</w:t>
      </w:r>
      <w:r>
        <w:rPr>
          <w:rFonts w:cstheme="minorHAnsi"/>
        </w:rPr>
        <w:t>.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7"/>
        <w:gridCol w:w="1562"/>
        <w:gridCol w:w="1563"/>
        <w:gridCol w:w="1282"/>
        <w:gridCol w:w="1843"/>
      </w:tblGrid>
      <w:tr w:rsidR="00DE7E7F" w:rsidRPr="001B2D6B" w14:paraId="18B06FE4" w14:textId="77777777" w:rsidTr="00404EE5">
        <w:tc>
          <w:tcPr>
            <w:tcW w:w="2647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C6EA406" w14:textId="77777777" w:rsidR="00DE7E7F" w:rsidRPr="001B2D6B" w:rsidRDefault="00DE7E7F" w:rsidP="00404EE5">
            <w:pPr>
              <w:rPr>
                <w:rFonts w:cstheme="minorHAnsi"/>
              </w:rPr>
            </w:pPr>
          </w:p>
        </w:tc>
        <w:tc>
          <w:tcPr>
            <w:tcW w:w="15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97543F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Mean SpO</w:t>
            </w:r>
            <w:r w:rsidRPr="001B2D6B">
              <w:rPr>
                <w:rFonts w:cstheme="minorHAnsi"/>
                <w:vertAlign w:val="subscript"/>
              </w:rPr>
              <w:t>2</w:t>
            </w:r>
          </w:p>
        </w:tc>
        <w:tc>
          <w:tcPr>
            <w:tcW w:w="15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87B51A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SD*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3B7379" w14:textId="77777777" w:rsidR="00DE7E7F" w:rsidRPr="001B2D6B" w:rsidRDefault="00DE7E7F" w:rsidP="00404EE5">
            <w:pPr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CV</w:t>
            </w:r>
            <w:r w:rsidRPr="001B2D6B">
              <w:rPr>
                <w:rFonts w:cstheme="minorHAnsi"/>
                <w:color w:val="000000"/>
                <w:vertAlign w:val="superscript"/>
              </w:rPr>
              <w:t>#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1FC9B84F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Mean difference</w:t>
            </w:r>
          </w:p>
        </w:tc>
      </w:tr>
      <w:tr w:rsidR="00DE7E7F" w:rsidRPr="001B2D6B" w14:paraId="65B58D32" w14:textId="77777777" w:rsidTr="00404EE5">
        <w:tc>
          <w:tcPr>
            <w:tcW w:w="8897" w:type="dxa"/>
            <w:gridSpan w:val="5"/>
            <w:tcBorders>
              <w:bottom w:val="nil"/>
            </w:tcBorders>
            <w:shd w:val="clear" w:color="auto" w:fill="auto"/>
          </w:tcPr>
          <w:p w14:paraId="43C1325A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  <w:b/>
                <w:color w:val="262626"/>
              </w:rPr>
              <w:t xml:space="preserve">Hospital </w:t>
            </w:r>
          </w:p>
        </w:tc>
      </w:tr>
      <w:tr w:rsidR="00DE7E7F" w:rsidRPr="001B2D6B" w14:paraId="66143DFB" w14:textId="77777777" w:rsidTr="00404EE5">
        <w:tc>
          <w:tcPr>
            <w:tcW w:w="264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0F6A397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</w:rPr>
              <w:t>Wrist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E84F7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94.3%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FB88C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2.5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79668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0.03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4421F72C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-1.7</w:t>
            </w:r>
          </w:p>
        </w:tc>
      </w:tr>
      <w:tr w:rsidR="00DE7E7F" w:rsidRPr="001B2D6B" w14:paraId="0F65BC3A" w14:textId="77777777" w:rsidTr="00404EE5">
        <w:tc>
          <w:tcPr>
            <w:tcW w:w="264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319AAEB6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</w:rPr>
              <w:t>Foot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2D3E82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96.0%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C3B227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3.0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967375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0.02</w:t>
            </w: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7CD841EB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</w:p>
        </w:tc>
      </w:tr>
      <w:tr w:rsidR="00DE7E7F" w:rsidRPr="001B2D6B" w14:paraId="14074C92" w14:textId="77777777" w:rsidTr="00404EE5">
        <w:tc>
          <w:tcPr>
            <w:tcW w:w="8897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4CF2A741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  <w:b/>
                <w:color w:val="262626"/>
              </w:rPr>
              <w:t xml:space="preserve">Public </w:t>
            </w:r>
            <w:r>
              <w:rPr>
                <w:rFonts w:cstheme="minorHAnsi"/>
                <w:b/>
                <w:color w:val="262626"/>
              </w:rPr>
              <w:t>H</w:t>
            </w:r>
            <w:r w:rsidRPr="001B2D6B">
              <w:rPr>
                <w:rFonts w:cstheme="minorHAnsi"/>
                <w:b/>
                <w:color w:val="262626"/>
              </w:rPr>
              <w:t xml:space="preserve">ealth </w:t>
            </w:r>
            <w:r>
              <w:rPr>
                <w:rFonts w:cstheme="minorHAnsi"/>
                <w:b/>
                <w:color w:val="262626"/>
              </w:rPr>
              <w:t>Nurse C</w:t>
            </w:r>
            <w:r w:rsidRPr="001B2D6B">
              <w:rPr>
                <w:rFonts w:cstheme="minorHAnsi"/>
                <w:b/>
                <w:color w:val="262626"/>
              </w:rPr>
              <w:t xml:space="preserve">linic </w:t>
            </w:r>
          </w:p>
        </w:tc>
      </w:tr>
      <w:tr w:rsidR="00DE7E7F" w:rsidRPr="001B2D6B" w14:paraId="53028451" w14:textId="77777777" w:rsidTr="00404EE5">
        <w:tc>
          <w:tcPr>
            <w:tcW w:w="264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7113C5A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</w:rPr>
              <w:t>Wrist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53530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94.3%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6733D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2.8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FCE4A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0.03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09A9D2A4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-1.3</w:t>
            </w:r>
          </w:p>
        </w:tc>
      </w:tr>
      <w:tr w:rsidR="00DE7E7F" w:rsidRPr="001B2D6B" w14:paraId="256FD84D" w14:textId="77777777" w:rsidTr="00404EE5">
        <w:tc>
          <w:tcPr>
            <w:tcW w:w="2647" w:type="dxa"/>
            <w:tcBorders>
              <w:top w:val="nil"/>
              <w:right w:val="nil"/>
            </w:tcBorders>
            <w:shd w:val="clear" w:color="auto" w:fill="auto"/>
          </w:tcPr>
          <w:p w14:paraId="229AEDBF" w14:textId="77777777" w:rsidR="00DE7E7F" w:rsidRPr="001B2D6B" w:rsidRDefault="00DE7E7F" w:rsidP="00404EE5">
            <w:pPr>
              <w:rPr>
                <w:rFonts w:cstheme="minorHAnsi"/>
              </w:rPr>
            </w:pPr>
            <w:r w:rsidRPr="001B2D6B">
              <w:rPr>
                <w:rFonts w:cstheme="minorHAnsi"/>
              </w:rPr>
              <w:t>Foot</w:t>
            </w:r>
          </w:p>
        </w:tc>
        <w:tc>
          <w:tcPr>
            <w:tcW w:w="156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C9F7574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95.6%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C69BE66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2.7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FBA5865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  <w:r w:rsidRPr="001B2D6B">
              <w:rPr>
                <w:rFonts w:cstheme="minorHAnsi"/>
              </w:rPr>
              <w:t>0.03</w:t>
            </w:r>
          </w:p>
        </w:tc>
        <w:tc>
          <w:tcPr>
            <w:tcW w:w="1843" w:type="dxa"/>
            <w:vMerge/>
            <w:tcBorders>
              <w:left w:val="nil"/>
            </w:tcBorders>
            <w:shd w:val="clear" w:color="auto" w:fill="auto"/>
          </w:tcPr>
          <w:p w14:paraId="2ADE18F2" w14:textId="77777777" w:rsidR="00DE7E7F" w:rsidRPr="001B2D6B" w:rsidRDefault="00DE7E7F" w:rsidP="00404EE5">
            <w:pPr>
              <w:jc w:val="center"/>
              <w:rPr>
                <w:rFonts w:cstheme="minorHAnsi"/>
              </w:rPr>
            </w:pPr>
          </w:p>
        </w:tc>
      </w:tr>
    </w:tbl>
    <w:p w14:paraId="4EC9DA63" w14:textId="77777777" w:rsidR="00DE7E7F" w:rsidRPr="001B2D6B" w:rsidRDefault="00DE7E7F" w:rsidP="00DE7E7F">
      <w:pPr>
        <w:rPr>
          <w:rFonts w:cstheme="minorHAnsi"/>
        </w:rPr>
      </w:pPr>
      <w:r w:rsidRPr="001B2D6B">
        <w:rPr>
          <w:rFonts w:cstheme="minorHAnsi"/>
        </w:rPr>
        <w:t>*SD: standard deviation</w:t>
      </w:r>
    </w:p>
    <w:p w14:paraId="30CBEEB1" w14:textId="77777777" w:rsidR="00DE7E7F" w:rsidRPr="001B2D6B" w:rsidRDefault="00DE7E7F" w:rsidP="00DE7E7F">
      <w:pPr>
        <w:rPr>
          <w:rFonts w:cstheme="minorHAnsi"/>
        </w:rPr>
      </w:pPr>
      <w:r w:rsidRPr="001B2D6B">
        <w:rPr>
          <w:rFonts w:cstheme="minorHAnsi"/>
        </w:rPr>
        <w:t>#CV: coefficient of variation</w:t>
      </w:r>
    </w:p>
    <w:p w14:paraId="1A90D744" w14:textId="77777777" w:rsidR="00DE7E7F" w:rsidRPr="001B2D6B" w:rsidRDefault="00DE7E7F" w:rsidP="00DE7E7F">
      <w:pPr>
        <w:rPr>
          <w:rFonts w:cstheme="minorHAnsi"/>
          <w:color w:val="000000"/>
        </w:rPr>
      </w:pPr>
      <w:r w:rsidRPr="001B2D6B">
        <w:rPr>
          <w:rFonts w:cstheme="minorHAnsi"/>
          <w:color w:val="000000"/>
        </w:rPr>
        <w:t>Results generated by including all available data for each patient. Hospital recording refers to the first reading only.</w:t>
      </w:r>
    </w:p>
    <w:p w14:paraId="419F12CF" w14:textId="77777777" w:rsidR="00DE7E7F" w:rsidRPr="001B2D6B" w:rsidRDefault="00DE7E7F" w:rsidP="00DE7E7F">
      <w:pPr>
        <w:rPr>
          <w:rFonts w:cstheme="minorHAnsi"/>
        </w:rPr>
      </w:pPr>
    </w:p>
    <w:p w14:paraId="0EA17781" w14:textId="77777777" w:rsidR="00DE7E7F" w:rsidRPr="001B2D6B" w:rsidRDefault="00DE7E7F" w:rsidP="00DE7E7F">
      <w:pPr>
        <w:rPr>
          <w:rFonts w:cstheme="minorHAnsi"/>
          <w:bCs/>
        </w:rPr>
      </w:pPr>
      <w:r w:rsidRPr="001B2D6B">
        <w:rPr>
          <w:rFonts w:cstheme="minorHAnsi"/>
          <w:b/>
        </w:rPr>
        <w:t>Supplemental Table 2</w:t>
      </w:r>
      <w:r w:rsidRPr="001B2D6B">
        <w:rPr>
          <w:rFonts w:cstheme="minorHAnsi"/>
          <w:bCs/>
        </w:rPr>
        <w:t xml:space="preserve">.  Changes in </w:t>
      </w:r>
      <w:r>
        <w:rPr>
          <w:rFonts w:cstheme="minorHAnsi"/>
          <w:bCs/>
        </w:rPr>
        <w:t>oxygen saturation</w:t>
      </w:r>
      <w:r w:rsidRPr="001B2D6B">
        <w:rPr>
          <w:rFonts w:cstheme="minorHAnsi"/>
          <w:bCs/>
        </w:rPr>
        <w:t xml:space="preserve"> over time</w:t>
      </w:r>
      <w:r>
        <w:rPr>
          <w:rFonts w:cstheme="minorHAnsi"/>
          <w:bCs/>
        </w:rPr>
        <w:t>.</w:t>
      </w:r>
    </w:p>
    <w:tbl>
      <w:tblPr>
        <w:tblStyle w:val="TableGrid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3"/>
        <w:gridCol w:w="1637"/>
        <w:gridCol w:w="1730"/>
        <w:gridCol w:w="2104"/>
        <w:gridCol w:w="1492"/>
      </w:tblGrid>
      <w:tr w:rsidR="00DE7E7F" w:rsidRPr="001B2D6B" w14:paraId="12693F8A" w14:textId="77777777" w:rsidTr="00404EE5">
        <w:trPr>
          <w:jc w:val="center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14:paraId="63723D58" w14:textId="77777777" w:rsidR="00DE7E7F" w:rsidRPr="001B2D6B" w:rsidRDefault="00DE7E7F" w:rsidP="00404EE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sz="4" w:space="0" w:color="auto"/>
              <w:bottom w:val="single" w:sz="4" w:space="0" w:color="auto"/>
            </w:tcBorders>
          </w:tcPr>
          <w:p w14:paraId="30A83CA0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Hospital</w:t>
            </w:r>
          </w:p>
        </w:tc>
        <w:tc>
          <w:tcPr>
            <w:tcW w:w="1806" w:type="dxa"/>
            <w:tcBorders>
              <w:top w:val="single" w:sz="4" w:space="0" w:color="auto"/>
              <w:bottom w:val="single" w:sz="4" w:space="0" w:color="auto"/>
            </w:tcBorders>
          </w:tcPr>
          <w:p w14:paraId="412A8FEE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 xml:space="preserve">Public Health Nurse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linic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</w:tcPr>
          <w:p w14:paraId="18E07415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Mean Difference</w:t>
            </w:r>
          </w:p>
          <w:p w14:paraId="75D1FC34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95% Confidence Interval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</w:tcPr>
          <w:p w14:paraId="13C54809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P value</w:t>
            </w:r>
          </w:p>
        </w:tc>
      </w:tr>
      <w:tr w:rsidR="00DE7E7F" w:rsidRPr="001B2D6B" w14:paraId="49DB7524" w14:textId="77777777" w:rsidTr="00404EE5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  <w:vAlign w:val="center"/>
          </w:tcPr>
          <w:p w14:paraId="6AB7426F" w14:textId="77777777" w:rsidR="00DE7E7F" w:rsidRPr="00E91260" w:rsidRDefault="00DE7E7F" w:rsidP="00404EE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Median 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Preductal 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>SpO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  <w:vertAlign w:val="subscript"/>
              </w:rPr>
              <w:t>2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(IQR)</w:t>
            </w:r>
          </w:p>
        </w:tc>
        <w:tc>
          <w:tcPr>
            <w:tcW w:w="1691" w:type="dxa"/>
            <w:tcBorders>
              <w:top w:val="single" w:sz="4" w:space="0" w:color="auto"/>
            </w:tcBorders>
            <w:vAlign w:val="center"/>
          </w:tcPr>
          <w:p w14:paraId="137C8A19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95% (93-97)</w:t>
            </w:r>
          </w:p>
        </w:tc>
        <w:tc>
          <w:tcPr>
            <w:tcW w:w="1806" w:type="dxa"/>
            <w:tcBorders>
              <w:top w:val="single" w:sz="4" w:space="0" w:color="auto"/>
            </w:tcBorders>
            <w:vAlign w:val="center"/>
          </w:tcPr>
          <w:p w14:paraId="2BCA9888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95% (94-97)</w:t>
            </w:r>
          </w:p>
        </w:tc>
        <w:tc>
          <w:tcPr>
            <w:tcW w:w="2173" w:type="dxa"/>
            <w:tcBorders>
              <w:top w:val="single" w:sz="4" w:space="0" w:color="auto"/>
            </w:tcBorders>
            <w:vAlign w:val="center"/>
          </w:tcPr>
          <w:p w14:paraId="164A5CC5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-0.13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(-0.8 to 0.57)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3DD5B05B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0.71</w:t>
            </w:r>
          </w:p>
        </w:tc>
      </w:tr>
      <w:tr w:rsidR="00DE7E7F" w:rsidRPr="001B2D6B" w14:paraId="15DB8206" w14:textId="77777777" w:rsidTr="00404EE5">
        <w:trPr>
          <w:jc w:val="center"/>
        </w:trPr>
        <w:tc>
          <w:tcPr>
            <w:tcW w:w="2122" w:type="dxa"/>
            <w:vAlign w:val="center"/>
          </w:tcPr>
          <w:p w14:paraId="0329B701" w14:textId="77777777" w:rsidR="00DE7E7F" w:rsidRPr="00E91260" w:rsidRDefault="00DE7E7F" w:rsidP="00404EE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Median </w:t>
            </w:r>
            <w:proofErr w:type="spellStart"/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>P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>ostductal</w:t>
            </w:r>
            <w:proofErr w:type="spellEnd"/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SpO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  <w:vertAlign w:val="subscript"/>
              </w:rPr>
              <w:t>2</w:t>
            </w:r>
            <w:r w:rsidRPr="00E91260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(IQR)</w:t>
            </w:r>
          </w:p>
        </w:tc>
        <w:tc>
          <w:tcPr>
            <w:tcW w:w="1691" w:type="dxa"/>
            <w:vAlign w:val="center"/>
          </w:tcPr>
          <w:p w14:paraId="725E5B6E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97% (95-99)</w:t>
            </w:r>
          </w:p>
        </w:tc>
        <w:tc>
          <w:tcPr>
            <w:tcW w:w="1806" w:type="dxa"/>
            <w:vAlign w:val="center"/>
          </w:tcPr>
          <w:p w14:paraId="28E68267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97% (95-98)</w:t>
            </w:r>
          </w:p>
        </w:tc>
        <w:tc>
          <w:tcPr>
            <w:tcW w:w="2173" w:type="dxa"/>
            <w:vAlign w:val="center"/>
          </w:tcPr>
          <w:p w14:paraId="2E256224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0.13 (-0.77 to 1.0)</w:t>
            </w:r>
          </w:p>
        </w:tc>
        <w:tc>
          <w:tcPr>
            <w:tcW w:w="1558" w:type="dxa"/>
            <w:vAlign w:val="center"/>
          </w:tcPr>
          <w:p w14:paraId="6B32C5CF" w14:textId="77777777" w:rsidR="00DE7E7F" w:rsidRPr="001B2D6B" w:rsidRDefault="00DE7E7F" w:rsidP="00404EE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B2D6B">
              <w:rPr>
                <w:rFonts w:asciiTheme="minorHAnsi" w:hAnsiTheme="minorHAnsi" w:cstheme="minorHAnsi"/>
                <w:sz w:val="24"/>
                <w:szCs w:val="24"/>
              </w:rPr>
              <w:t>0.78</w:t>
            </w:r>
          </w:p>
        </w:tc>
      </w:tr>
    </w:tbl>
    <w:p w14:paraId="2117E258" w14:textId="77777777" w:rsidR="00DE7E7F" w:rsidRPr="001B2D6B" w:rsidRDefault="00DE7E7F" w:rsidP="00DE7E7F">
      <w:pPr>
        <w:rPr>
          <w:rFonts w:cstheme="minorHAnsi"/>
        </w:rPr>
      </w:pPr>
    </w:p>
    <w:p w14:paraId="2C530C5B" w14:textId="77777777" w:rsidR="00DE7E7F" w:rsidRPr="001B2D6B" w:rsidRDefault="00DE7E7F" w:rsidP="00DE7E7F">
      <w:pPr>
        <w:rPr>
          <w:rFonts w:cstheme="minorHAnsi"/>
          <w:b/>
        </w:rPr>
      </w:pPr>
      <w:r w:rsidRPr="001B2D6B">
        <w:rPr>
          <w:rFonts w:cstheme="minorHAnsi"/>
          <w:b/>
        </w:rPr>
        <w:t xml:space="preserve">Supplemental Table 3: </w:t>
      </w:r>
      <w:r w:rsidRPr="001B2D6B">
        <w:rPr>
          <w:rFonts w:cstheme="minorHAnsi"/>
          <w:bCs/>
        </w:rPr>
        <w:t>Difference in duration</w:t>
      </w:r>
      <w:r>
        <w:rPr>
          <w:rFonts w:cstheme="minorHAnsi"/>
          <w:bCs/>
        </w:rPr>
        <w:t>s</w:t>
      </w:r>
      <w:r w:rsidRPr="001B2D6B">
        <w:rPr>
          <w:rFonts w:cstheme="minorHAnsi"/>
          <w:bCs/>
        </w:rPr>
        <w:t xml:space="preserve"> and rates of desaturation episodes from </w:t>
      </w:r>
      <w:r>
        <w:rPr>
          <w:rFonts w:cstheme="minorHAnsi"/>
          <w:bCs/>
        </w:rPr>
        <w:t>h</w:t>
      </w:r>
      <w:r w:rsidRPr="001B2D6B">
        <w:rPr>
          <w:rFonts w:cstheme="minorHAnsi"/>
          <w:bCs/>
        </w:rPr>
        <w:t xml:space="preserve">ospital to </w:t>
      </w:r>
      <w:r>
        <w:rPr>
          <w:rFonts w:cstheme="minorHAnsi"/>
          <w:bCs/>
        </w:rPr>
        <w:t>Public Health Nurse Clinic.</w:t>
      </w:r>
    </w:p>
    <w:tbl>
      <w:tblPr>
        <w:tblW w:w="0" w:type="auto"/>
        <w:jc w:val="center"/>
        <w:tblBorders>
          <w:top w:val="single" w:sz="8" w:space="0" w:color="6D6D6D"/>
          <w:left w:val="single" w:sz="8" w:space="0" w:color="6D6D6D"/>
          <w:bottom w:val="single" w:sz="8" w:space="0" w:color="6D6D6D"/>
          <w:right w:val="single" w:sz="8" w:space="0" w:color="6D6D6D"/>
        </w:tblBorders>
        <w:tblLook w:val="0000" w:firstRow="0" w:lastRow="0" w:firstColumn="0" w:lastColumn="0" w:noHBand="0" w:noVBand="0"/>
      </w:tblPr>
      <w:tblGrid>
        <w:gridCol w:w="2310"/>
        <w:gridCol w:w="2476"/>
        <w:gridCol w:w="1104"/>
        <w:gridCol w:w="2359"/>
        <w:gridCol w:w="757"/>
      </w:tblGrid>
      <w:tr w:rsidR="00DE7E7F" w:rsidRPr="001B2D6B" w14:paraId="7076A165" w14:textId="77777777" w:rsidTr="00404EE5">
        <w:trPr>
          <w:jc w:val="center"/>
        </w:trPr>
        <w:tc>
          <w:tcPr>
            <w:tcW w:w="2400" w:type="dxa"/>
            <w:tcBorders>
              <w:top w:val="single" w:sz="8" w:space="0" w:color="6D6D6D"/>
              <w:bottom w:val="single" w:sz="4" w:space="0" w:color="auto"/>
            </w:tcBorders>
            <w:vAlign w:val="center"/>
          </w:tcPr>
          <w:p w14:paraId="090DD65B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262626"/>
              </w:rPr>
            </w:pPr>
          </w:p>
        </w:tc>
        <w:tc>
          <w:tcPr>
            <w:tcW w:w="2552" w:type="dxa"/>
            <w:tcBorders>
              <w:top w:val="single" w:sz="8" w:space="0" w:color="6D6D6D"/>
              <w:bottom w:val="single" w:sz="4" w:space="0" w:color="auto"/>
            </w:tcBorders>
          </w:tcPr>
          <w:p w14:paraId="72E5059F" w14:textId="77777777" w:rsidR="00DE7E7F" w:rsidRPr="00BA7A01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Cs/>
                <w:color w:val="262626"/>
              </w:rPr>
            </w:pPr>
            <w:r w:rsidRPr="001B2D6B">
              <w:rPr>
                <w:rFonts w:cstheme="minorHAnsi"/>
                <w:b/>
                <w:color w:val="262626"/>
              </w:rPr>
              <w:t xml:space="preserve">Difference in duration of </w:t>
            </w:r>
            <w:r>
              <w:rPr>
                <w:rFonts w:cstheme="minorHAnsi"/>
                <w:b/>
                <w:color w:val="262626"/>
              </w:rPr>
              <w:t>d</w:t>
            </w:r>
            <w:r w:rsidRPr="001B2D6B">
              <w:rPr>
                <w:rFonts w:cstheme="minorHAnsi"/>
                <w:b/>
                <w:color w:val="262626"/>
              </w:rPr>
              <w:t>esaturations (seconds)</w:t>
            </w:r>
            <w:r w:rsidRPr="001B2D6B">
              <w:rPr>
                <w:rFonts w:cstheme="minorHAnsi"/>
                <w:color w:val="262626"/>
              </w:rPr>
              <w:t>*</w:t>
            </w:r>
          </w:p>
          <w:p w14:paraId="5715972D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262626"/>
              </w:rPr>
            </w:pPr>
            <w:r w:rsidRPr="001B2D6B">
              <w:rPr>
                <w:rFonts w:cstheme="minorHAnsi"/>
                <w:color w:val="262626"/>
              </w:rPr>
              <w:t>(95% CI)</w:t>
            </w:r>
          </w:p>
        </w:tc>
        <w:tc>
          <w:tcPr>
            <w:tcW w:w="1134" w:type="dxa"/>
            <w:tcBorders>
              <w:top w:val="single" w:sz="8" w:space="0" w:color="6D6D6D"/>
              <w:bottom w:val="single" w:sz="4" w:space="0" w:color="auto"/>
            </w:tcBorders>
          </w:tcPr>
          <w:p w14:paraId="72558145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262626"/>
              </w:rPr>
            </w:pPr>
            <w:r>
              <w:rPr>
                <w:rFonts w:cstheme="minorHAnsi"/>
                <w:b/>
                <w:color w:val="262626"/>
              </w:rPr>
              <w:t>P value</w:t>
            </w:r>
          </w:p>
        </w:tc>
        <w:tc>
          <w:tcPr>
            <w:tcW w:w="2425" w:type="dxa"/>
            <w:tcBorders>
              <w:top w:val="single" w:sz="8" w:space="0" w:color="6D6D6D"/>
              <w:bottom w:val="single" w:sz="4" w:space="0" w:color="auto"/>
            </w:tcBorders>
          </w:tcPr>
          <w:p w14:paraId="554D31CC" w14:textId="77777777" w:rsidR="00DE7E7F" w:rsidRPr="000A5B4C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262626"/>
              </w:rPr>
            </w:pPr>
            <w:r w:rsidRPr="00065984">
              <w:rPr>
                <w:rFonts w:cstheme="minorHAnsi"/>
                <w:b/>
                <w:color w:val="262626"/>
              </w:rPr>
              <w:t xml:space="preserve">Rate ratio of desaturations episodes </w:t>
            </w:r>
            <w:r w:rsidRPr="00065984">
              <w:rPr>
                <w:rFonts w:cstheme="minorHAnsi"/>
                <w:color w:val="262626"/>
                <w:vertAlign w:val="superscript"/>
              </w:rPr>
              <w:t>$</w:t>
            </w:r>
          </w:p>
        </w:tc>
        <w:tc>
          <w:tcPr>
            <w:tcW w:w="0" w:type="auto"/>
            <w:tcBorders>
              <w:top w:val="single" w:sz="8" w:space="0" w:color="6D6D6D"/>
              <w:bottom w:val="single" w:sz="4" w:space="0" w:color="auto"/>
            </w:tcBorders>
          </w:tcPr>
          <w:p w14:paraId="0D7C312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262626"/>
              </w:rPr>
            </w:pPr>
            <w:r>
              <w:rPr>
                <w:rFonts w:cstheme="minorHAnsi"/>
                <w:b/>
                <w:color w:val="262626"/>
              </w:rPr>
              <w:t>P value</w:t>
            </w:r>
          </w:p>
        </w:tc>
      </w:tr>
      <w:tr w:rsidR="00DE7E7F" w:rsidRPr="001B2D6B" w14:paraId="37766DB5" w14:textId="77777777" w:rsidTr="00404EE5">
        <w:trPr>
          <w:jc w:val="center"/>
        </w:trPr>
        <w:tc>
          <w:tcPr>
            <w:tcW w:w="2400" w:type="dxa"/>
            <w:tcBorders>
              <w:top w:val="single" w:sz="4" w:space="0" w:color="auto"/>
            </w:tcBorders>
          </w:tcPr>
          <w:p w14:paraId="121AA60A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r w:rsidRPr="001B2D6B">
              <w:rPr>
                <w:rFonts w:cstheme="minorHAnsi"/>
                <w:color w:val="262626"/>
              </w:rPr>
              <w:t>Preductal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&lt;95%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14:paraId="23609B56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19.58 (0.88, 46.6)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C33F394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0.04</w:t>
            </w:r>
          </w:p>
        </w:tc>
        <w:tc>
          <w:tcPr>
            <w:tcW w:w="2425" w:type="dxa"/>
            <w:tcBorders>
              <w:top w:val="single" w:sz="4" w:space="0" w:color="auto"/>
            </w:tcBorders>
            <w:vAlign w:val="center"/>
          </w:tcPr>
          <w:p w14:paraId="00145D98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57481E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0.02</w:t>
            </w:r>
          </w:p>
        </w:tc>
      </w:tr>
      <w:tr w:rsidR="00DE7E7F" w:rsidRPr="001B2D6B" w14:paraId="374D1472" w14:textId="77777777" w:rsidTr="00404EE5">
        <w:trPr>
          <w:jc w:val="center"/>
        </w:trPr>
        <w:tc>
          <w:tcPr>
            <w:tcW w:w="2400" w:type="dxa"/>
          </w:tcPr>
          <w:p w14:paraId="555B92D1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r w:rsidRPr="001B2D6B">
              <w:rPr>
                <w:rFonts w:cstheme="minorHAnsi"/>
                <w:color w:val="262626"/>
              </w:rPr>
              <w:t>Preductal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&lt;90%</w:t>
            </w:r>
          </w:p>
        </w:tc>
        <w:tc>
          <w:tcPr>
            <w:tcW w:w="2552" w:type="dxa"/>
            <w:vAlign w:val="center"/>
          </w:tcPr>
          <w:p w14:paraId="351C4281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9.27 (0.39, 17.95)</w:t>
            </w:r>
          </w:p>
        </w:tc>
        <w:tc>
          <w:tcPr>
            <w:tcW w:w="1134" w:type="dxa"/>
            <w:vAlign w:val="center"/>
          </w:tcPr>
          <w:p w14:paraId="18301BE4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0.04</w:t>
            </w:r>
          </w:p>
        </w:tc>
        <w:tc>
          <w:tcPr>
            <w:tcW w:w="2425" w:type="dxa"/>
            <w:vAlign w:val="center"/>
          </w:tcPr>
          <w:p w14:paraId="08AAC92E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1.25</w:t>
            </w:r>
          </w:p>
        </w:tc>
        <w:tc>
          <w:tcPr>
            <w:tcW w:w="0" w:type="auto"/>
            <w:vAlign w:val="center"/>
          </w:tcPr>
          <w:p w14:paraId="1AF4AAE7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0.28</w:t>
            </w:r>
          </w:p>
        </w:tc>
      </w:tr>
      <w:tr w:rsidR="00DE7E7F" w:rsidRPr="001B2D6B" w14:paraId="7CB77F45" w14:textId="77777777" w:rsidTr="00404EE5">
        <w:trPr>
          <w:jc w:val="center"/>
        </w:trPr>
        <w:tc>
          <w:tcPr>
            <w:tcW w:w="2400" w:type="dxa"/>
          </w:tcPr>
          <w:p w14:paraId="2316198E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r w:rsidRPr="001B2D6B">
              <w:rPr>
                <w:rFonts w:cstheme="minorHAnsi"/>
                <w:color w:val="262626"/>
              </w:rPr>
              <w:t>Preductal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&lt;85%</w:t>
            </w:r>
          </w:p>
        </w:tc>
        <w:tc>
          <w:tcPr>
            <w:tcW w:w="2552" w:type="dxa"/>
            <w:vAlign w:val="center"/>
          </w:tcPr>
          <w:p w14:paraId="21DF22A5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11.90 (2, 22.3)</w:t>
            </w:r>
          </w:p>
        </w:tc>
        <w:tc>
          <w:tcPr>
            <w:tcW w:w="1134" w:type="dxa"/>
            <w:vAlign w:val="center"/>
          </w:tcPr>
          <w:p w14:paraId="0840E76A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0.03</w:t>
            </w:r>
          </w:p>
        </w:tc>
        <w:tc>
          <w:tcPr>
            <w:tcW w:w="2425" w:type="dxa"/>
            <w:vAlign w:val="center"/>
          </w:tcPr>
          <w:p w14:paraId="3CFA8E52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1.59</w:t>
            </w:r>
          </w:p>
        </w:tc>
        <w:tc>
          <w:tcPr>
            <w:tcW w:w="0" w:type="auto"/>
            <w:vAlign w:val="center"/>
          </w:tcPr>
          <w:p w14:paraId="7332BE32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0.07</w:t>
            </w:r>
          </w:p>
        </w:tc>
      </w:tr>
      <w:tr w:rsidR="00DE7E7F" w:rsidRPr="001B2D6B" w14:paraId="3FA56533" w14:textId="77777777" w:rsidTr="00404EE5">
        <w:trPr>
          <w:jc w:val="center"/>
        </w:trPr>
        <w:tc>
          <w:tcPr>
            <w:tcW w:w="2400" w:type="dxa"/>
          </w:tcPr>
          <w:p w14:paraId="269A64B1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proofErr w:type="spellStart"/>
            <w:r w:rsidRPr="001B2D6B">
              <w:rPr>
                <w:rFonts w:cstheme="minorHAnsi"/>
                <w:color w:val="262626"/>
              </w:rPr>
              <w:t>Postductal</w:t>
            </w:r>
            <w:proofErr w:type="spellEnd"/>
            <w:r w:rsidRPr="001B2D6B">
              <w:rPr>
                <w:rFonts w:cstheme="minorHAnsi"/>
                <w:color w:val="262626"/>
              </w:rPr>
              <w:t xml:space="preserve">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&lt;95%</w:t>
            </w:r>
          </w:p>
        </w:tc>
        <w:tc>
          <w:tcPr>
            <w:tcW w:w="2552" w:type="dxa"/>
            <w:vAlign w:val="center"/>
          </w:tcPr>
          <w:p w14:paraId="0C15A010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15.8 (-2.7, 42)</w:t>
            </w:r>
          </w:p>
        </w:tc>
        <w:tc>
          <w:tcPr>
            <w:tcW w:w="1134" w:type="dxa"/>
            <w:vAlign w:val="center"/>
          </w:tcPr>
          <w:p w14:paraId="34AA3D6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0.07</w:t>
            </w:r>
          </w:p>
        </w:tc>
        <w:tc>
          <w:tcPr>
            <w:tcW w:w="2425" w:type="dxa"/>
            <w:vAlign w:val="center"/>
          </w:tcPr>
          <w:p w14:paraId="0202B672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1.08</w:t>
            </w:r>
          </w:p>
        </w:tc>
        <w:tc>
          <w:tcPr>
            <w:tcW w:w="0" w:type="auto"/>
            <w:vAlign w:val="center"/>
          </w:tcPr>
          <w:p w14:paraId="3D1DE9F6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0.64</w:t>
            </w:r>
          </w:p>
        </w:tc>
      </w:tr>
      <w:tr w:rsidR="00DE7E7F" w:rsidRPr="001B2D6B" w14:paraId="540FD220" w14:textId="77777777" w:rsidTr="00404EE5">
        <w:trPr>
          <w:jc w:val="center"/>
        </w:trPr>
        <w:tc>
          <w:tcPr>
            <w:tcW w:w="2400" w:type="dxa"/>
          </w:tcPr>
          <w:p w14:paraId="4728366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proofErr w:type="spellStart"/>
            <w:r w:rsidRPr="001B2D6B">
              <w:rPr>
                <w:rFonts w:cstheme="minorHAnsi"/>
                <w:color w:val="262626"/>
              </w:rPr>
              <w:t>Postductal</w:t>
            </w:r>
            <w:proofErr w:type="spellEnd"/>
            <w:r w:rsidRPr="001B2D6B">
              <w:rPr>
                <w:rFonts w:cstheme="minorHAnsi"/>
                <w:color w:val="262626"/>
              </w:rPr>
              <w:t xml:space="preserve">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&lt;90%</w:t>
            </w:r>
          </w:p>
        </w:tc>
        <w:tc>
          <w:tcPr>
            <w:tcW w:w="2552" w:type="dxa"/>
            <w:vAlign w:val="center"/>
          </w:tcPr>
          <w:p w14:paraId="6CBC2EA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3 (-48.5, 193)</w:t>
            </w:r>
          </w:p>
        </w:tc>
        <w:tc>
          <w:tcPr>
            <w:tcW w:w="1134" w:type="dxa"/>
            <w:vAlign w:val="center"/>
          </w:tcPr>
          <w:p w14:paraId="0A570568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0.93</w:t>
            </w:r>
          </w:p>
        </w:tc>
        <w:tc>
          <w:tcPr>
            <w:tcW w:w="2425" w:type="dxa"/>
            <w:vAlign w:val="center"/>
          </w:tcPr>
          <w:p w14:paraId="47770B92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1.04</w:t>
            </w:r>
          </w:p>
        </w:tc>
        <w:tc>
          <w:tcPr>
            <w:tcW w:w="0" w:type="auto"/>
            <w:vAlign w:val="center"/>
          </w:tcPr>
          <w:p w14:paraId="3D03C0FF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0.89</w:t>
            </w:r>
          </w:p>
        </w:tc>
      </w:tr>
      <w:tr w:rsidR="00DE7E7F" w:rsidRPr="001B2D6B" w14:paraId="593857D6" w14:textId="77777777" w:rsidTr="00404EE5">
        <w:trPr>
          <w:jc w:val="center"/>
        </w:trPr>
        <w:tc>
          <w:tcPr>
            <w:tcW w:w="2400" w:type="dxa"/>
          </w:tcPr>
          <w:p w14:paraId="7DFCE725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rPr>
                <w:rFonts w:cstheme="minorHAnsi"/>
                <w:color w:val="262626"/>
              </w:rPr>
            </w:pPr>
            <w:proofErr w:type="spellStart"/>
            <w:r w:rsidRPr="001B2D6B">
              <w:rPr>
                <w:rFonts w:cstheme="minorHAnsi"/>
                <w:color w:val="262626"/>
              </w:rPr>
              <w:t>Postductal</w:t>
            </w:r>
            <w:proofErr w:type="spellEnd"/>
            <w:r w:rsidRPr="001B2D6B">
              <w:rPr>
                <w:rFonts w:cstheme="minorHAnsi"/>
                <w:color w:val="262626"/>
              </w:rPr>
              <w:t xml:space="preserve"> SpO</w:t>
            </w:r>
            <w:r w:rsidRPr="001B2D6B">
              <w:rPr>
                <w:rFonts w:cstheme="minorHAnsi"/>
                <w:color w:val="262626"/>
                <w:vertAlign w:val="subscript"/>
              </w:rPr>
              <w:t>2</w:t>
            </w:r>
            <w:r w:rsidRPr="001B2D6B">
              <w:rPr>
                <w:rFonts w:cstheme="minorHAnsi"/>
                <w:color w:val="262626"/>
              </w:rPr>
              <w:t xml:space="preserve"> &lt;85%</w:t>
            </w:r>
          </w:p>
        </w:tc>
        <w:tc>
          <w:tcPr>
            <w:tcW w:w="2552" w:type="dxa"/>
            <w:vAlign w:val="center"/>
          </w:tcPr>
          <w:p w14:paraId="6A3C6841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9.8 (-10, 39.5)</w:t>
            </w:r>
          </w:p>
        </w:tc>
        <w:tc>
          <w:tcPr>
            <w:tcW w:w="1134" w:type="dxa"/>
            <w:vAlign w:val="center"/>
          </w:tcPr>
          <w:p w14:paraId="2A788285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0.38</w:t>
            </w:r>
          </w:p>
        </w:tc>
        <w:tc>
          <w:tcPr>
            <w:tcW w:w="2425" w:type="dxa"/>
            <w:vAlign w:val="center"/>
          </w:tcPr>
          <w:p w14:paraId="6C33FA4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1.08</w:t>
            </w:r>
          </w:p>
        </w:tc>
        <w:tc>
          <w:tcPr>
            <w:tcW w:w="0" w:type="auto"/>
            <w:vAlign w:val="center"/>
          </w:tcPr>
          <w:p w14:paraId="2115B7C9" w14:textId="77777777" w:rsidR="00DE7E7F" w:rsidRPr="001B2D6B" w:rsidRDefault="00DE7E7F" w:rsidP="00404EE5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000000"/>
              </w:rPr>
            </w:pPr>
            <w:r w:rsidRPr="001B2D6B">
              <w:rPr>
                <w:rFonts w:cstheme="minorHAnsi"/>
                <w:color w:val="000000"/>
              </w:rPr>
              <w:t>0.78</w:t>
            </w:r>
          </w:p>
        </w:tc>
      </w:tr>
    </w:tbl>
    <w:p w14:paraId="618E80F6" w14:textId="77777777" w:rsidR="00DE7E7F" w:rsidRDefault="00DE7E7F" w:rsidP="00DE7E7F">
      <w:pPr>
        <w:rPr>
          <w:rFonts w:cstheme="minorHAnsi"/>
          <w:b/>
          <w:bCs/>
        </w:rPr>
      </w:pPr>
      <w:r w:rsidRPr="001B2D6B">
        <w:rPr>
          <w:rFonts w:cstheme="minorHAnsi"/>
          <w:b/>
          <w:bCs/>
          <w:color w:val="262626"/>
        </w:rPr>
        <w:t xml:space="preserve">* </w:t>
      </w:r>
      <w:r w:rsidRPr="001B2D6B">
        <w:rPr>
          <w:rFonts w:cstheme="minorHAnsi"/>
          <w:color w:val="262626"/>
        </w:rPr>
        <w:t>Pseudo median difference</w:t>
      </w:r>
      <w:r>
        <w:rPr>
          <w:rFonts w:cstheme="minorHAnsi"/>
          <w:color w:val="262626"/>
        </w:rPr>
        <w:t>.  A p</w:t>
      </w:r>
      <w:r w:rsidRPr="00BA7A01">
        <w:rPr>
          <w:rFonts w:cstheme="minorHAnsi"/>
        </w:rPr>
        <w:t>ositive difference indicates longer duration of desaturation in the hospital compared to PHNC.</w:t>
      </w:r>
      <w:r w:rsidRPr="001B2D6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 </w:t>
      </w:r>
    </w:p>
    <w:p w14:paraId="32F63D80" w14:textId="77777777" w:rsidR="00DE7E7F" w:rsidRPr="001B2D6B" w:rsidRDefault="00DE7E7F" w:rsidP="00DE7E7F">
      <w:pPr>
        <w:rPr>
          <w:rFonts w:cstheme="minorHAnsi"/>
          <w:b/>
          <w:bCs/>
        </w:rPr>
      </w:pPr>
      <w:r w:rsidRPr="001B2D6B">
        <w:rPr>
          <w:rFonts w:cstheme="minorHAnsi"/>
          <w:b/>
          <w:bCs/>
          <w:color w:val="262626"/>
          <w:vertAlign w:val="superscript"/>
        </w:rPr>
        <w:t xml:space="preserve">$ </w:t>
      </w:r>
      <w:r>
        <w:rPr>
          <w:rFonts w:cstheme="minorHAnsi"/>
        </w:rPr>
        <w:t xml:space="preserve">Hospital was taken as reference and hence a ratio &gt;1 indicates higher rate in </w:t>
      </w:r>
      <w:r w:rsidRPr="00BA7A01">
        <w:rPr>
          <w:rFonts w:cstheme="minorHAnsi"/>
        </w:rPr>
        <w:t>PHNC.</w:t>
      </w:r>
    </w:p>
    <w:p w14:paraId="2BA23310" w14:textId="77777777" w:rsidR="00DE7E7F" w:rsidRPr="001B2D6B" w:rsidRDefault="00DE7E7F" w:rsidP="00DE7E7F">
      <w:pPr>
        <w:rPr>
          <w:rFonts w:cstheme="minorHAnsi"/>
          <w:b/>
        </w:rPr>
      </w:pPr>
    </w:p>
    <w:p w14:paraId="088DC54E" w14:textId="77777777" w:rsidR="00DE7E7F" w:rsidRPr="001B2D6B" w:rsidRDefault="00DE7E7F" w:rsidP="00DE7E7F">
      <w:pPr>
        <w:rPr>
          <w:rFonts w:cstheme="minorHAnsi"/>
          <w:b/>
        </w:rPr>
      </w:pPr>
    </w:p>
    <w:p w14:paraId="2B9824A1" w14:textId="63C2AB15" w:rsidR="00C82713" w:rsidRPr="00AA7FA4" w:rsidRDefault="00C82713">
      <w:pPr>
        <w:rPr>
          <w:rFonts w:cstheme="minorHAnsi"/>
          <w:b/>
        </w:rPr>
      </w:pPr>
    </w:p>
    <w:sectPr w:rsidR="00C82713" w:rsidRPr="00AA7F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E7F"/>
    <w:rsid w:val="00005E48"/>
    <w:rsid w:val="002043F0"/>
    <w:rsid w:val="00207B66"/>
    <w:rsid w:val="002D2F14"/>
    <w:rsid w:val="002E0ED0"/>
    <w:rsid w:val="00337D7E"/>
    <w:rsid w:val="003A439B"/>
    <w:rsid w:val="005117EE"/>
    <w:rsid w:val="006545B3"/>
    <w:rsid w:val="00672AC9"/>
    <w:rsid w:val="006E49B6"/>
    <w:rsid w:val="007068FD"/>
    <w:rsid w:val="00723953"/>
    <w:rsid w:val="00745F60"/>
    <w:rsid w:val="0074696A"/>
    <w:rsid w:val="007A7C58"/>
    <w:rsid w:val="008A26DC"/>
    <w:rsid w:val="009A39D2"/>
    <w:rsid w:val="009A6349"/>
    <w:rsid w:val="009B5EC0"/>
    <w:rsid w:val="00A20083"/>
    <w:rsid w:val="00A773A2"/>
    <w:rsid w:val="00AA7FA4"/>
    <w:rsid w:val="00B4669B"/>
    <w:rsid w:val="00C82713"/>
    <w:rsid w:val="00DE7E7F"/>
    <w:rsid w:val="00E14558"/>
    <w:rsid w:val="00E514B7"/>
    <w:rsid w:val="00EA72CC"/>
    <w:rsid w:val="00ED531B"/>
    <w:rsid w:val="00F12C4C"/>
    <w:rsid w:val="00F26E0E"/>
    <w:rsid w:val="00F6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73AED0"/>
  <w15:chartTrackingRefBased/>
  <w15:docId w15:val="{C8D3676E-1764-4448-BF3D-5F1A908F8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ta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E7F"/>
    <w:rPr>
      <w:rFonts w:eastAsiaTheme="minorEastAsia"/>
      <w:lang w:val="en-AU" w:eastAsia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7E7F"/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KANNAN LOGANATHAN, Prakash (SOUTH TEES HOSPITALS NHS FOUNDATION TRUST)</dc:creator>
  <cp:keywords/>
  <dc:description/>
  <cp:lastModifiedBy>KANNAN LOGANATHAN, Prakash (SOUTH TEES HOSPITALS NHS FOUNDATION TRUST)</cp:lastModifiedBy>
  <cp:revision>3</cp:revision>
  <dcterms:created xsi:type="dcterms:W3CDTF">2022-10-07T15:42:00Z</dcterms:created>
  <dcterms:modified xsi:type="dcterms:W3CDTF">2022-10-07T15:45:00Z</dcterms:modified>
</cp:coreProperties>
</file>