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T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able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 1: Newcastle-Ottawa scale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and risk of bias assessment.</w:t>
      </w:r>
    </w:p>
    <w:tbl>
      <w:tblPr>
        <w:tblStyle w:val="3"/>
        <w:tblW w:w="0" w:type="auto"/>
        <w:tblCellSpacing w:w="0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1"/>
        <w:gridCol w:w="1391"/>
        <w:gridCol w:w="1220"/>
        <w:gridCol w:w="494"/>
        <w:gridCol w:w="525"/>
        <w:gridCol w:w="763"/>
        <w:gridCol w:w="513"/>
        <w:gridCol w:w="840"/>
        <w:gridCol w:w="251"/>
        <w:gridCol w:w="686"/>
        <w:gridCol w:w="426"/>
        <w:gridCol w:w="379"/>
        <w:gridCol w:w="578"/>
        <w:gridCol w:w="515"/>
        <w:gridCol w:w="60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  <w:tblCellSpacing w:w="0" w:type="dxa"/>
        </w:trPr>
        <w:tc>
          <w:tcPr>
            <w:tcW w:w="9962" w:type="dxa"/>
            <w:gridSpan w:val="15"/>
            <w:tcBorders>
              <w:top w:val="single" w:color="000000" w:sz="12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Newcastle-Ottawa scale for cohort studies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tblCellSpacing w:w="0" w:type="dxa"/>
        </w:trPr>
        <w:tc>
          <w:tcPr>
            <w:tcW w:w="781" w:type="dxa"/>
            <w:tcBorders>
              <w:bottom w:val="single" w:color="000000" w:sz="12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</w:p>
        </w:tc>
        <w:tc>
          <w:tcPr>
            <w:tcW w:w="4906" w:type="dxa"/>
            <w:gridSpan w:val="6"/>
            <w:tcBorders>
              <w:bottom w:val="single" w:color="000000" w:sz="12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Selection</w:t>
            </w:r>
          </w:p>
        </w:tc>
        <w:tc>
          <w:tcPr>
            <w:tcW w:w="840" w:type="dxa"/>
            <w:tcBorders>
              <w:bottom w:val="single" w:color="000000" w:sz="12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Comparability</w:t>
            </w:r>
          </w:p>
        </w:tc>
        <w:tc>
          <w:tcPr>
            <w:tcW w:w="2835" w:type="dxa"/>
            <w:gridSpan w:val="6"/>
            <w:tcBorders>
              <w:bottom w:val="single" w:color="000000" w:sz="12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Outcome</w:t>
            </w:r>
          </w:p>
        </w:tc>
        <w:tc>
          <w:tcPr>
            <w:tcW w:w="600" w:type="dxa"/>
            <w:tcBorders>
              <w:bottom w:val="single" w:color="000000" w:sz="12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0" w:hRule="atLeast"/>
          <w:tblCellSpacing w:w="0" w:type="dxa"/>
        </w:trPr>
        <w:tc>
          <w:tcPr>
            <w:tcW w:w="781" w:type="dxa"/>
            <w:tcBorders>
              <w:bottom w:val="single" w:color="000000" w:sz="12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1" w:type="dxa"/>
            <w:tcBorders>
              <w:bottom w:val="single" w:color="000000" w:sz="12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Representativeness of the exposed cohort </w:t>
            </w:r>
          </w:p>
        </w:tc>
        <w:tc>
          <w:tcPr>
            <w:tcW w:w="1220" w:type="dxa"/>
            <w:tcBorders>
              <w:bottom w:val="single" w:color="000000" w:sz="12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Selection of the non exposed cohort</w:t>
            </w:r>
          </w:p>
        </w:tc>
        <w:tc>
          <w:tcPr>
            <w:tcW w:w="1019" w:type="dxa"/>
            <w:gridSpan w:val="2"/>
            <w:tcBorders>
              <w:bottom w:val="single" w:color="000000" w:sz="12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Ascertainment of exposure </w:t>
            </w:r>
          </w:p>
        </w:tc>
        <w:tc>
          <w:tcPr>
            <w:tcW w:w="1276" w:type="dxa"/>
            <w:gridSpan w:val="2"/>
            <w:tcBorders>
              <w:bottom w:val="single" w:color="000000" w:sz="12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Outcome of interest was not present at start</w:t>
            </w:r>
          </w:p>
        </w:tc>
        <w:tc>
          <w:tcPr>
            <w:tcW w:w="840" w:type="dxa"/>
            <w:tcBorders>
              <w:bottom w:val="single" w:color="000000" w:sz="12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Comparability </w:t>
            </w:r>
          </w:p>
        </w:tc>
        <w:tc>
          <w:tcPr>
            <w:tcW w:w="937" w:type="dxa"/>
            <w:gridSpan w:val="2"/>
            <w:tcBorders>
              <w:bottom w:val="single" w:color="000000" w:sz="12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Assessment of outcome</w:t>
            </w:r>
          </w:p>
        </w:tc>
        <w:tc>
          <w:tcPr>
            <w:tcW w:w="805" w:type="dxa"/>
            <w:gridSpan w:val="2"/>
            <w:tcBorders>
              <w:bottom w:val="single" w:color="000000" w:sz="12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Follow-up duration</w:t>
            </w:r>
          </w:p>
        </w:tc>
        <w:tc>
          <w:tcPr>
            <w:tcW w:w="1093" w:type="dxa"/>
            <w:gridSpan w:val="2"/>
            <w:tcBorders>
              <w:bottom w:val="single" w:color="000000" w:sz="12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Adequacy of follow up of cohorts</w:t>
            </w:r>
          </w:p>
        </w:tc>
        <w:tc>
          <w:tcPr>
            <w:tcW w:w="600" w:type="dxa"/>
            <w:tcBorders>
              <w:bottom w:val="single" w:color="000000" w:sz="12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Sum up (*)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tblCellSpacing w:w="0" w:type="dxa"/>
        </w:trPr>
        <w:tc>
          <w:tcPr>
            <w:tcW w:w="78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Patel, D.(2010)</w:t>
            </w:r>
          </w:p>
        </w:tc>
        <w:tc>
          <w:tcPr>
            <w:tcW w:w="139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22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019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276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7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805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093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tblCellSpacing w:w="0" w:type="dxa"/>
        </w:trPr>
        <w:tc>
          <w:tcPr>
            <w:tcW w:w="78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Fein, A. S.(2013)</w:t>
            </w:r>
          </w:p>
        </w:tc>
        <w:tc>
          <w:tcPr>
            <w:tcW w:w="139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22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019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276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937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805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093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  <w:tblCellSpacing w:w="0" w:type="dxa"/>
        </w:trPr>
        <w:tc>
          <w:tcPr>
            <w:tcW w:w="78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Naruse, Y.(2013)</w:t>
            </w:r>
          </w:p>
        </w:tc>
        <w:tc>
          <w:tcPr>
            <w:tcW w:w="139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22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019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276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7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805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093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tblCellSpacing w:w="0" w:type="dxa"/>
        </w:trPr>
        <w:tc>
          <w:tcPr>
            <w:tcW w:w="78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Hojo, R.(2019)</w:t>
            </w:r>
          </w:p>
        </w:tc>
        <w:tc>
          <w:tcPr>
            <w:tcW w:w="139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22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019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276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937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805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093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  <w:tblCellSpacing w:w="0" w:type="dxa"/>
        </w:trPr>
        <w:tc>
          <w:tcPr>
            <w:tcW w:w="78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Suzuki, K.(2022)</w:t>
            </w:r>
          </w:p>
        </w:tc>
        <w:tc>
          <w:tcPr>
            <w:tcW w:w="139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22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019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276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937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805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093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  <w:tblCellSpacing w:w="0" w:type="dxa"/>
        </w:trPr>
        <w:tc>
          <w:tcPr>
            <w:tcW w:w="78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Zhou,Y.(2022)</w:t>
            </w:r>
          </w:p>
        </w:tc>
        <w:tc>
          <w:tcPr>
            <w:tcW w:w="139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22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019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276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937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805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093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tblCellSpacing w:w="0" w:type="dxa"/>
        </w:trPr>
        <w:tc>
          <w:tcPr>
            <w:tcW w:w="9962" w:type="dxa"/>
            <w:gridSpan w:val="15"/>
            <w:tcBorders>
              <w:top w:val="single" w:color="000000" w:sz="12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Cochrane risk-of-bias tool for RCTs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  <w:tblCellSpacing w:w="0" w:type="dxa"/>
        </w:trPr>
        <w:tc>
          <w:tcPr>
            <w:tcW w:w="781" w:type="dxa"/>
            <w:tcBorders>
              <w:bottom w:val="single" w:color="000000" w:sz="12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</w:p>
        </w:tc>
        <w:tc>
          <w:tcPr>
            <w:tcW w:w="1391" w:type="dxa"/>
            <w:tcBorders>
              <w:bottom w:val="single" w:color="000000" w:sz="12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Random sequence generation</w:t>
            </w:r>
          </w:p>
        </w:tc>
        <w:tc>
          <w:tcPr>
            <w:tcW w:w="1714" w:type="dxa"/>
            <w:gridSpan w:val="2"/>
            <w:tcBorders>
              <w:bottom w:val="single" w:color="000000" w:sz="12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Allocation concealment</w:t>
            </w:r>
          </w:p>
        </w:tc>
        <w:tc>
          <w:tcPr>
            <w:tcW w:w="1288" w:type="dxa"/>
            <w:gridSpan w:val="2"/>
            <w:tcBorders>
              <w:bottom w:val="single" w:color="000000" w:sz="12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Blinding of participants and personnel</w:t>
            </w:r>
          </w:p>
        </w:tc>
        <w:tc>
          <w:tcPr>
            <w:tcW w:w="1604" w:type="dxa"/>
            <w:gridSpan w:val="3"/>
            <w:tcBorders>
              <w:bottom w:val="single" w:color="000000" w:sz="12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Blinding of outcome assessment</w:t>
            </w:r>
          </w:p>
        </w:tc>
        <w:tc>
          <w:tcPr>
            <w:tcW w:w="1112" w:type="dxa"/>
            <w:gridSpan w:val="2"/>
            <w:tcBorders>
              <w:bottom w:val="single" w:color="000000" w:sz="12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Incomplete outcome data</w:t>
            </w:r>
          </w:p>
        </w:tc>
        <w:tc>
          <w:tcPr>
            <w:tcW w:w="957" w:type="dxa"/>
            <w:gridSpan w:val="2"/>
            <w:tcBorders>
              <w:bottom w:val="single" w:color="000000" w:sz="12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Selective reporting</w:t>
            </w:r>
          </w:p>
        </w:tc>
        <w:tc>
          <w:tcPr>
            <w:tcW w:w="1115" w:type="dxa"/>
            <w:gridSpan w:val="2"/>
            <w:tcBorders>
              <w:bottom w:val="single" w:color="000000" w:sz="12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Other bias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  <w:tblCellSpacing w:w="0" w:type="dxa"/>
        </w:trPr>
        <w:tc>
          <w:tcPr>
            <w:tcW w:w="78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Caples, S. M.(2019)</w:t>
            </w:r>
          </w:p>
        </w:tc>
        <w:tc>
          <w:tcPr>
            <w:tcW w:w="139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Low risk</w:t>
            </w:r>
          </w:p>
        </w:tc>
        <w:tc>
          <w:tcPr>
            <w:tcW w:w="1714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Unclear risk</w:t>
            </w:r>
          </w:p>
        </w:tc>
        <w:tc>
          <w:tcPr>
            <w:tcW w:w="1288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High risk</w:t>
            </w:r>
          </w:p>
        </w:tc>
        <w:tc>
          <w:tcPr>
            <w:tcW w:w="1604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Unclear risk</w:t>
            </w:r>
          </w:p>
        </w:tc>
        <w:tc>
          <w:tcPr>
            <w:tcW w:w="1112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Low risk</w:t>
            </w:r>
          </w:p>
        </w:tc>
        <w:tc>
          <w:tcPr>
            <w:tcW w:w="957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Low risk</w:t>
            </w:r>
          </w:p>
        </w:tc>
        <w:tc>
          <w:tcPr>
            <w:tcW w:w="1115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Low risk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  <w:tblCellSpacing w:w="0" w:type="dxa"/>
        </w:trPr>
        <w:tc>
          <w:tcPr>
            <w:tcW w:w="781" w:type="dxa"/>
            <w:tcBorders>
              <w:bottom w:val="single" w:color="000000" w:sz="12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Hunt, T. E.(2022)</w:t>
            </w:r>
          </w:p>
        </w:tc>
        <w:tc>
          <w:tcPr>
            <w:tcW w:w="1391" w:type="dxa"/>
            <w:tcBorders>
              <w:bottom w:val="single" w:color="000000" w:sz="12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Low risk</w:t>
            </w:r>
          </w:p>
        </w:tc>
        <w:tc>
          <w:tcPr>
            <w:tcW w:w="1714" w:type="dxa"/>
            <w:gridSpan w:val="2"/>
            <w:tcBorders>
              <w:bottom w:val="single" w:color="000000" w:sz="12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Low risk</w:t>
            </w:r>
          </w:p>
        </w:tc>
        <w:tc>
          <w:tcPr>
            <w:tcW w:w="1288" w:type="dxa"/>
            <w:gridSpan w:val="2"/>
            <w:tcBorders>
              <w:bottom w:val="single" w:color="000000" w:sz="12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High risk</w:t>
            </w:r>
          </w:p>
        </w:tc>
        <w:tc>
          <w:tcPr>
            <w:tcW w:w="1604" w:type="dxa"/>
            <w:gridSpan w:val="3"/>
            <w:tcBorders>
              <w:bottom w:val="single" w:color="000000" w:sz="12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Low risk</w:t>
            </w:r>
          </w:p>
        </w:tc>
        <w:tc>
          <w:tcPr>
            <w:tcW w:w="1112" w:type="dxa"/>
            <w:gridSpan w:val="2"/>
            <w:tcBorders>
              <w:bottom w:val="single" w:color="000000" w:sz="12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Low risk</w:t>
            </w:r>
          </w:p>
        </w:tc>
        <w:tc>
          <w:tcPr>
            <w:tcW w:w="957" w:type="dxa"/>
            <w:gridSpan w:val="2"/>
            <w:tcBorders>
              <w:bottom w:val="single" w:color="000000" w:sz="12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Low risk</w:t>
            </w:r>
          </w:p>
        </w:tc>
        <w:tc>
          <w:tcPr>
            <w:tcW w:w="1115" w:type="dxa"/>
            <w:gridSpan w:val="2"/>
            <w:tcBorders>
              <w:bottom w:val="single" w:color="000000" w:sz="12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Low risk</w:t>
            </w:r>
          </w:p>
        </w:tc>
      </w:tr>
    </w:tbl>
    <w:p>
      <w:pPr>
        <w:spacing w:line="240" w:lineRule="auto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br w:type="page"/>
      </w:r>
    </w:p>
    <w:p>
      <w:pPr>
        <w:spacing w:line="240" w:lineRule="auto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T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able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 2: Main characteristics of eligible studies.</w:t>
      </w:r>
    </w:p>
    <w:tbl>
      <w:tblPr>
        <w:tblStyle w:val="3"/>
        <w:tblW w:w="0" w:type="auto"/>
        <w:tblCellSpacing w:w="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5"/>
        <w:gridCol w:w="970"/>
        <w:gridCol w:w="470"/>
        <w:gridCol w:w="584"/>
        <w:gridCol w:w="361"/>
        <w:gridCol w:w="748"/>
        <w:gridCol w:w="1356"/>
        <w:gridCol w:w="888"/>
        <w:gridCol w:w="679"/>
        <w:gridCol w:w="624"/>
        <w:gridCol w:w="1658"/>
        <w:gridCol w:w="83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tblCellSpacing w:w="0" w:type="dxa"/>
        </w:trPr>
        <w:tc>
          <w:tcPr>
            <w:tcW w:w="785" w:type="dxa"/>
            <w:tcBorders>
              <w:top w:val="single" w:color="000000" w:sz="12" w:space="0"/>
              <w:bottom w:val="single" w:color="000000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Study</w:t>
            </w:r>
          </w:p>
        </w:tc>
        <w:tc>
          <w:tcPr>
            <w:tcW w:w="970" w:type="dxa"/>
            <w:tcBorders>
              <w:top w:val="single" w:color="000000" w:sz="12" w:space="0"/>
              <w:bottom w:val="single" w:color="000000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Study design</w:t>
            </w:r>
          </w:p>
        </w:tc>
        <w:tc>
          <w:tcPr>
            <w:tcW w:w="470" w:type="dxa"/>
            <w:tcBorders>
              <w:top w:val="single" w:color="000000" w:sz="12" w:space="0"/>
              <w:bottom w:val="single" w:color="000000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Country</w:t>
            </w:r>
          </w:p>
        </w:tc>
        <w:tc>
          <w:tcPr>
            <w:tcW w:w="584" w:type="dxa"/>
            <w:tcBorders>
              <w:top w:val="single" w:color="000000" w:sz="12" w:space="0"/>
              <w:bottom w:val="single" w:color="000000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Follow-up </w:t>
            </w:r>
          </w:p>
        </w:tc>
        <w:tc>
          <w:tcPr>
            <w:tcW w:w="1109" w:type="dxa"/>
            <w:gridSpan w:val="2"/>
            <w:tcBorders>
              <w:top w:val="single" w:color="000000" w:sz="12" w:space="0"/>
              <w:bottom w:val="single" w:color="000000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Patient number</w:t>
            </w:r>
          </w:p>
        </w:tc>
        <w:tc>
          <w:tcPr>
            <w:tcW w:w="1356" w:type="dxa"/>
            <w:tcBorders>
              <w:top w:val="single" w:color="000000" w:sz="12" w:space="0"/>
              <w:bottom w:val="single" w:color="000000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OSA definition</w:t>
            </w:r>
          </w:p>
        </w:tc>
        <w:tc>
          <w:tcPr>
            <w:tcW w:w="1567" w:type="dxa"/>
            <w:gridSpan w:val="2"/>
            <w:tcBorders>
              <w:top w:val="single" w:color="000000" w:sz="12" w:space="0"/>
              <w:bottom w:val="single" w:color="000000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CPAP </w:t>
            </w:r>
          </w:p>
        </w:tc>
        <w:tc>
          <w:tcPr>
            <w:tcW w:w="624" w:type="dxa"/>
            <w:tcBorders>
              <w:top w:val="single" w:color="000000" w:sz="12" w:space="0"/>
              <w:bottom w:val="single" w:color="000000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AF treatment</w:t>
            </w:r>
          </w:p>
        </w:tc>
        <w:tc>
          <w:tcPr>
            <w:tcW w:w="1658" w:type="dxa"/>
            <w:tcBorders>
              <w:top w:val="single" w:color="000000" w:sz="12" w:space="0"/>
              <w:bottom w:val="single" w:color="000000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recurrence evaluation </w:t>
            </w:r>
          </w:p>
        </w:tc>
        <w:tc>
          <w:tcPr>
            <w:tcW w:w="839" w:type="dxa"/>
            <w:tcBorders>
              <w:top w:val="single" w:color="000000" w:sz="12" w:space="0"/>
              <w:bottom w:val="single" w:color="000000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Recurrence number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tblCellSpacing w:w="0" w:type="dxa"/>
        </w:trPr>
        <w:tc>
          <w:tcPr>
            <w:tcW w:w="785" w:type="dxa"/>
            <w:tcBorders>
              <w:top w:val="single" w:color="A5A5A5" w:sz="2" w:space="0"/>
              <w:bottom w:val="single" w:color="000000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single" w:color="A5A5A5" w:sz="2" w:space="0"/>
              <w:bottom w:val="single" w:color="000000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single" w:color="A5A5A5" w:sz="2" w:space="0"/>
              <w:bottom w:val="single" w:color="000000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4" w:type="dxa"/>
            <w:tcBorders>
              <w:top w:val="single" w:color="A5A5A5" w:sz="2" w:space="0"/>
              <w:bottom w:val="single" w:color="000000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1" w:type="dxa"/>
            <w:tcBorders>
              <w:top w:val="single" w:color="A5A5A5" w:sz="2" w:space="0"/>
              <w:bottom w:val="single" w:color="000000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OSA</w:t>
            </w:r>
          </w:p>
        </w:tc>
        <w:tc>
          <w:tcPr>
            <w:tcW w:w="748" w:type="dxa"/>
            <w:tcBorders>
              <w:top w:val="single" w:color="A5A5A5" w:sz="2" w:space="0"/>
              <w:bottom w:val="single" w:color="000000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CPAP/non-CPAP</w:t>
            </w:r>
          </w:p>
        </w:tc>
        <w:tc>
          <w:tcPr>
            <w:tcW w:w="1356" w:type="dxa"/>
            <w:tcBorders>
              <w:top w:val="single" w:color="A5A5A5" w:sz="2" w:space="0"/>
              <w:bottom w:val="single" w:color="000000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8" w:type="dxa"/>
            <w:tcBorders>
              <w:top w:val="single" w:color="A5A5A5" w:sz="2" w:space="0"/>
              <w:bottom w:val="single" w:color="000000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Compliance</w:t>
            </w:r>
          </w:p>
        </w:tc>
        <w:tc>
          <w:tcPr>
            <w:tcW w:w="679" w:type="dxa"/>
            <w:tcBorders>
              <w:top w:val="single" w:color="A5A5A5" w:sz="2" w:space="0"/>
              <w:bottom w:val="single" w:color="000000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Average course</w:t>
            </w:r>
          </w:p>
        </w:tc>
        <w:tc>
          <w:tcPr>
            <w:tcW w:w="624" w:type="dxa"/>
            <w:tcBorders>
              <w:top w:val="single" w:color="A5A5A5" w:sz="2" w:space="0"/>
              <w:bottom w:val="single" w:color="000000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8" w:type="dxa"/>
            <w:tcBorders>
              <w:top w:val="single" w:color="A5A5A5" w:sz="2" w:space="0"/>
              <w:bottom w:val="single" w:color="000000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9" w:type="dxa"/>
            <w:tcBorders>
              <w:top w:val="single" w:color="A5A5A5" w:sz="2" w:space="0"/>
              <w:bottom w:val="single" w:color="000000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(CPAP/non-CPAP)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 w:hRule="atLeast"/>
          <w:tblCellSpacing w:w="0" w:type="dxa"/>
        </w:trPr>
        <w:tc>
          <w:tcPr>
            <w:tcW w:w="785" w:type="dxa"/>
            <w:tcBorders>
              <w:top w:val="single" w:color="A5A5A5" w:sz="2" w:space="0"/>
              <w:bottom w:val="single" w:color="A5A5A5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Patel, D.(2010)</w:t>
            </w:r>
          </w:p>
        </w:tc>
        <w:tc>
          <w:tcPr>
            <w:tcW w:w="970" w:type="dxa"/>
            <w:tcBorders>
              <w:top w:val="single" w:color="A5A5A5" w:sz="2" w:space="0"/>
              <w:bottom w:val="single" w:color="A5A5A5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Retrospective cohort study</w:t>
            </w:r>
          </w:p>
        </w:tc>
        <w:tc>
          <w:tcPr>
            <w:tcW w:w="470" w:type="dxa"/>
            <w:tcBorders>
              <w:top w:val="single" w:color="A5A5A5" w:sz="2" w:space="0"/>
              <w:bottom w:val="single" w:color="A5A5A5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584" w:type="dxa"/>
            <w:tcBorders>
              <w:top w:val="single" w:color="A5A5A5" w:sz="2" w:space="0"/>
              <w:bottom w:val="single" w:color="A5A5A5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32m</w:t>
            </w:r>
          </w:p>
        </w:tc>
        <w:tc>
          <w:tcPr>
            <w:tcW w:w="361" w:type="dxa"/>
            <w:tcBorders>
              <w:top w:val="single" w:color="A5A5A5" w:sz="2" w:space="0"/>
              <w:bottom w:val="single" w:color="A5A5A5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640</w:t>
            </w:r>
          </w:p>
        </w:tc>
        <w:tc>
          <w:tcPr>
            <w:tcW w:w="748" w:type="dxa"/>
            <w:tcBorders>
              <w:top w:val="single" w:color="A5A5A5" w:sz="2" w:space="0"/>
              <w:bottom w:val="single" w:color="A5A5A5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315/325</w:t>
            </w:r>
          </w:p>
        </w:tc>
        <w:tc>
          <w:tcPr>
            <w:tcW w:w="1356" w:type="dxa"/>
            <w:tcBorders>
              <w:top w:val="single" w:color="A5A5A5" w:sz="2" w:space="0"/>
              <w:bottom w:val="single" w:color="A5A5A5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AHI&gt;15/h, and obstructive events&gt;80% </w:t>
            </w:r>
          </w:p>
        </w:tc>
        <w:tc>
          <w:tcPr>
            <w:tcW w:w="888" w:type="dxa"/>
            <w:tcBorders>
              <w:top w:val="single" w:color="A5A5A5" w:sz="2" w:space="0"/>
              <w:bottom w:val="single" w:color="A5A5A5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679" w:type="dxa"/>
            <w:tcBorders>
              <w:top w:val="single" w:color="A5A5A5" w:sz="2" w:space="0"/>
              <w:bottom w:val="single" w:color="A5A5A5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&gt;35m</w:t>
            </w:r>
          </w:p>
        </w:tc>
        <w:tc>
          <w:tcPr>
            <w:tcW w:w="624" w:type="dxa"/>
            <w:tcBorders>
              <w:top w:val="single" w:color="A5A5A5" w:sz="2" w:space="0"/>
              <w:bottom w:val="single" w:color="A5A5A5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RCA</w:t>
            </w:r>
          </w:p>
        </w:tc>
        <w:tc>
          <w:tcPr>
            <w:tcW w:w="1658" w:type="dxa"/>
            <w:tcBorders>
              <w:top w:val="single" w:color="A5A5A5" w:sz="2" w:space="0"/>
              <w:bottom w:val="single" w:color="A5A5A5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48-hour or 7-day Holter or professional assessment</w:t>
            </w:r>
          </w:p>
        </w:tc>
        <w:tc>
          <w:tcPr>
            <w:tcW w:w="839" w:type="dxa"/>
            <w:tcBorders>
              <w:top w:val="single" w:color="A5A5A5" w:sz="2" w:space="0"/>
              <w:bottom w:val="single" w:color="A5A5A5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105/178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0" w:hRule="atLeast"/>
          <w:tblCellSpacing w:w="0" w:type="dxa"/>
        </w:trPr>
        <w:tc>
          <w:tcPr>
            <w:tcW w:w="785" w:type="dxa"/>
            <w:tcBorders>
              <w:top w:val="single" w:color="A5A5A5" w:sz="2" w:space="0"/>
              <w:bottom w:val="single" w:color="A5A5A5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Fein, A. S. (2013)</w:t>
            </w:r>
          </w:p>
        </w:tc>
        <w:tc>
          <w:tcPr>
            <w:tcW w:w="970" w:type="dxa"/>
            <w:tcBorders>
              <w:top w:val="single" w:color="A5A5A5" w:sz="2" w:space="0"/>
              <w:bottom w:val="single" w:color="A5A5A5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Retrospective cohort study</w:t>
            </w:r>
          </w:p>
        </w:tc>
        <w:tc>
          <w:tcPr>
            <w:tcW w:w="470" w:type="dxa"/>
            <w:tcBorders>
              <w:top w:val="single" w:color="A5A5A5" w:sz="2" w:space="0"/>
              <w:bottom w:val="single" w:color="A5A5A5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584" w:type="dxa"/>
            <w:tcBorders>
              <w:top w:val="single" w:color="A5A5A5" w:sz="2" w:space="0"/>
              <w:bottom w:val="single" w:color="A5A5A5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12m</w:t>
            </w:r>
          </w:p>
        </w:tc>
        <w:tc>
          <w:tcPr>
            <w:tcW w:w="361" w:type="dxa"/>
            <w:tcBorders>
              <w:top w:val="single" w:color="A5A5A5" w:sz="2" w:space="0"/>
              <w:bottom w:val="single" w:color="A5A5A5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748" w:type="dxa"/>
            <w:tcBorders>
              <w:top w:val="single" w:color="A5A5A5" w:sz="2" w:space="0"/>
              <w:bottom w:val="single" w:color="A5A5A5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32/30</w:t>
            </w:r>
          </w:p>
        </w:tc>
        <w:tc>
          <w:tcPr>
            <w:tcW w:w="1356" w:type="dxa"/>
            <w:tcBorders>
              <w:top w:val="single" w:color="A5A5A5" w:sz="2" w:space="0"/>
              <w:bottom w:val="single" w:color="A5A5A5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AHI&gt;15/h, and obstructive events&gt;80% </w:t>
            </w:r>
          </w:p>
        </w:tc>
        <w:tc>
          <w:tcPr>
            <w:tcW w:w="888" w:type="dxa"/>
            <w:tcBorders>
              <w:top w:val="single" w:color="A5A5A5" w:sz="2" w:space="0"/>
              <w:bottom w:val="single" w:color="A5A5A5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679" w:type="dxa"/>
            <w:tcBorders>
              <w:top w:val="single" w:color="A5A5A5" w:sz="2" w:space="0"/>
              <w:bottom w:val="single" w:color="A5A5A5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&gt;15m</w:t>
            </w:r>
          </w:p>
        </w:tc>
        <w:tc>
          <w:tcPr>
            <w:tcW w:w="624" w:type="dxa"/>
            <w:tcBorders>
              <w:top w:val="single" w:color="A5A5A5" w:sz="2" w:space="0"/>
              <w:bottom w:val="single" w:color="A5A5A5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RCA</w:t>
            </w:r>
          </w:p>
        </w:tc>
        <w:tc>
          <w:tcPr>
            <w:tcW w:w="1658" w:type="dxa"/>
            <w:tcBorders>
              <w:top w:val="single" w:color="A5A5A5" w:sz="2" w:space="0"/>
              <w:bottom w:val="single" w:color="A5A5A5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ECG</w:t>
            </w:r>
          </w:p>
        </w:tc>
        <w:tc>
          <w:tcPr>
            <w:tcW w:w="839" w:type="dxa"/>
            <w:tcBorders>
              <w:top w:val="single" w:color="A5A5A5" w:sz="2" w:space="0"/>
              <w:bottom w:val="single" w:color="A5A5A5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11/20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0" w:hRule="atLeast"/>
          <w:tblCellSpacing w:w="0" w:type="dxa"/>
        </w:trPr>
        <w:tc>
          <w:tcPr>
            <w:tcW w:w="785" w:type="dxa"/>
            <w:tcBorders>
              <w:top w:val="single" w:color="A5A5A5" w:sz="2" w:space="0"/>
              <w:bottom w:val="single" w:color="A5A5A5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Naruse, Y.(2013)</w:t>
            </w:r>
          </w:p>
        </w:tc>
        <w:tc>
          <w:tcPr>
            <w:tcW w:w="970" w:type="dxa"/>
            <w:tcBorders>
              <w:top w:val="single" w:color="A5A5A5" w:sz="2" w:space="0"/>
              <w:bottom w:val="single" w:color="A5A5A5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Prospective cohort study</w:t>
            </w:r>
          </w:p>
        </w:tc>
        <w:tc>
          <w:tcPr>
            <w:tcW w:w="470" w:type="dxa"/>
            <w:tcBorders>
              <w:top w:val="single" w:color="A5A5A5" w:sz="2" w:space="0"/>
              <w:bottom w:val="single" w:color="A5A5A5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Japan</w:t>
            </w:r>
          </w:p>
        </w:tc>
        <w:tc>
          <w:tcPr>
            <w:tcW w:w="584" w:type="dxa"/>
            <w:tcBorders>
              <w:top w:val="single" w:color="A5A5A5" w:sz="2" w:space="0"/>
              <w:bottom w:val="single" w:color="A5A5A5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18.8m</w:t>
            </w:r>
          </w:p>
        </w:tc>
        <w:tc>
          <w:tcPr>
            <w:tcW w:w="361" w:type="dxa"/>
            <w:tcBorders>
              <w:top w:val="single" w:color="A5A5A5" w:sz="2" w:space="0"/>
              <w:bottom w:val="single" w:color="A5A5A5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748" w:type="dxa"/>
            <w:tcBorders>
              <w:top w:val="single" w:color="A5A5A5" w:sz="2" w:space="0"/>
              <w:bottom w:val="single" w:color="A5A5A5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82/34</w:t>
            </w:r>
          </w:p>
        </w:tc>
        <w:tc>
          <w:tcPr>
            <w:tcW w:w="1356" w:type="dxa"/>
            <w:tcBorders>
              <w:top w:val="single" w:color="A5A5A5" w:sz="2" w:space="0"/>
              <w:bottom w:val="single" w:color="A5A5A5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AHI≥5/h, and obstructive events ≥50% </w:t>
            </w:r>
          </w:p>
        </w:tc>
        <w:tc>
          <w:tcPr>
            <w:tcW w:w="888" w:type="dxa"/>
            <w:tcBorders>
              <w:top w:val="single" w:color="A5A5A5" w:sz="2" w:space="0"/>
              <w:bottom w:val="single" w:color="A5A5A5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679" w:type="dxa"/>
            <w:tcBorders>
              <w:top w:val="single" w:color="A5A5A5" w:sz="2" w:space="0"/>
              <w:bottom w:val="single" w:color="A5A5A5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~17.8m</w:t>
            </w:r>
          </w:p>
        </w:tc>
        <w:tc>
          <w:tcPr>
            <w:tcW w:w="624" w:type="dxa"/>
            <w:tcBorders>
              <w:top w:val="single" w:color="A5A5A5" w:sz="2" w:space="0"/>
              <w:bottom w:val="single" w:color="A5A5A5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RCA</w:t>
            </w:r>
          </w:p>
        </w:tc>
        <w:tc>
          <w:tcPr>
            <w:tcW w:w="1658" w:type="dxa"/>
            <w:tcBorders>
              <w:top w:val="single" w:color="A5A5A5" w:sz="2" w:space="0"/>
              <w:bottom w:val="single" w:color="A5A5A5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ECG, 24h Holter, and portable ECGmonitoring </w:t>
            </w:r>
          </w:p>
        </w:tc>
        <w:tc>
          <w:tcPr>
            <w:tcW w:w="839" w:type="dxa"/>
            <w:tcBorders>
              <w:top w:val="single" w:color="A5A5A5" w:sz="2" w:space="0"/>
              <w:bottom w:val="single" w:color="A5A5A5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25/18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tblCellSpacing w:w="0" w:type="dxa"/>
        </w:trPr>
        <w:tc>
          <w:tcPr>
            <w:tcW w:w="785" w:type="dxa"/>
            <w:tcBorders>
              <w:top w:val="single" w:color="A5A5A5" w:sz="2" w:space="0"/>
              <w:bottom w:val="single" w:color="A5A5A5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Caples, S. M.(2019)</w:t>
            </w:r>
          </w:p>
        </w:tc>
        <w:tc>
          <w:tcPr>
            <w:tcW w:w="970" w:type="dxa"/>
            <w:tcBorders>
              <w:top w:val="single" w:color="A5A5A5" w:sz="2" w:space="0"/>
              <w:bottom w:val="single" w:color="A5A5A5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RCT</w:t>
            </w:r>
          </w:p>
        </w:tc>
        <w:tc>
          <w:tcPr>
            <w:tcW w:w="470" w:type="dxa"/>
            <w:tcBorders>
              <w:top w:val="single" w:color="A5A5A5" w:sz="2" w:space="0"/>
              <w:bottom w:val="single" w:color="A5A5A5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584" w:type="dxa"/>
            <w:tcBorders>
              <w:top w:val="single" w:color="A5A5A5" w:sz="2" w:space="0"/>
              <w:bottom w:val="single" w:color="A5A5A5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12m</w:t>
            </w:r>
          </w:p>
        </w:tc>
        <w:tc>
          <w:tcPr>
            <w:tcW w:w="361" w:type="dxa"/>
            <w:tcBorders>
              <w:top w:val="single" w:color="A5A5A5" w:sz="2" w:space="0"/>
              <w:bottom w:val="single" w:color="A5A5A5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48" w:type="dxa"/>
            <w:tcBorders>
              <w:top w:val="single" w:color="A5A5A5" w:sz="2" w:space="0"/>
              <w:bottom w:val="single" w:color="A5A5A5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12/13</w:t>
            </w:r>
          </w:p>
        </w:tc>
        <w:tc>
          <w:tcPr>
            <w:tcW w:w="1356" w:type="dxa"/>
            <w:tcBorders>
              <w:top w:val="single" w:color="A5A5A5" w:sz="2" w:space="0"/>
              <w:bottom w:val="single" w:color="A5A5A5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AHI≥5/h</w:t>
            </w:r>
          </w:p>
        </w:tc>
        <w:tc>
          <w:tcPr>
            <w:tcW w:w="888" w:type="dxa"/>
            <w:tcBorders>
              <w:top w:val="single" w:color="A5A5A5" w:sz="2" w:space="0"/>
              <w:bottom w:val="single" w:color="A5A5A5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6 h and 11 min</w:t>
            </w:r>
          </w:p>
        </w:tc>
        <w:tc>
          <w:tcPr>
            <w:tcW w:w="679" w:type="dxa"/>
            <w:tcBorders>
              <w:top w:val="single" w:color="A5A5A5" w:sz="2" w:space="0"/>
              <w:bottom w:val="single" w:color="A5A5A5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&lt;12m</w:t>
            </w:r>
          </w:p>
        </w:tc>
        <w:tc>
          <w:tcPr>
            <w:tcW w:w="624" w:type="dxa"/>
            <w:tcBorders>
              <w:top w:val="single" w:color="A5A5A5" w:sz="2" w:space="0"/>
              <w:bottom w:val="single" w:color="A5A5A5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</w:rPr>
              <w:t>DCCD</w:t>
            </w:r>
          </w:p>
        </w:tc>
        <w:tc>
          <w:tcPr>
            <w:tcW w:w="1658" w:type="dxa"/>
            <w:tcBorders>
              <w:top w:val="single" w:color="A5A5A5" w:sz="2" w:space="0"/>
              <w:bottom w:val="single" w:color="A5A5A5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ECG</w:t>
            </w:r>
          </w:p>
        </w:tc>
        <w:tc>
          <w:tcPr>
            <w:tcW w:w="839" w:type="dxa"/>
            <w:tcBorders>
              <w:top w:val="single" w:color="A5A5A5" w:sz="2" w:space="0"/>
              <w:bottom w:val="single" w:color="A5A5A5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3/3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0" w:hRule="atLeast"/>
          <w:tblCellSpacing w:w="0" w:type="dxa"/>
        </w:trPr>
        <w:tc>
          <w:tcPr>
            <w:tcW w:w="785" w:type="dxa"/>
            <w:tcBorders>
              <w:top w:val="single" w:color="A5A5A5" w:sz="2" w:space="0"/>
              <w:bottom w:val="single" w:color="A5A5A5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Hojo, R.(2019)</w:t>
            </w:r>
          </w:p>
        </w:tc>
        <w:tc>
          <w:tcPr>
            <w:tcW w:w="970" w:type="dxa"/>
            <w:tcBorders>
              <w:top w:val="single" w:color="A5A5A5" w:sz="2" w:space="0"/>
              <w:bottom w:val="single" w:color="A5A5A5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Prospective cohort study</w:t>
            </w:r>
          </w:p>
        </w:tc>
        <w:tc>
          <w:tcPr>
            <w:tcW w:w="470" w:type="dxa"/>
            <w:tcBorders>
              <w:top w:val="single" w:color="A5A5A5" w:sz="2" w:space="0"/>
              <w:bottom w:val="single" w:color="A5A5A5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Japan</w:t>
            </w:r>
          </w:p>
        </w:tc>
        <w:tc>
          <w:tcPr>
            <w:tcW w:w="584" w:type="dxa"/>
            <w:tcBorders>
              <w:top w:val="single" w:color="A5A5A5" w:sz="2" w:space="0"/>
              <w:bottom w:val="single" w:color="A5A5A5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lang w:val="en-US" w:eastAsia="zh-CN"/>
              </w:rPr>
              <w:t>~24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61" w:type="dxa"/>
            <w:tcBorders>
              <w:top w:val="single" w:color="A5A5A5" w:sz="2" w:space="0"/>
              <w:bottom w:val="single" w:color="A5A5A5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748" w:type="dxa"/>
            <w:tcBorders>
              <w:top w:val="single" w:color="A5A5A5" w:sz="2" w:space="0"/>
              <w:bottom w:val="single" w:color="A5A5A5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11/23</w:t>
            </w:r>
          </w:p>
        </w:tc>
        <w:tc>
          <w:tcPr>
            <w:tcW w:w="1356" w:type="dxa"/>
            <w:tcBorders>
              <w:top w:val="single" w:color="A5A5A5" w:sz="2" w:space="0"/>
              <w:bottom w:val="single" w:color="A5A5A5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AHI≥15/h, and obstructive events&gt;80% </w:t>
            </w:r>
          </w:p>
        </w:tc>
        <w:tc>
          <w:tcPr>
            <w:tcW w:w="888" w:type="dxa"/>
            <w:tcBorders>
              <w:top w:val="single" w:color="A5A5A5" w:sz="2" w:space="0"/>
              <w:bottom w:val="single" w:color="A5A5A5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679" w:type="dxa"/>
            <w:tcBorders>
              <w:top w:val="single" w:color="A5A5A5" w:sz="2" w:space="0"/>
              <w:bottom w:val="single" w:color="A5A5A5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~23m</w:t>
            </w:r>
          </w:p>
        </w:tc>
        <w:tc>
          <w:tcPr>
            <w:tcW w:w="624" w:type="dxa"/>
            <w:tcBorders>
              <w:top w:val="single" w:color="A5A5A5" w:sz="2" w:space="0"/>
              <w:bottom w:val="single" w:color="A5A5A5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RCA</w:t>
            </w:r>
          </w:p>
        </w:tc>
        <w:tc>
          <w:tcPr>
            <w:tcW w:w="1658" w:type="dxa"/>
            <w:tcBorders>
              <w:top w:val="single" w:color="A5A5A5" w:sz="2" w:space="0"/>
              <w:bottom w:val="single" w:color="A5A5A5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ECG and 24h Holter</w:t>
            </w:r>
          </w:p>
        </w:tc>
        <w:tc>
          <w:tcPr>
            <w:tcW w:w="839" w:type="dxa"/>
            <w:tcBorders>
              <w:top w:val="single" w:color="A5A5A5" w:sz="2" w:space="0"/>
              <w:bottom w:val="single" w:color="A5A5A5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1/2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tblCellSpacing w:w="0" w:type="dxa"/>
        </w:trPr>
        <w:tc>
          <w:tcPr>
            <w:tcW w:w="785" w:type="dxa"/>
            <w:tcBorders>
              <w:top w:val="single" w:color="A5A5A5" w:sz="2" w:space="0"/>
              <w:bottom w:val="single" w:color="A5A5A5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Hunt, T. E.(2022)</w:t>
            </w:r>
          </w:p>
        </w:tc>
        <w:tc>
          <w:tcPr>
            <w:tcW w:w="970" w:type="dxa"/>
            <w:tcBorders>
              <w:top w:val="single" w:color="A5A5A5" w:sz="2" w:space="0"/>
              <w:bottom w:val="single" w:color="A5A5A5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RCT</w:t>
            </w:r>
          </w:p>
        </w:tc>
        <w:tc>
          <w:tcPr>
            <w:tcW w:w="470" w:type="dxa"/>
            <w:tcBorders>
              <w:top w:val="single" w:color="A5A5A5" w:sz="2" w:space="0"/>
              <w:bottom w:val="single" w:color="A5A5A5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Norway</w:t>
            </w:r>
          </w:p>
        </w:tc>
        <w:tc>
          <w:tcPr>
            <w:tcW w:w="584" w:type="dxa"/>
            <w:tcBorders>
              <w:top w:val="single" w:color="A5A5A5" w:sz="2" w:space="0"/>
              <w:bottom w:val="single" w:color="A5A5A5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12m</w:t>
            </w:r>
          </w:p>
        </w:tc>
        <w:tc>
          <w:tcPr>
            <w:tcW w:w="361" w:type="dxa"/>
            <w:tcBorders>
              <w:top w:val="single" w:color="A5A5A5" w:sz="2" w:space="0"/>
              <w:bottom w:val="single" w:color="A5A5A5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748" w:type="dxa"/>
            <w:tcBorders>
              <w:top w:val="single" w:color="A5A5A5" w:sz="2" w:space="0"/>
              <w:bottom w:val="single" w:color="A5A5A5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37/46</w:t>
            </w:r>
          </w:p>
        </w:tc>
        <w:tc>
          <w:tcPr>
            <w:tcW w:w="1356" w:type="dxa"/>
            <w:tcBorders>
              <w:top w:val="single" w:color="A5A5A5" w:sz="2" w:space="0"/>
              <w:bottom w:val="single" w:color="A5A5A5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AHI≥ 15/h</w:t>
            </w:r>
          </w:p>
        </w:tc>
        <w:tc>
          <w:tcPr>
            <w:tcW w:w="888" w:type="dxa"/>
            <w:tcBorders>
              <w:top w:val="single" w:color="A5A5A5" w:sz="2" w:space="0"/>
              <w:bottom w:val="single" w:color="A5A5A5" w:sz="2" w:space="0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≥4h/night(60%), 5.7±1.4h</w:t>
            </w:r>
          </w:p>
        </w:tc>
        <w:tc>
          <w:tcPr>
            <w:tcW w:w="679" w:type="dxa"/>
            <w:tcBorders>
              <w:top w:val="single" w:color="A5A5A5" w:sz="2" w:space="0"/>
              <w:bottom w:val="single" w:color="A5A5A5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~17m</w:t>
            </w:r>
          </w:p>
        </w:tc>
        <w:tc>
          <w:tcPr>
            <w:tcW w:w="624" w:type="dxa"/>
            <w:tcBorders>
              <w:top w:val="single" w:color="A5A5A5" w:sz="2" w:space="0"/>
              <w:bottom w:val="single" w:color="A5A5A5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RCA</w:t>
            </w:r>
          </w:p>
        </w:tc>
        <w:tc>
          <w:tcPr>
            <w:tcW w:w="1658" w:type="dxa"/>
            <w:tcBorders>
              <w:top w:val="single" w:color="A5A5A5" w:sz="2" w:space="0"/>
              <w:bottom w:val="single" w:color="A5A5A5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loop recorder device </w:t>
            </w:r>
          </w:p>
        </w:tc>
        <w:tc>
          <w:tcPr>
            <w:tcW w:w="839" w:type="dxa"/>
            <w:tcBorders>
              <w:top w:val="single" w:color="A5A5A5" w:sz="2" w:space="0"/>
              <w:bottom w:val="single" w:color="A5A5A5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21/27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  <w:tblCellSpacing w:w="0" w:type="dxa"/>
        </w:trPr>
        <w:tc>
          <w:tcPr>
            <w:tcW w:w="785" w:type="dxa"/>
            <w:tcBorders>
              <w:top w:val="single" w:color="A5A5A5" w:sz="2" w:space="0"/>
              <w:bottom w:val="single" w:color="A5A5A5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Suzuki, K.(2022)</w:t>
            </w:r>
          </w:p>
        </w:tc>
        <w:tc>
          <w:tcPr>
            <w:tcW w:w="970" w:type="dxa"/>
            <w:tcBorders>
              <w:top w:val="single" w:color="A5A5A5" w:sz="2" w:space="0"/>
              <w:bottom w:val="single" w:color="A5A5A5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Retrospective cohort study</w:t>
            </w:r>
          </w:p>
        </w:tc>
        <w:tc>
          <w:tcPr>
            <w:tcW w:w="470" w:type="dxa"/>
            <w:tcBorders>
              <w:top w:val="single" w:color="A5A5A5" w:sz="2" w:space="0"/>
              <w:bottom w:val="single" w:color="A5A5A5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Japan</w:t>
            </w:r>
          </w:p>
        </w:tc>
        <w:tc>
          <w:tcPr>
            <w:tcW w:w="584" w:type="dxa"/>
            <w:tcBorders>
              <w:top w:val="single" w:color="A5A5A5" w:sz="2" w:space="0"/>
              <w:bottom w:val="single" w:color="A5A5A5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~16m(479 d)</w:t>
            </w:r>
          </w:p>
        </w:tc>
        <w:tc>
          <w:tcPr>
            <w:tcW w:w="361" w:type="dxa"/>
            <w:tcBorders>
              <w:top w:val="single" w:color="A5A5A5" w:sz="2" w:space="0"/>
              <w:bottom w:val="single" w:color="A5A5A5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290</w:t>
            </w:r>
          </w:p>
        </w:tc>
        <w:tc>
          <w:tcPr>
            <w:tcW w:w="748" w:type="dxa"/>
            <w:tcBorders>
              <w:top w:val="single" w:color="A5A5A5" w:sz="2" w:space="0"/>
              <w:bottom w:val="single" w:color="A5A5A5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43/247</w:t>
            </w:r>
          </w:p>
        </w:tc>
        <w:tc>
          <w:tcPr>
            <w:tcW w:w="1356" w:type="dxa"/>
            <w:tcBorders>
              <w:top w:val="single" w:color="A5A5A5" w:sz="2" w:space="0"/>
              <w:bottom w:val="single" w:color="A5A5A5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AHI≥ 5 /h</w:t>
            </w:r>
          </w:p>
        </w:tc>
        <w:tc>
          <w:tcPr>
            <w:tcW w:w="888" w:type="dxa"/>
            <w:tcBorders>
              <w:top w:val="single" w:color="A5A5A5" w:sz="2" w:space="0"/>
              <w:bottom w:val="single" w:color="A5A5A5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≥4h/night</w:t>
            </w:r>
          </w:p>
        </w:tc>
        <w:tc>
          <w:tcPr>
            <w:tcW w:w="679" w:type="dxa"/>
            <w:tcBorders>
              <w:top w:val="single" w:color="A5A5A5" w:sz="2" w:space="0"/>
              <w:bottom w:val="single" w:color="A5A5A5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~16m</w:t>
            </w:r>
          </w:p>
        </w:tc>
        <w:tc>
          <w:tcPr>
            <w:tcW w:w="624" w:type="dxa"/>
            <w:tcBorders>
              <w:top w:val="single" w:color="A5A5A5" w:sz="2" w:space="0"/>
              <w:bottom w:val="single" w:color="A5A5A5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RCA</w:t>
            </w:r>
          </w:p>
        </w:tc>
        <w:tc>
          <w:tcPr>
            <w:tcW w:w="1658" w:type="dxa"/>
            <w:tcBorders>
              <w:top w:val="single" w:color="A5A5A5" w:sz="2" w:space="0"/>
              <w:bottom w:val="single" w:color="A5A5A5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ECG and 24h Holter </w:t>
            </w:r>
          </w:p>
        </w:tc>
        <w:tc>
          <w:tcPr>
            <w:tcW w:w="839" w:type="dxa"/>
            <w:tcBorders>
              <w:top w:val="single" w:color="A5A5A5" w:sz="2" w:space="0"/>
              <w:bottom w:val="single" w:color="A5A5A5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5/40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 w:hRule="atLeast"/>
          <w:tblCellSpacing w:w="0" w:type="dxa"/>
        </w:trPr>
        <w:tc>
          <w:tcPr>
            <w:tcW w:w="785" w:type="dxa"/>
            <w:tcBorders>
              <w:top w:val="single" w:color="A5A5A5" w:sz="2" w:space="0"/>
              <w:bottom w:val="single" w:color="000000" w:sz="12" w:space="0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Zhou,Y.(2022)</w:t>
            </w:r>
          </w:p>
        </w:tc>
        <w:tc>
          <w:tcPr>
            <w:tcW w:w="970" w:type="dxa"/>
            <w:tcBorders>
              <w:top w:val="single" w:color="A5A5A5" w:sz="2" w:space="0"/>
              <w:bottom w:val="single" w:color="000000" w:sz="12" w:space="0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Prospective cohort study</w:t>
            </w:r>
          </w:p>
        </w:tc>
        <w:tc>
          <w:tcPr>
            <w:tcW w:w="470" w:type="dxa"/>
            <w:tcBorders>
              <w:top w:val="single" w:color="A5A5A5" w:sz="2" w:space="0"/>
              <w:bottom w:val="single" w:color="000000" w:sz="12" w:space="0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584" w:type="dxa"/>
            <w:tcBorders>
              <w:top w:val="single" w:color="A5A5A5" w:sz="2" w:space="0"/>
              <w:bottom w:val="single" w:color="000000" w:sz="12" w:space="0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12m</w:t>
            </w:r>
          </w:p>
        </w:tc>
        <w:tc>
          <w:tcPr>
            <w:tcW w:w="361" w:type="dxa"/>
            <w:tcBorders>
              <w:top w:val="single" w:color="A5A5A5" w:sz="2" w:space="0"/>
              <w:bottom w:val="single" w:color="000000" w:sz="12" w:space="0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748" w:type="dxa"/>
            <w:tcBorders>
              <w:top w:val="single" w:color="A5A5A5" w:sz="2" w:space="0"/>
              <w:bottom w:val="single" w:color="000000" w:sz="12" w:space="0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62/60</w:t>
            </w:r>
          </w:p>
        </w:tc>
        <w:tc>
          <w:tcPr>
            <w:tcW w:w="1356" w:type="dxa"/>
            <w:tcBorders>
              <w:top w:val="single" w:color="A5A5A5" w:sz="2" w:space="0"/>
              <w:bottom w:val="single" w:color="000000" w:sz="12" w:space="0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AHI≥15/h, and obstructive events&gt;80%</w:t>
            </w:r>
          </w:p>
        </w:tc>
        <w:tc>
          <w:tcPr>
            <w:tcW w:w="888" w:type="dxa"/>
            <w:tcBorders>
              <w:top w:val="single" w:color="A5A5A5" w:sz="2" w:space="0"/>
              <w:bottom w:val="single" w:color="000000" w:sz="12" w:space="0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≥5h/night</w:t>
            </w:r>
          </w:p>
        </w:tc>
        <w:tc>
          <w:tcPr>
            <w:tcW w:w="679" w:type="dxa"/>
            <w:tcBorders>
              <w:top w:val="single" w:color="A5A5A5" w:sz="2" w:space="0"/>
              <w:bottom w:val="single" w:color="000000" w:sz="12" w:space="0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&lt;12m</w:t>
            </w:r>
          </w:p>
        </w:tc>
        <w:tc>
          <w:tcPr>
            <w:tcW w:w="624" w:type="dxa"/>
            <w:tcBorders>
              <w:top w:val="single" w:color="A5A5A5" w:sz="2" w:space="0"/>
              <w:bottom w:val="single" w:color="000000" w:sz="12" w:space="0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RCA</w:t>
            </w:r>
          </w:p>
        </w:tc>
        <w:tc>
          <w:tcPr>
            <w:tcW w:w="1658" w:type="dxa"/>
            <w:tcBorders>
              <w:top w:val="single" w:color="A5A5A5" w:sz="2" w:space="0"/>
              <w:bottom w:val="single" w:color="000000" w:sz="12" w:space="0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 24h Holter</w:t>
            </w:r>
          </w:p>
        </w:tc>
        <w:tc>
          <w:tcPr>
            <w:tcW w:w="839" w:type="dxa"/>
            <w:tcBorders>
              <w:top w:val="single" w:color="A5A5A5" w:sz="2" w:space="0"/>
              <w:bottom w:val="single" w:color="000000" w:sz="12" w:space="0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16/40</w:t>
            </w:r>
          </w:p>
        </w:tc>
      </w:tr>
    </w:tbl>
    <w:p>
      <w:pPr>
        <w:spacing w:line="240" w:lineRule="auto"/>
        <w:rPr>
          <w:rFonts w:hint="default" w:ascii="Times New Roman" w:hAnsi="Times New Roman" w:cs="Times New Roman"/>
          <w:sz w:val="20"/>
          <w:szCs w:val="20"/>
          <w:vertAlign w:val="baseline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NOTE:</w:t>
      </w:r>
    </w:p>
    <w:p>
      <w:pPr>
        <w:spacing w:line="240" w:lineRule="auto"/>
        <w:rPr>
          <w:rFonts w:hint="default" w:ascii="Times New Roman" w:hAnsi="Times New Roman" w:cs="Times New Roman"/>
          <w:sz w:val="20"/>
          <w:szCs w:val="20"/>
          <w:vertAlign w:val="baseline"/>
          <w:lang w:val="en-US" w:eastAsia="zh-CN"/>
        </w:rPr>
      </w:pPr>
      <w:r>
        <w:rPr>
          <w:rFonts w:hint="default"/>
          <w:sz w:val="20"/>
          <w:szCs w:val="20"/>
          <w:lang w:val="en-US" w:eastAsia="zh-CN"/>
        </w:rPr>
        <w:t>‘</w:t>
      </w:r>
      <w:r>
        <w:rPr>
          <w:rFonts w:hint="eastAsia"/>
          <w:sz w:val="20"/>
          <w:szCs w:val="20"/>
          <w:lang w:val="en-US" w:eastAsia="zh-CN"/>
        </w:rPr>
        <w:t>~</w:t>
      </w:r>
      <w:r>
        <w:rPr>
          <w:rFonts w:hint="default"/>
          <w:sz w:val="20"/>
          <w:szCs w:val="20"/>
          <w:lang w:val="en-US" w:eastAsia="zh-CN"/>
        </w:rPr>
        <w:t>’</w:t>
      </w:r>
      <w:r>
        <w:rPr>
          <w:rFonts w:hint="default" w:ascii="Times New Roman" w:hAnsi="Times New Roman" w:cs="Times New Roman"/>
          <w:sz w:val="20"/>
          <w:szCs w:val="20"/>
          <w:vertAlign w:val="baseline"/>
          <w:lang w:val="en-US" w:eastAsia="zh-CN"/>
        </w:rPr>
        <w:t xml:space="preserve">: </w:t>
      </w:r>
      <w:r>
        <w:rPr>
          <w:rFonts w:hint="eastAsia" w:ascii="Times New Roman" w:hAnsi="Times New Roman" w:cs="Times New Roman"/>
          <w:sz w:val="20"/>
          <w:szCs w:val="20"/>
          <w:vertAlign w:val="baseline"/>
          <w:lang w:val="en-US" w:eastAsia="zh-CN"/>
        </w:rPr>
        <w:t>the symbol means an e</w:t>
      </w:r>
      <w:r>
        <w:rPr>
          <w:rFonts w:hint="default" w:ascii="Times New Roman" w:hAnsi="Times New Roman" w:cs="Times New Roman"/>
          <w:sz w:val="20"/>
          <w:szCs w:val="20"/>
          <w:vertAlign w:val="baseline"/>
          <w:lang w:val="en-US" w:eastAsia="zh-CN"/>
        </w:rPr>
        <w:t xml:space="preserve">stimated </w:t>
      </w:r>
      <w:r>
        <w:rPr>
          <w:rFonts w:hint="eastAsia" w:ascii="Times New Roman" w:hAnsi="Times New Roman" w:cs="Times New Roman"/>
          <w:sz w:val="20"/>
          <w:szCs w:val="20"/>
          <w:vertAlign w:val="baseline"/>
          <w:lang w:val="en-US" w:eastAsia="zh-CN"/>
        </w:rPr>
        <w:t>follow-up duration and CPAP therapy course inferred from the experiment</w:t>
      </w:r>
      <w:r>
        <w:rPr>
          <w:rFonts w:hint="default" w:ascii="Times New Roman" w:hAnsi="Times New Roman" w:cs="Times New Roman"/>
          <w:sz w:val="20"/>
          <w:szCs w:val="20"/>
          <w:vertAlign w:val="baseline"/>
          <w:lang w:val="en-US" w:eastAsia="zh-CN"/>
        </w:rPr>
        <w:t xml:space="preserve"> design.</w:t>
      </w:r>
    </w:p>
    <w:p>
      <w:pPr>
        <w:spacing w:line="240" w:lineRule="auto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br w:type="page"/>
      </w:r>
    </w:p>
    <w:p>
      <w:pPr>
        <w:spacing w:line="240" w:lineRule="auto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T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able</w:t>
      </w:r>
      <w:bookmarkStart w:id="0" w:name="_GoBack"/>
      <w:bookmarkEnd w:id="0"/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 3: Main characteristics of the OSA patients in the studies.</w:t>
      </w:r>
    </w:p>
    <w:tbl>
      <w:tblPr>
        <w:tblStyle w:val="3"/>
        <w:tblW w:w="0" w:type="auto"/>
        <w:tblCellSpacing w:w="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0"/>
        <w:gridCol w:w="428"/>
        <w:gridCol w:w="516"/>
        <w:gridCol w:w="445"/>
        <w:gridCol w:w="499"/>
        <w:gridCol w:w="464"/>
        <w:gridCol w:w="607"/>
        <w:gridCol w:w="859"/>
        <w:gridCol w:w="559"/>
        <w:gridCol w:w="505"/>
        <w:gridCol w:w="777"/>
        <w:gridCol w:w="2093"/>
        <w:gridCol w:w="140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  <w:tblCellSpacing w:w="0" w:type="dxa"/>
        </w:trPr>
        <w:tc>
          <w:tcPr>
            <w:tcW w:w="670" w:type="dxa"/>
            <w:tcBorders>
              <w:top w:val="single" w:color="000000" w:sz="12" w:space="0"/>
              <w:bottom w:val="single" w:color="000000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Study</w:t>
            </w:r>
          </w:p>
        </w:tc>
        <w:tc>
          <w:tcPr>
            <w:tcW w:w="428" w:type="dxa"/>
            <w:tcBorders>
              <w:top w:val="single" w:color="000000" w:sz="12" w:space="0"/>
              <w:bottom w:val="single" w:color="000000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Age</w:t>
            </w:r>
          </w:p>
        </w:tc>
        <w:tc>
          <w:tcPr>
            <w:tcW w:w="516" w:type="dxa"/>
            <w:tcBorders>
              <w:top w:val="single" w:color="000000" w:sz="12" w:space="0"/>
              <w:bottom w:val="single" w:color="000000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BMI(kg/m2)</w:t>
            </w:r>
          </w:p>
        </w:tc>
        <w:tc>
          <w:tcPr>
            <w:tcW w:w="445" w:type="dxa"/>
            <w:tcBorders>
              <w:top w:val="single" w:color="000000" w:sz="12" w:space="0"/>
              <w:bottom w:val="single" w:color="000000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Male (%)</w:t>
            </w:r>
          </w:p>
        </w:tc>
        <w:tc>
          <w:tcPr>
            <w:tcW w:w="499" w:type="dxa"/>
            <w:tcBorders>
              <w:top w:val="single" w:color="000000" w:sz="12" w:space="0"/>
              <w:bottom w:val="single" w:color="000000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HTN (%)</w:t>
            </w:r>
          </w:p>
        </w:tc>
        <w:tc>
          <w:tcPr>
            <w:tcW w:w="464" w:type="dxa"/>
            <w:tcBorders>
              <w:top w:val="single" w:color="000000" w:sz="12" w:space="0"/>
              <w:bottom w:val="single" w:color="000000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HF(%)</w:t>
            </w:r>
          </w:p>
        </w:tc>
        <w:tc>
          <w:tcPr>
            <w:tcW w:w="607" w:type="dxa"/>
            <w:tcBorders>
              <w:top w:val="single" w:color="000000" w:sz="12" w:space="0"/>
              <w:bottom w:val="single" w:color="000000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LVEF(%)</w:t>
            </w:r>
          </w:p>
        </w:tc>
        <w:tc>
          <w:tcPr>
            <w:tcW w:w="859" w:type="dxa"/>
            <w:tcBorders>
              <w:top w:val="single" w:color="000000" w:sz="12" w:space="0"/>
              <w:bottom w:val="single" w:color="000000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LA </w:t>
            </w:r>
          </w:p>
        </w:tc>
        <w:tc>
          <w:tcPr>
            <w:tcW w:w="559" w:type="dxa"/>
            <w:tcBorders>
              <w:top w:val="single" w:color="000000" w:sz="12" w:space="0"/>
              <w:bottom w:val="single" w:color="000000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AHI(events/h)</w:t>
            </w:r>
          </w:p>
        </w:tc>
        <w:tc>
          <w:tcPr>
            <w:tcW w:w="505" w:type="dxa"/>
            <w:tcBorders>
              <w:top w:val="single" w:color="000000" w:sz="12" w:space="0"/>
              <w:bottom w:val="single" w:color="000000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ESS</w:t>
            </w:r>
          </w:p>
        </w:tc>
        <w:tc>
          <w:tcPr>
            <w:tcW w:w="777" w:type="dxa"/>
            <w:tcBorders>
              <w:top w:val="single" w:color="000000" w:sz="12" w:space="0"/>
              <w:bottom w:val="single" w:color="000000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Persistent AF(%)</w:t>
            </w:r>
          </w:p>
        </w:tc>
        <w:tc>
          <w:tcPr>
            <w:tcW w:w="2093" w:type="dxa"/>
            <w:tcBorders>
              <w:top w:val="single" w:color="000000" w:sz="12" w:space="0"/>
              <w:bottom w:val="single" w:color="000000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AAD before ablation</w:t>
            </w:r>
          </w:p>
        </w:tc>
        <w:tc>
          <w:tcPr>
            <w:tcW w:w="1405" w:type="dxa"/>
            <w:tcBorders>
              <w:top w:val="single" w:color="000000" w:sz="12" w:space="0"/>
              <w:bottom w:val="single" w:color="000000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AAD after ablation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tblCellSpacing w:w="0" w:type="dxa"/>
        </w:trPr>
        <w:tc>
          <w:tcPr>
            <w:tcW w:w="67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Patel, D.(2010)</w:t>
            </w:r>
          </w:p>
        </w:tc>
        <w:tc>
          <w:tcPr>
            <w:tcW w:w="428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516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45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499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64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607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859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45(diameter, mm)</w:t>
            </w:r>
          </w:p>
        </w:tc>
        <w:tc>
          <w:tcPr>
            <w:tcW w:w="559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505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777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60%</w:t>
            </w:r>
          </w:p>
        </w:tc>
        <w:tc>
          <w:tcPr>
            <w:tcW w:w="2093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Discontinued 4 to 5 half-lives before ablation;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5 to 6 months for amiodarone </w:t>
            </w:r>
          </w:p>
        </w:tc>
        <w:tc>
          <w:tcPr>
            <w:tcW w:w="1405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Not mentioned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0" w:hRule="atLeast"/>
          <w:tblCellSpacing w:w="0" w:type="dxa"/>
        </w:trPr>
        <w:tc>
          <w:tcPr>
            <w:tcW w:w="67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Fein, A. S.(2013)</w:t>
            </w:r>
          </w:p>
        </w:tc>
        <w:tc>
          <w:tcPr>
            <w:tcW w:w="428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eastAsia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56.8/58.5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lang w:val="en-US" w:eastAsia="zh-CN"/>
              </w:rPr>
              <w:t>*</w:t>
            </w:r>
          </w:p>
        </w:tc>
        <w:tc>
          <w:tcPr>
            <w:tcW w:w="516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28.77/29.58</w:t>
            </w:r>
          </w:p>
        </w:tc>
        <w:tc>
          <w:tcPr>
            <w:tcW w:w="445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76.7/71.9</w:t>
            </w:r>
          </w:p>
        </w:tc>
        <w:tc>
          <w:tcPr>
            <w:tcW w:w="499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70/65.6</w:t>
            </w:r>
          </w:p>
        </w:tc>
        <w:tc>
          <w:tcPr>
            <w:tcW w:w="464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607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60.2/59.5</w:t>
            </w:r>
          </w:p>
        </w:tc>
        <w:tc>
          <w:tcPr>
            <w:tcW w:w="859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54.5/55.9(diameter, mm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559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505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777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53.2%(56.7%/50%)</w:t>
            </w:r>
          </w:p>
        </w:tc>
        <w:tc>
          <w:tcPr>
            <w:tcW w:w="2093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Discontinued ≥ 5 half-lives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before ablation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lang w:val="en-US" w:eastAsia="zh-CN"/>
              </w:rPr>
              <w:t xml:space="preserve">; 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2 weeks for amiodarone</w:t>
            </w:r>
          </w:p>
        </w:tc>
        <w:tc>
          <w:tcPr>
            <w:tcW w:w="1405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Continued between 3 and 6 months without recurrence.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  <w:tblCellSpacing w:w="0" w:type="dxa"/>
        </w:trPr>
        <w:tc>
          <w:tcPr>
            <w:tcW w:w="67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Naruse, Y.(2013)</w:t>
            </w:r>
          </w:p>
        </w:tc>
        <w:tc>
          <w:tcPr>
            <w:tcW w:w="428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516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45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499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464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607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65.5</w:t>
            </w:r>
          </w:p>
        </w:tc>
        <w:tc>
          <w:tcPr>
            <w:tcW w:w="859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61(LA volume, mL)</w:t>
            </w:r>
          </w:p>
        </w:tc>
        <w:tc>
          <w:tcPr>
            <w:tcW w:w="559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9.6</w:t>
            </w:r>
          </w:p>
        </w:tc>
        <w:tc>
          <w:tcPr>
            <w:tcW w:w="505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777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46%</w:t>
            </w:r>
          </w:p>
        </w:tc>
        <w:tc>
          <w:tcPr>
            <w:tcW w:w="2093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Discontinued ≥ 5 half-lives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before abl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en-US" w:eastAsia="zh-CN"/>
              </w:rPr>
              <w:t>ation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lang w:val="en-US" w:eastAsia="zh-CN"/>
              </w:rPr>
              <w:t xml:space="preserve">; 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en-US" w:eastAsia="zh-CN"/>
              </w:rPr>
              <w:t>6 weeks for amiodarone</w:t>
            </w:r>
          </w:p>
        </w:tc>
        <w:tc>
          <w:tcPr>
            <w:tcW w:w="1405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Used if recurrence happened during blanking period, and discontinued when AF disappeared.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tblCellSpacing w:w="0" w:type="dxa"/>
        </w:trPr>
        <w:tc>
          <w:tcPr>
            <w:tcW w:w="67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Caples, S. M.(2019)</w:t>
            </w:r>
          </w:p>
        </w:tc>
        <w:tc>
          <w:tcPr>
            <w:tcW w:w="428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63.5/64.6</w:t>
            </w:r>
          </w:p>
        </w:tc>
        <w:tc>
          <w:tcPr>
            <w:tcW w:w="516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36/35.8</w:t>
            </w:r>
          </w:p>
        </w:tc>
        <w:tc>
          <w:tcPr>
            <w:tcW w:w="445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58/54</w:t>
            </w:r>
          </w:p>
        </w:tc>
        <w:tc>
          <w:tcPr>
            <w:tcW w:w="499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464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7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58.1/57.3</w:t>
            </w:r>
          </w:p>
        </w:tc>
        <w:tc>
          <w:tcPr>
            <w:tcW w:w="859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40.6/35.6(LA volume index, ml/m2)</w:t>
            </w:r>
          </w:p>
        </w:tc>
        <w:tc>
          <w:tcPr>
            <w:tcW w:w="559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30.3/29.8</w:t>
            </w:r>
          </w:p>
        </w:tc>
        <w:tc>
          <w:tcPr>
            <w:tcW w:w="505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4.8/7.3</w:t>
            </w:r>
          </w:p>
        </w:tc>
        <w:tc>
          <w:tcPr>
            <w:tcW w:w="777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2093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Not mentioned</w:t>
            </w:r>
          </w:p>
        </w:tc>
        <w:tc>
          <w:tcPr>
            <w:tcW w:w="1405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Not mentioned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9" w:hRule="atLeast"/>
          <w:tblCellSpacing w:w="0" w:type="dxa"/>
        </w:trPr>
        <w:tc>
          <w:tcPr>
            <w:tcW w:w="67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Hojo, R.(2019)</w:t>
            </w:r>
          </w:p>
        </w:tc>
        <w:tc>
          <w:tcPr>
            <w:tcW w:w="428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66.3/68.3</w:t>
            </w:r>
          </w:p>
        </w:tc>
        <w:tc>
          <w:tcPr>
            <w:tcW w:w="516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25.6/26.1</w:t>
            </w:r>
          </w:p>
        </w:tc>
        <w:tc>
          <w:tcPr>
            <w:tcW w:w="445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72.7/82.6</w:t>
            </w:r>
          </w:p>
        </w:tc>
        <w:tc>
          <w:tcPr>
            <w:tcW w:w="499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72.7/69.6</w:t>
            </w:r>
          </w:p>
        </w:tc>
        <w:tc>
          <w:tcPr>
            <w:tcW w:w="464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0/17.4</w:t>
            </w:r>
          </w:p>
        </w:tc>
        <w:tc>
          <w:tcPr>
            <w:tcW w:w="607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63.6/62.4</w:t>
            </w:r>
          </w:p>
        </w:tc>
        <w:tc>
          <w:tcPr>
            <w:tcW w:w="859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41.5/41.7</w:t>
            </w:r>
          </w:p>
        </w:tc>
        <w:tc>
          <w:tcPr>
            <w:tcW w:w="559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26/28.1</w:t>
            </w:r>
          </w:p>
        </w:tc>
        <w:tc>
          <w:tcPr>
            <w:tcW w:w="505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777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17.6% (27.3%/13%)</w:t>
            </w:r>
          </w:p>
        </w:tc>
        <w:tc>
          <w:tcPr>
            <w:tcW w:w="2093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Discontinued ≥ 5 half-lives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before ablation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lang w:val="en-US" w:eastAsia="zh-CN"/>
              </w:rPr>
              <w:t xml:space="preserve">; 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No amiodarone</w:t>
            </w:r>
          </w:p>
        </w:tc>
        <w:tc>
          <w:tcPr>
            <w:tcW w:w="1405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Continued within 3 months without recurrence.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tblCellSpacing w:w="0" w:type="dxa"/>
        </w:trPr>
        <w:tc>
          <w:tcPr>
            <w:tcW w:w="67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Hunt, T. E.(2022)</w:t>
            </w:r>
          </w:p>
        </w:tc>
        <w:tc>
          <w:tcPr>
            <w:tcW w:w="428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516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29.5</w:t>
            </w:r>
          </w:p>
        </w:tc>
        <w:tc>
          <w:tcPr>
            <w:tcW w:w="445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499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464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7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57.1</w:t>
            </w:r>
          </w:p>
        </w:tc>
        <w:tc>
          <w:tcPr>
            <w:tcW w:w="859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24.8(LA area, m2)</w:t>
            </w:r>
          </w:p>
        </w:tc>
        <w:tc>
          <w:tcPr>
            <w:tcW w:w="559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05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777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93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 No amiodarone at present</w:t>
            </w:r>
          </w:p>
        </w:tc>
        <w:tc>
          <w:tcPr>
            <w:tcW w:w="1405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Continued between 6 and 8 weeks without recurrence.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tblCellSpacing w:w="0" w:type="dxa"/>
        </w:trPr>
        <w:tc>
          <w:tcPr>
            <w:tcW w:w="67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Suzuki, K.(2022)</w:t>
            </w:r>
          </w:p>
        </w:tc>
        <w:tc>
          <w:tcPr>
            <w:tcW w:w="428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64.6</w:t>
            </w:r>
          </w:p>
        </w:tc>
        <w:tc>
          <w:tcPr>
            <w:tcW w:w="516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20.2</w:t>
            </w:r>
          </w:p>
        </w:tc>
        <w:tc>
          <w:tcPr>
            <w:tcW w:w="445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76.9</w:t>
            </w:r>
          </w:p>
        </w:tc>
        <w:tc>
          <w:tcPr>
            <w:tcW w:w="499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46.6</w:t>
            </w:r>
          </w:p>
        </w:tc>
        <w:tc>
          <w:tcPr>
            <w:tcW w:w="464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607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56.9</w:t>
            </w:r>
          </w:p>
        </w:tc>
        <w:tc>
          <w:tcPr>
            <w:tcW w:w="859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42.5(LA volume index, ml/m2)</w:t>
            </w:r>
          </w:p>
        </w:tc>
        <w:tc>
          <w:tcPr>
            <w:tcW w:w="559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15.3</w:t>
            </w:r>
          </w:p>
        </w:tc>
        <w:tc>
          <w:tcPr>
            <w:tcW w:w="505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777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30%</w:t>
            </w:r>
          </w:p>
        </w:tc>
        <w:tc>
          <w:tcPr>
            <w:tcW w:w="2093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Discontinued ≥ 5 half-lives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before ablation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lang w:val="en-US" w:eastAsia="zh-CN"/>
              </w:rPr>
              <w:t xml:space="preserve">; 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No amiodarone</w:t>
            </w:r>
          </w:p>
        </w:tc>
        <w:tc>
          <w:tcPr>
            <w:tcW w:w="1405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Not mentioned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  <w:tblCellSpacing w:w="0" w:type="dxa"/>
        </w:trPr>
        <w:tc>
          <w:tcPr>
            <w:tcW w:w="670" w:type="dxa"/>
            <w:tcBorders>
              <w:bottom w:val="single" w:color="000000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Zhou,Y.(2022)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tcBorders>
              <w:bottom w:val="single" w:color="000000" w:sz="12" w:space="0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59.8/62.3</w:t>
            </w:r>
          </w:p>
        </w:tc>
        <w:tc>
          <w:tcPr>
            <w:tcW w:w="516" w:type="dxa"/>
            <w:tcBorders>
              <w:bottom w:val="single" w:color="000000" w:sz="12" w:space="0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29.9/30.5</w:t>
            </w:r>
          </w:p>
        </w:tc>
        <w:tc>
          <w:tcPr>
            <w:tcW w:w="445" w:type="dxa"/>
            <w:tcBorders>
              <w:bottom w:val="single" w:color="000000" w:sz="12" w:space="0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72.6/76.6</w:t>
            </w:r>
          </w:p>
        </w:tc>
        <w:tc>
          <w:tcPr>
            <w:tcW w:w="499" w:type="dxa"/>
            <w:tcBorders>
              <w:bottom w:val="single" w:color="000000" w:sz="12" w:space="0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96.8/98.3</w:t>
            </w:r>
          </w:p>
        </w:tc>
        <w:tc>
          <w:tcPr>
            <w:tcW w:w="464" w:type="dxa"/>
            <w:tcBorders>
              <w:bottom w:val="single" w:color="000000" w:sz="12" w:space="0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607" w:type="dxa"/>
            <w:tcBorders>
              <w:bottom w:val="single" w:color="000000" w:sz="12" w:space="0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52/50</w:t>
            </w:r>
          </w:p>
        </w:tc>
        <w:tc>
          <w:tcPr>
            <w:tcW w:w="859" w:type="dxa"/>
            <w:tcBorders>
              <w:bottom w:val="single" w:color="000000" w:sz="12" w:space="0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45/44</w:t>
            </w:r>
          </w:p>
        </w:tc>
        <w:tc>
          <w:tcPr>
            <w:tcW w:w="559" w:type="dxa"/>
            <w:tcBorders>
              <w:bottom w:val="single" w:color="000000" w:sz="12" w:space="0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22/23</w:t>
            </w:r>
          </w:p>
        </w:tc>
        <w:tc>
          <w:tcPr>
            <w:tcW w:w="505" w:type="dxa"/>
            <w:tcBorders>
              <w:bottom w:val="single" w:color="000000" w:sz="12" w:space="0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 N/A</w:t>
            </w:r>
          </w:p>
        </w:tc>
        <w:tc>
          <w:tcPr>
            <w:tcW w:w="777" w:type="dxa"/>
            <w:tcBorders>
              <w:bottom w:val="single" w:color="000000" w:sz="12" w:space="0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95.9%(95.1%/96.7%)</w:t>
            </w:r>
          </w:p>
        </w:tc>
        <w:tc>
          <w:tcPr>
            <w:tcW w:w="2093" w:type="dxa"/>
            <w:tcBorders>
              <w:bottom w:val="single" w:color="000000" w:sz="12" w:space="0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Discontinued ≥ 5 half-livesbefore ablation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lang w:val="en-US" w:eastAsia="zh-CN"/>
              </w:rPr>
              <w:t xml:space="preserve">; 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2 weeks for amiodarone</w:t>
            </w:r>
          </w:p>
        </w:tc>
        <w:tc>
          <w:tcPr>
            <w:tcW w:w="1405" w:type="dxa"/>
            <w:tcBorders>
              <w:bottom w:val="single" w:color="000000" w:sz="12" w:space="0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Used if necessary (no exact time period)</w:t>
            </w:r>
          </w:p>
        </w:tc>
      </w:tr>
    </w:tbl>
    <w:p>
      <w:pPr>
        <w:spacing w:line="240" w:lineRule="auto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>
      <w:pPr>
        <w:spacing w:line="240" w:lineRule="auto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NOTE: </w:t>
      </w:r>
    </w:p>
    <w:p>
      <w:pPr>
        <w:spacing w:line="240" w:lineRule="auto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*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: This format means ‘CPAP/non-CPAP’.</w:t>
      </w:r>
    </w:p>
    <w:p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2MmQwMmFiOWU1Njg1MzgxOGMwNmMyMGU0MjJiMjAifQ=="/>
  </w:docVars>
  <w:rsids>
    <w:rsidRoot w:val="00000000"/>
    <w:rsid w:val="11B32218"/>
    <w:rsid w:val="260E17CA"/>
    <w:rsid w:val="785C0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650</Words>
  <Characters>3461</Characters>
  <Lines>0</Lines>
  <Paragraphs>0</Paragraphs>
  <TotalTime>0</TotalTime>
  <ScaleCrop>false</ScaleCrop>
  <LinksUpToDate>false</LinksUpToDate>
  <CharactersWithSpaces>3810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2022-11-11T11:03:00Z</dcterms:created>
  <dc:creator>Admin</dc:creator>
  <cp:lastModifiedBy>王宇鑫</cp:lastModifiedBy>
  <dcterms:modified xsi:type="dcterms:W3CDTF">2022-12-10T08:47:08Z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55821AF8B6BF4E41BB3F42B96D825A48</vt:lpwstr>
  </property>
</Properties>
</file>