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0D6FA" w14:textId="77777777" w:rsidR="00E83381" w:rsidRPr="00C977D0" w:rsidRDefault="00E83381" w:rsidP="00E8338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 1</w:t>
      </w:r>
    </w:p>
    <w:p w14:paraId="1CD40419" w14:textId="77777777" w:rsidR="00E83381" w:rsidRPr="00C977D0" w:rsidRDefault="00E83381" w:rsidP="00E83381">
      <w:pPr>
        <w:rPr>
          <w:rFonts w:ascii="Arial" w:hAnsi="Arial" w:cs="Arial"/>
          <w:b/>
          <w:bCs/>
          <w:sz w:val="24"/>
          <w:szCs w:val="24"/>
        </w:rPr>
      </w:pPr>
      <w:r w:rsidRPr="000B4A90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77581FC" wp14:editId="42086050">
            <wp:extent cx="5943600" cy="3344545"/>
            <wp:effectExtent l="0" t="0" r="0" b="8255"/>
            <wp:docPr id="6" name="Picture 6" descr="Table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,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DED4E" w14:textId="77777777" w:rsidR="00E83381" w:rsidRPr="005035F4" w:rsidRDefault="00E83381" w:rsidP="00E83381">
      <w:pPr>
        <w:rPr>
          <w:sz w:val="24"/>
          <w:szCs w:val="24"/>
        </w:rPr>
      </w:pPr>
    </w:p>
    <w:p w14:paraId="47FCC9A7" w14:textId="77777777" w:rsidR="00E83381" w:rsidRPr="00891762" w:rsidRDefault="00E83381" w:rsidP="00E83381">
      <w:pPr>
        <w:spacing w:after="80"/>
        <w:jc w:val="both"/>
        <w:rPr>
          <w:rFonts w:ascii="Arial" w:hAnsi="Arial" w:cs="Arial"/>
          <w:bCs/>
          <w:iCs/>
          <w:sz w:val="24"/>
          <w:szCs w:val="24"/>
        </w:rPr>
      </w:pPr>
      <w:r w:rsidRPr="00891762">
        <w:rPr>
          <w:rFonts w:ascii="Arial" w:hAnsi="Arial" w:cs="Arial"/>
          <w:b/>
          <w:bCs/>
          <w:iCs/>
          <w:sz w:val="24"/>
          <w:szCs w:val="24"/>
        </w:rPr>
        <w:t xml:space="preserve">Table 1: TFIIB interactions before and after treatment with </w:t>
      </w:r>
      <w:proofErr w:type="spellStart"/>
      <w:r w:rsidRPr="00891762">
        <w:rPr>
          <w:rFonts w:ascii="Arial" w:hAnsi="Arial" w:cs="Arial"/>
          <w:b/>
          <w:bCs/>
          <w:iCs/>
          <w:sz w:val="24"/>
          <w:szCs w:val="24"/>
        </w:rPr>
        <w:t>MNase</w:t>
      </w:r>
      <w:proofErr w:type="spellEnd"/>
      <w:r w:rsidRPr="00891762">
        <w:rPr>
          <w:rFonts w:ascii="Arial" w:hAnsi="Arial" w:cs="Arial"/>
          <w:b/>
          <w:bCs/>
          <w:iCs/>
          <w:sz w:val="24"/>
          <w:szCs w:val="24"/>
        </w:rPr>
        <w:t xml:space="preserve">. </w:t>
      </w:r>
      <w:r w:rsidRPr="00891762">
        <w:rPr>
          <w:rFonts w:ascii="Arial" w:hAnsi="Arial" w:cs="Arial"/>
          <w:bCs/>
          <w:iCs/>
          <w:sz w:val="24"/>
          <w:szCs w:val="24"/>
        </w:rPr>
        <w:t xml:space="preserve">The table shows BNSAF values for all interacting partners of TFIIB shown in figures 2, 3, and 4 before and after </w:t>
      </w:r>
      <w:proofErr w:type="spellStart"/>
      <w:r w:rsidRPr="00891762">
        <w:rPr>
          <w:rFonts w:ascii="Arial" w:hAnsi="Arial" w:cs="Arial"/>
          <w:bCs/>
          <w:iCs/>
          <w:sz w:val="24"/>
          <w:szCs w:val="24"/>
        </w:rPr>
        <w:t>MNase</w:t>
      </w:r>
      <w:proofErr w:type="spellEnd"/>
      <w:r w:rsidRPr="00891762">
        <w:rPr>
          <w:rFonts w:ascii="Arial" w:hAnsi="Arial" w:cs="Arial"/>
          <w:bCs/>
          <w:iCs/>
          <w:sz w:val="24"/>
          <w:szCs w:val="24"/>
        </w:rPr>
        <w:t xml:space="preserve"> digestion. The red boxes indicate that the interaction of TFIIB with the protein was completely abolished in the presence of </w:t>
      </w:r>
      <w:proofErr w:type="spellStart"/>
      <w:r w:rsidRPr="00891762">
        <w:rPr>
          <w:rFonts w:ascii="Arial" w:hAnsi="Arial" w:cs="Arial"/>
          <w:bCs/>
          <w:iCs/>
          <w:sz w:val="24"/>
          <w:szCs w:val="24"/>
        </w:rPr>
        <w:t>MNase</w:t>
      </w:r>
      <w:proofErr w:type="spellEnd"/>
      <w:r w:rsidRPr="00891762">
        <w:rPr>
          <w:rFonts w:ascii="Arial" w:hAnsi="Arial" w:cs="Arial"/>
          <w:bCs/>
          <w:iCs/>
          <w:sz w:val="24"/>
          <w:szCs w:val="24"/>
        </w:rPr>
        <w:t xml:space="preserve">, while yellow boxes indicate that interaction of the protein with TFIIB was compromised in the presence of </w:t>
      </w:r>
      <w:proofErr w:type="spellStart"/>
      <w:r w:rsidRPr="00891762">
        <w:rPr>
          <w:rFonts w:ascii="Arial" w:hAnsi="Arial" w:cs="Arial"/>
          <w:bCs/>
          <w:iCs/>
          <w:sz w:val="24"/>
          <w:szCs w:val="24"/>
        </w:rPr>
        <w:t>MNase</w:t>
      </w:r>
      <w:proofErr w:type="spellEnd"/>
      <w:r w:rsidRPr="00891762">
        <w:rPr>
          <w:rFonts w:ascii="Arial" w:hAnsi="Arial" w:cs="Arial"/>
          <w:bCs/>
          <w:iCs/>
          <w:sz w:val="24"/>
          <w:szCs w:val="24"/>
        </w:rPr>
        <w:t xml:space="preserve">. White boxes depict the interaction being completely unaffected by </w:t>
      </w:r>
      <w:proofErr w:type="spellStart"/>
      <w:r w:rsidRPr="00891762">
        <w:rPr>
          <w:rFonts w:ascii="Arial" w:hAnsi="Arial" w:cs="Arial"/>
          <w:bCs/>
          <w:iCs/>
          <w:sz w:val="24"/>
          <w:szCs w:val="24"/>
        </w:rPr>
        <w:t>MNase</w:t>
      </w:r>
      <w:proofErr w:type="spellEnd"/>
      <w:r w:rsidRPr="00891762">
        <w:rPr>
          <w:rFonts w:ascii="Arial" w:hAnsi="Arial" w:cs="Arial"/>
          <w:bCs/>
          <w:iCs/>
          <w:sz w:val="24"/>
          <w:szCs w:val="24"/>
        </w:rPr>
        <w:t xml:space="preserve">. </w:t>
      </w:r>
    </w:p>
    <w:p w14:paraId="0635A0CA" w14:textId="77777777" w:rsidR="00B136E9" w:rsidRDefault="00B136E9"/>
    <w:sectPr w:rsidR="00B136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81"/>
    <w:rsid w:val="00B136E9"/>
    <w:rsid w:val="00E8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FD591"/>
  <w15:chartTrackingRefBased/>
  <w15:docId w15:val="{13BC75C8-DAF6-418F-ACE4-A13CBBDB1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3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2022-12-14T22:06:00Z</dcterms:created>
  <dcterms:modified xsi:type="dcterms:W3CDTF">2022-12-14T22:06:00Z</dcterms:modified>
</cp:coreProperties>
</file>