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C2FD" w14:textId="058D163C" w:rsidR="00E7122A" w:rsidRDefault="0043173B" w:rsidP="00C277E1">
      <w:pPr>
        <w:jc w:val="center"/>
      </w:pPr>
      <w:r>
        <w:rPr>
          <w:noProof/>
        </w:rPr>
        <w:drawing>
          <wp:inline distT="0" distB="0" distL="0" distR="0" wp14:anchorId="109AC109" wp14:editId="493A3EEC">
            <wp:extent cx="1980000" cy="1876304"/>
            <wp:effectExtent l="0" t="0" r="127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8FED1EBC-78DC-24E0-7ABD-C14CB90E28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8FED1EBC-78DC-24E0-7ABD-C14CB90E28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87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01D3A" w14:textId="6A9B5312" w:rsidR="00C277E1" w:rsidRPr="00C277E1" w:rsidRDefault="00C277E1" w:rsidP="00C277E1">
      <w:pPr>
        <w:rPr>
          <w:rFonts w:ascii="Times New Roman" w:hAnsi="Times New Roman" w:cs="Times New Roman"/>
          <w:sz w:val="24"/>
          <w:szCs w:val="24"/>
        </w:rPr>
      </w:pPr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PSB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-based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Rp@Al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 gel effectively destroys drug-resistant bacteria via the photothermal effect of the contained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BChl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, preventing recurrent infections with drug-resistant bacteria via immune modulation. Mechanistically,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Rp@Al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 exerts an adjuvant-like effect to enhance the antigen presentation of activated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DCs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>, thereby priming the T</w:t>
      </w:r>
      <w:r w:rsidRPr="00C277E1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H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>1/T</w:t>
      </w:r>
      <w:r w:rsidRPr="00C277E1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H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2 immune response. This results in a protective pathogen-specific immunological memory against recurrent </w:t>
      </w:r>
      <w:r w:rsidRPr="00C277E1">
        <w:rPr>
          <w:rFonts w:ascii="Times New Roman" w:hAnsi="Times New Roman" w:cs="Times New Roman"/>
          <w:i/>
          <w:sz w:val="24"/>
          <w:szCs w:val="24"/>
          <w:lang w:val="en-GB"/>
        </w:rPr>
        <w:t>MRSA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 infections.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PSB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, photosynthetic bacteria;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Rp@Al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C277E1">
        <w:rPr>
          <w:rFonts w:ascii="Times New Roman" w:hAnsi="Times New Roman" w:cs="Times New Roman"/>
          <w:i/>
          <w:sz w:val="24"/>
          <w:szCs w:val="24"/>
          <w:lang w:val="en-GB"/>
        </w:rPr>
        <w:t>Rhodopseudomonas</w:t>
      </w:r>
      <w:proofErr w:type="spellEnd"/>
      <w:r w:rsidRPr="00C277E1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palustris@Aluminium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 adjuvant;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BChl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, bacteriochlorophyll; </w:t>
      </w:r>
      <w:r w:rsidRPr="00C277E1">
        <w:rPr>
          <w:rFonts w:ascii="Times New Roman" w:hAnsi="Times New Roman" w:cs="Times New Roman"/>
          <w:i/>
          <w:sz w:val="24"/>
          <w:szCs w:val="24"/>
          <w:lang w:val="en-GB"/>
        </w:rPr>
        <w:t>MRSA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, methicillin-resistant </w:t>
      </w:r>
      <w:r w:rsidRPr="00C277E1">
        <w:rPr>
          <w:rFonts w:ascii="Times New Roman" w:hAnsi="Times New Roman" w:cs="Times New Roman"/>
          <w:i/>
          <w:sz w:val="24"/>
          <w:szCs w:val="24"/>
          <w:lang w:val="en-GB"/>
        </w:rPr>
        <w:t>Staphylococcus aureus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proofErr w:type="spellStart"/>
      <w:r w:rsidRPr="00C277E1">
        <w:rPr>
          <w:rFonts w:ascii="Times New Roman" w:hAnsi="Times New Roman" w:cs="Times New Roman"/>
          <w:sz w:val="24"/>
          <w:szCs w:val="24"/>
          <w:lang w:val="en-GB"/>
        </w:rPr>
        <w:t>DCs</w:t>
      </w:r>
      <w:proofErr w:type="spellEnd"/>
      <w:r w:rsidRPr="00C277E1">
        <w:rPr>
          <w:rFonts w:ascii="Times New Roman" w:hAnsi="Times New Roman" w:cs="Times New Roman"/>
          <w:sz w:val="24"/>
          <w:szCs w:val="24"/>
          <w:lang w:val="en-GB"/>
        </w:rPr>
        <w:t>, dendritic cells; T</w:t>
      </w:r>
      <w:r w:rsidRPr="00C277E1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H</w:t>
      </w:r>
      <w:r w:rsidRPr="00C277E1">
        <w:rPr>
          <w:rFonts w:ascii="Times New Roman" w:hAnsi="Times New Roman" w:cs="Times New Roman"/>
          <w:sz w:val="24"/>
          <w:szCs w:val="24"/>
          <w:lang w:val="en-GB"/>
        </w:rPr>
        <w:t>, T helper.</w:t>
      </w:r>
    </w:p>
    <w:sectPr w:rsidR="00C277E1" w:rsidRPr="00C27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1AF"/>
    <w:rsid w:val="0043173B"/>
    <w:rsid w:val="007031AF"/>
    <w:rsid w:val="00C277E1"/>
    <w:rsid w:val="00E7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6063C"/>
  <w15:chartTrackingRefBased/>
  <w15:docId w15:val="{65BEFEB9-DBA5-45AA-8556-63AFFCB5B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徐有翠</dc:creator>
  <cp:keywords/>
  <dc:description/>
  <cp:lastModifiedBy>徐有翠</cp:lastModifiedBy>
  <cp:revision>3</cp:revision>
  <dcterms:created xsi:type="dcterms:W3CDTF">2022-11-28T07:02:00Z</dcterms:created>
  <dcterms:modified xsi:type="dcterms:W3CDTF">2022-11-28T10:59:00Z</dcterms:modified>
</cp:coreProperties>
</file>