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47FB16" w14:textId="77777777" w:rsidR="00EA13BC" w:rsidRPr="00EA13BC" w:rsidRDefault="00EA13BC" w:rsidP="00EA13BC">
      <w:pPr>
        <w:spacing w:after="120" w:line="360" w:lineRule="auto"/>
        <w:rPr>
          <w:b/>
          <w:sz w:val="28"/>
          <w:szCs w:val="28"/>
        </w:rPr>
      </w:pPr>
      <w:r w:rsidRPr="00EA13BC">
        <w:rPr>
          <w:b/>
          <w:sz w:val="28"/>
          <w:szCs w:val="28"/>
        </w:rPr>
        <w:t>Analysis of vaccine-induced immune responses according to the immunization sequences of mRNA and protein vaccines</w:t>
      </w:r>
    </w:p>
    <w:p w14:paraId="09815AC6" w14:textId="77777777" w:rsidR="00EA13BC" w:rsidRPr="00EA13BC" w:rsidRDefault="00EA13BC" w:rsidP="00EA13BC">
      <w:pPr>
        <w:spacing w:line="480" w:lineRule="auto"/>
      </w:pPr>
    </w:p>
    <w:p w14:paraId="08118AC5" w14:textId="77777777" w:rsidR="00EA13BC" w:rsidRPr="00EA13BC" w:rsidRDefault="00EA13BC" w:rsidP="00EA13BC">
      <w:pPr>
        <w:spacing w:after="160" w:line="480" w:lineRule="auto"/>
        <w:jc w:val="both"/>
        <w:rPr>
          <w:b/>
        </w:rPr>
      </w:pPr>
      <w:r w:rsidRPr="00EA13BC">
        <w:rPr>
          <w:b/>
        </w:rPr>
        <w:t>Supplementary materials</w:t>
      </w:r>
    </w:p>
    <w:p w14:paraId="2405581F" w14:textId="77777777" w:rsidR="00EA13BC" w:rsidRPr="00EA13BC" w:rsidRDefault="00EA13BC" w:rsidP="00EA13BC">
      <w:pPr>
        <w:spacing w:line="480" w:lineRule="auto"/>
        <w:rPr>
          <w:b/>
        </w:rPr>
      </w:pPr>
    </w:p>
    <w:p w14:paraId="7C126BB5" w14:textId="77777777" w:rsidR="00EA13BC" w:rsidRPr="000A1CF3" w:rsidRDefault="00EA13BC" w:rsidP="00EA13BC">
      <w:pPr>
        <w:spacing w:before="240" w:after="60" w:line="480" w:lineRule="auto"/>
        <w:ind w:right="562"/>
      </w:pPr>
      <w:r w:rsidRPr="000A1CF3">
        <w:rPr>
          <w:b/>
          <w:bCs/>
        </w:rPr>
        <w:t>Hemagglutination inhibition (HI) assay</w:t>
      </w:r>
    </w:p>
    <w:p w14:paraId="69BB05C6" w14:textId="39928A84" w:rsidR="00EA13BC" w:rsidRPr="00BE25DA" w:rsidRDefault="00EA13BC" w:rsidP="00EA13BC">
      <w:pPr>
        <w:spacing w:before="240" w:after="60" w:line="480" w:lineRule="auto"/>
        <w:rPr>
          <w:rFonts w:asciiTheme="majorBidi" w:hAnsiTheme="majorBidi" w:cstheme="majorBidi"/>
        </w:rPr>
      </w:pPr>
      <w:r w:rsidRPr="00EA13BC">
        <w:t>The mouse sera were treated with a receptor-destroying enzyme (Denka Seiken, Tokyo, Japan) for 16 h at 37°C and then inactivated for 30 min at 56°C to eliminate non-specific responses. All sera were then</w:t>
      </w:r>
      <w:r w:rsidRPr="00BE25DA">
        <w:rPr>
          <w:rFonts w:asciiTheme="majorBidi" w:hAnsiTheme="majorBidi" w:cstheme="majorBidi"/>
        </w:rPr>
        <w:t xml:space="preserve"> 2-fold serially diluted in cold </w:t>
      </w:r>
      <w:r w:rsidR="002D444D">
        <w:rPr>
          <w:rFonts w:asciiTheme="majorBidi" w:hAnsiTheme="majorBidi" w:cstheme="majorBidi"/>
        </w:rPr>
        <w:t>phosphate-buffered solution (</w:t>
      </w:r>
      <w:r w:rsidRPr="00BE25DA">
        <w:rPr>
          <w:rFonts w:asciiTheme="majorBidi" w:hAnsiTheme="majorBidi" w:cstheme="majorBidi"/>
        </w:rPr>
        <w:t>PBS</w:t>
      </w:r>
      <w:r w:rsidR="002D444D">
        <w:rPr>
          <w:rFonts w:asciiTheme="majorBidi" w:hAnsiTheme="majorBidi" w:cstheme="majorBidi"/>
        </w:rPr>
        <w:t>)</w:t>
      </w:r>
      <w:r w:rsidRPr="00BE25DA">
        <w:rPr>
          <w:rFonts w:asciiTheme="majorBidi" w:hAnsiTheme="majorBidi" w:cstheme="majorBidi"/>
        </w:rPr>
        <w:t xml:space="preserve"> in 96-well V-bottom plates (Corning, NY, USA) and incubated with standardized viral suspensions (4 HA U/25 μL) at </w:t>
      </w:r>
      <w:r>
        <w:rPr>
          <w:rFonts w:asciiTheme="majorBidi" w:hAnsiTheme="majorBidi" w:cstheme="majorBidi"/>
        </w:rPr>
        <w:t>25</w:t>
      </w:r>
      <w:r w:rsidRPr="000563FA">
        <w:rPr>
          <w:rFonts w:asciiTheme="majorBidi" w:hAnsiTheme="majorBidi" w:cstheme="majorBidi"/>
        </w:rPr>
        <w:t>℃</w:t>
      </w:r>
      <w:r w:rsidRPr="00BE25DA">
        <w:rPr>
          <w:rFonts w:asciiTheme="majorBidi" w:hAnsiTheme="majorBidi" w:cstheme="majorBidi"/>
        </w:rPr>
        <w:t xml:space="preserve"> for 1 h. Fifty microliters of 1% chicken </w:t>
      </w:r>
      <w:r w:rsidR="000563FA">
        <w:rPr>
          <w:rFonts w:asciiTheme="majorBidi" w:hAnsiTheme="majorBidi" w:cstheme="majorBidi"/>
        </w:rPr>
        <w:t>red blood cells (</w:t>
      </w:r>
      <w:r w:rsidRPr="00BE25DA">
        <w:rPr>
          <w:rFonts w:asciiTheme="majorBidi" w:hAnsiTheme="majorBidi" w:cstheme="majorBidi"/>
        </w:rPr>
        <w:t>RBCs</w:t>
      </w:r>
      <w:r w:rsidR="000563FA">
        <w:rPr>
          <w:rFonts w:asciiTheme="majorBidi" w:hAnsiTheme="majorBidi" w:cstheme="majorBidi"/>
        </w:rPr>
        <w:t>)</w:t>
      </w:r>
      <w:r w:rsidRPr="00BE25DA">
        <w:rPr>
          <w:rFonts w:asciiTheme="majorBidi" w:hAnsiTheme="majorBidi" w:cstheme="majorBidi"/>
        </w:rPr>
        <w:t xml:space="preserve"> were added, and the plates were incubated for at least 30 min at room temperature. </w:t>
      </w:r>
      <w:r>
        <w:rPr>
          <w:rFonts w:asciiTheme="majorBidi" w:hAnsiTheme="majorBidi" w:cstheme="majorBidi"/>
        </w:rPr>
        <w:t>The g</w:t>
      </w:r>
      <w:r w:rsidRPr="00BE25DA">
        <w:rPr>
          <w:rFonts w:asciiTheme="majorBidi" w:hAnsiTheme="majorBidi" w:cstheme="majorBidi"/>
        </w:rPr>
        <w:t>eometric mean of the antibody titers (Geometric mean titers; GMT) was expressed as the reciprocal of the highest serum dilution that showed complete inhibition of agglutination. When the initial dilution was 1/10, the lower limit of the detectable antibody titer was 1:10. Titers &lt;1:10 were assigned a value of 1:5 for calculation.</w:t>
      </w:r>
    </w:p>
    <w:p w14:paraId="46D9630F" w14:textId="77777777" w:rsidR="00EA13BC" w:rsidRPr="00BE25DA" w:rsidRDefault="00EA13BC" w:rsidP="00EA13BC">
      <w:pPr>
        <w:spacing w:before="240" w:after="60" w:line="480" w:lineRule="auto"/>
        <w:ind w:right="562"/>
        <w:rPr>
          <w:rFonts w:asciiTheme="majorBidi" w:hAnsiTheme="majorBidi" w:cstheme="majorBidi"/>
          <w:b/>
          <w:bCs/>
          <w:i/>
          <w:iCs/>
        </w:rPr>
      </w:pPr>
      <w:r w:rsidRPr="00BE25DA">
        <w:rPr>
          <w:rFonts w:asciiTheme="majorBidi" w:hAnsiTheme="majorBidi" w:cstheme="majorBidi"/>
          <w:b/>
          <w:bCs/>
          <w:i/>
          <w:iCs/>
        </w:rPr>
        <w:t>Microneutralization (MN) assay</w:t>
      </w:r>
    </w:p>
    <w:p w14:paraId="1CBA0008" w14:textId="77777777" w:rsidR="00EA13BC" w:rsidRPr="00BE25DA" w:rsidRDefault="00EA13BC" w:rsidP="00EA13BC">
      <w:pPr>
        <w:spacing w:before="240" w:after="60" w:line="480" w:lineRule="auto"/>
        <w:rPr>
          <w:rFonts w:asciiTheme="majorBidi" w:hAnsiTheme="majorBidi" w:cstheme="majorBidi"/>
        </w:rPr>
      </w:pPr>
      <w:r w:rsidRPr="00BE25DA">
        <w:rPr>
          <w:rFonts w:asciiTheme="majorBidi" w:hAnsiTheme="majorBidi" w:cstheme="majorBidi"/>
        </w:rPr>
        <w:t>The mouse sera were inactivated for 30 min at 56°C. All sera were then 2</w:t>
      </w:r>
      <w:r w:rsidRPr="00BE25DA">
        <w:rPr>
          <w:rFonts w:asciiTheme="majorBidi" w:eastAsia="Calibri" w:hAnsiTheme="majorBidi" w:cstheme="majorBidi"/>
        </w:rPr>
        <w:t>‐</w:t>
      </w:r>
      <w:r w:rsidRPr="00BE25DA">
        <w:rPr>
          <w:rFonts w:asciiTheme="majorBidi" w:hAnsiTheme="majorBidi" w:cstheme="majorBidi"/>
        </w:rPr>
        <w:t>fold serially diluted in serum</w:t>
      </w:r>
      <w:r>
        <w:rPr>
          <w:rFonts w:asciiTheme="majorBidi" w:hAnsiTheme="majorBidi" w:cstheme="majorBidi"/>
        </w:rPr>
        <w:t>-</w:t>
      </w:r>
      <w:r w:rsidRPr="00BE25DA">
        <w:rPr>
          <w:rFonts w:asciiTheme="majorBidi" w:hAnsiTheme="majorBidi" w:cstheme="majorBidi"/>
        </w:rPr>
        <w:t>free medium starting from 1:10 in 96-well cell culture plates and incubated with the same volume of viral suspension containing 100 TCID</w:t>
      </w:r>
      <w:r w:rsidRPr="00BE25DA">
        <w:rPr>
          <w:rFonts w:asciiTheme="majorBidi" w:hAnsiTheme="majorBidi" w:cstheme="majorBidi"/>
          <w:vertAlign w:val="subscript"/>
        </w:rPr>
        <w:t>50</w:t>
      </w:r>
      <w:r w:rsidRPr="00BE25DA">
        <w:rPr>
          <w:rFonts w:asciiTheme="majorBidi" w:hAnsiTheme="majorBidi" w:cstheme="majorBidi"/>
        </w:rPr>
        <w:t xml:space="preserve"> </w:t>
      </w:r>
      <w:r>
        <w:rPr>
          <w:rFonts w:asciiTheme="majorBidi" w:hAnsiTheme="majorBidi" w:cstheme="majorBidi"/>
        </w:rPr>
        <w:t>(</w:t>
      </w:r>
      <w:r w:rsidRPr="00F251DB">
        <w:rPr>
          <w:rFonts w:asciiTheme="majorBidi" w:hAnsiTheme="majorBidi" w:cstheme="majorBidi"/>
        </w:rPr>
        <w:t>median tissue culture infectious dose</w:t>
      </w:r>
      <w:r>
        <w:rPr>
          <w:rFonts w:asciiTheme="majorBidi" w:hAnsiTheme="majorBidi" w:cstheme="majorBidi"/>
        </w:rPr>
        <w:t xml:space="preserve">) </w:t>
      </w:r>
      <w:r w:rsidRPr="00BE25DA">
        <w:rPr>
          <w:rFonts w:asciiTheme="majorBidi" w:hAnsiTheme="majorBidi" w:cstheme="majorBidi"/>
        </w:rPr>
        <w:t>of influenza H1N1 at 37°C for 1 h in a humidified atmosphere with 5% CO</w:t>
      </w:r>
      <w:r w:rsidRPr="00BE25DA">
        <w:rPr>
          <w:rFonts w:asciiTheme="majorBidi" w:hAnsiTheme="majorBidi" w:cstheme="majorBidi"/>
          <w:vertAlign w:val="subscript"/>
        </w:rPr>
        <w:t>2</w:t>
      </w:r>
      <w:r w:rsidRPr="00BE25DA">
        <w:rPr>
          <w:rFonts w:asciiTheme="majorBidi" w:hAnsiTheme="majorBidi" w:cstheme="majorBidi"/>
        </w:rPr>
        <w:t xml:space="preserve">. After incubation, 50 μL of the mixture at each dilution was added to </w:t>
      </w:r>
      <w:proofErr w:type="spellStart"/>
      <w:r w:rsidRPr="00BE25DA">
        <w:rPr>
          <w:rFonts w:asciiTheme="majorBidi" w:eastAsia="Times New Roman" w:hAnsiTheme="majorBidi" w:cstheme="majorBidi"/>
          <w:color w:val="000000" w:themeColor="text1"/>
          <w:shd w:val="clear" w:color="auto" w:fill="FFFFFF"/>
        </w:rPr>
        <w:t>Madin</w:t>
      </w:r>
      <w:proofErr w:type="spellEnd"/>
      <w:r w:rsidRPr="00BE25DA">
        <w:rPr>
          <w:rFonts w:asciiTheme="majorBidi" w:eastAsia="Times New Roman" w:hAnsiTheme="majorBidi" w:cstheme="majorBidi"/>
          <w:color w:val="000000" w:themeColor="text1"/>
          <w:shd w:val="clear" w:color="auto" w:fill="FFFFFF"/>
        </w:rPr>
        <w:t>-Darby Canine Kidney </w:t>
      </w:r>
      <w:r w:rsidRPr="00BE25DA">
        <w:rPr>
          <w:rFonts w:asciiTheme="majorBidi" w:eastAsia="Times New Roman" w:hAnsiTheme="majorBidi" w:cstheme="majorBidi"/>
        </w:rPr>
        <w:t>(</w:t>
      </w:r>
      <w:r w:rsidRPr="00BE25DA">
        <w:rPr>
          <w:rFonts w:asciiTheme="majorBidi" w:hAnsiTheme="majorBidi" w:cstheme="majorBidi"/>
        </w:rPr>
        <w:t xml:space="preserve">MDCK) cell monolayer and incubated at 37°C for 2 h in a humidified atmosphere </w:t>
      </w:r>
      <w:r w:rsidRPr="00BE25DA">
        <w:rPr>
          <w:rFonts w:asciiTheme="majorBidi" w:hAnsiTheme="majorBidi" w:cstheme="majorBidi"/>
        </w:rPr>
        <w:lastRenderedPageBreak/>
        <w:t>with 5% CO</w:t>
      </w:r>
      <w:r w:rsidRPr="00BE25DA">
        <w:rPr>
          <w:rFonts w:asciiTheme="majorBidi" w:hAnsiTheme="majorBidi" w:cstheme="majorBidi"/>
          <w:vertAlign w:val="subscript"/>
        </w:rPr>
        <w:t>2</w:t>
      </w:r>
      <w:r w:rsidRPr="00BE25DA">
        <w:rPr>
          <w:rFonts w:asciiTheme="majorBidi" w:hAnsiTheme="majorBidi" w:cstheme="majorBidi"/>
        </w:rPr>
        <w:t>. Then, 50 μL RPMI-1640 medium containing 2% FBS was added, and the plates were incubated for 24 h at 37°C in a humidified atmosphere with 5% CO</w:t>
      </w:r>
      <w:r w:rsidRPr="00BE25DA">
        <w:rPr>
          <w:rFonts w:asciiTheme="majorBidi" w:hAnsiTheme="majorBidi" w:cstheme="majorBidi"/>
          <w:vertAlign w:val="subscript"/>
        </w:rPr>
        <w:t>2.</w:t>
      </w:r>
      <w:r w:rsidRPr="00BE25DA">
        <w:rPr>
          <w:rFonts w:asciiTheme="majorBidi" w:hAnsiTheme="majorBidi" w:cstheme="majorBidi"/>
        </w:rPr>
        <w:t xml:space="preserve"> After incubation, the supernatant was carefully discarded, and 100 μL 4% formaldehyde solution (DeJong, Sheung, South Korea) was added. After 4 h incubation at room temperature, the 4% formaldehyde solution was discarded, </w:t>
      </w:r>
      <w:r>
        <w:rPr>
          <w:rFonts w:asciiTheme="majorBidi" w:hAnsiTheme="majorBidi" w:cstheme="majorBidi"/>
        </w:rPr>
        <w:t xml:space="preserve">and </w:t>
      </w:r>
      <w:r w:rsidRPr="00BE25DA">
        <w:rPr>
          <w:rFonts w:asciiTheme="majorBidi" w:hAnsiTheme="majorBidi" w:cstheme="majorBidi"/>
        </w:rPr>
        <w:t>100 μL 0.1% crystal violet solution (Sigma-Aldrich, MO, USA) was added and incubated for 30 min. Afterward, the crystal violet solution was discarded</w:t>
      </w:r>
      <w:r>
        <w:rPr>
          <w:rFonts w:asciiTheme="majorBidi" w:hAnsiTheme="majorBidi" w:cstheme="majorBidi"/>
        </w:rPr>
        <w:t>,</w:t>
      </w:r>
      <w:r w:rsidRPr="00BE25DA">
        <w:rPr>
          <w:rFonts w:asciiTheme="majorBidi" w:hAnsiTheme="majorBidi" w:cstheme="majorBidi"/>
        </w:rPr>
        <w:t xml:space="preserve"> and the cell monolayer was washed with tap water. The results were evaluated under a microscope</w:t>
      </w:r>
      <w:r>
        <w:rPr>
          <w:rFonts w:asciiTheme="majorBidi" w:hAnsiTheme="majorBidi" w:cstheme="majorBidi"/>
        </w:rPr>
        <w:t xml:space="preserve"> (Olympus, Tokyo, Japan)</w:t>
      </w:r>
      <w:r w:rsidRPr="00BE25DA">
        <w:rPr>
          <w:rFonts w:asciiTheme="majorBidi" w:hAnsiTheme="majorBidi" w:cstheme="majorBidi"/>
        </w:rPr>
        <w:t>. The highest protective serum dilution was considered as the neutralization titer.</w:t>
      </w:r>
    </w:p>
    <w:p w14:paraId="269FF49F" w14:textId="77777777" w:rsidR="00EA13BC" w:rsidRDefault="00EA13BC" w:rsidP="00EA13BC">
      <w:pPr>
        <w:spacing w:line="480" w:lineRule="auto"/>
        <w:rPr>
          <w:b/>
        </w:rPr>
      </w:pPr>
    </w:p>
    <w:p w14:paraId="617836B3" w14:textId="77777777" w:rsidR="00EA13BC" w:rsidRPr="002D444D" w:rsidRDefault="00EA13BC" w:rsidP="00EA13BC">
      <w:pPr>
        <w:spacing w:before="240" w:after="60" w:line="480" w:lineRule="auto"/>
        <w:ind w:right="562"/>
        <w:rPr>
          <w:rFonts w:asciiTheme="majorBidi" w:hAnsiTheme="majorBidi" w:cstheme="majorBidi"/>
          <w:b/>
          <w:bCs/>
        </w:rPr>
      </w:pPr>
      <w:r w:rsidRPr="002D444D">
        <w:rPr>
          <w:rFonts w:asciiTheme="majorBidi" w:hAnsiTheme="majorBidi" w:cstheme="majorBidi"/>
          <w:b/>
          <w:bCs/>
        </w:rPr>
        <w:t>Flow cytometry</w:t>
      </w:r>
    </w:p>
    <w:p w14:paraId="5BD7610B" w14:textId="49567DE4" w:rsidR="00EA13BC" w:rsidRPr="00BE25DA" w:rsidRDefault="00EA13BC" w:rsidP="00EA13BC">
      <w:pPr>
        <w:spacing w:before="240" w:after="60" w:line="480" w:lineRule="auto"/>
        <w:rPr>
          <w:rFonts w:asciiTheme="majorBidi" w:hAnsiTheme="majorBidi" w:cstheme="majorBidi"/>
        </w:rPr>
      </w:pPr>
      <w:r w:rsidRPr="00BE25DA">
        <w:rPr>
          <w:rFonts w:asciiTheme="majorBidi" w:hAnsiTheme="majorBidi" w:cstheme="majorBidi"/>
        </w:rPr>
        <w:t>For flow cytometry, 1 × 10</w:t>
      </w:r>
      <w:r w:rsidRPr="00BE25DA">
        <w:rPr>
          <w:rFonts w:asciiTheme="majorBidi" w:hAnsiTheme="majorBidi" w:cstheme="majorBidi"/>
          <w:vertAlign w:val="superscript"/>
        </w:rPr>
        <w:t>6</w:t>
      </w:r>
      <w:r w:rsidRPr="00BE25DA">
        <w:rPr>
          <w:rFonts w:asciiTheme="majorBidi" w:hAnsiTheme="majorBidi" w:cstheme="majorBidi"/>
        </w:rPr>
        <w:t xml:space="preserve"> splenocytes were seeded in a 96-well round-bottomed plate. Cells were stimulated in the same manner as in the </w:t>
      </w:r>
      <w:r w:rsidR="002D444D">
        <w:rPr>
          <w:rFonts w:asciiTheme="majorBidi" w:eastAsia="Times New Roman" w:hAnsiTheme="majorBidi" w:cstheme="majorBidi"/>
        </w:rPr>
        <w:t>e</w:t>
      </w:r>
      <w:r w:rsidR="002D444D" w:rsidRPr="00675109">
        <w:rPr>
          <w:rFonts w:asciiTheme="majorBidi" w:eastAsia="Times New Roman" w:hAnsiTheme="majorBidi" w:cstheme="majorBidi"/>
        </w:rPr>
        <w:t xml:space="preserve">nzyme-linked </w:t>
      </w:r>
      <w:proofErr w:type="spellStart"/>
      <w:r w:rsidR="002D444D" w:rsidRPr="00675109">
        <w:rPr>
          <w:rFonts w:asciiTheme="majorBidi" w:eastAsia="Times New Roman" w:hAnsiTheme="majorBidi" w:cstheme="majorBidi"/>
        </w:rPr>
        <w:t>immunospot</w:t>
      </w:r>
      <w:proofErr w:type="spellEnd"/>
      <w:r w:rsidR="002D444D" w:rsidRPr="00675109">
        <w:rPr>
          <w:rFonts w:asciiTheme="majorBidi" w:eastAsia="Times New Roman" w:hAnsiTheme="majorBidi" w:cstheme="majorBidi"/>
        </w:rPr>
        <w:t xml:space="preserve"> (ELISpot)</w:t>
      </w:r>
      <w:r w:rsidRPr="00BE25DA">
        <w:rPr>
          <w:rFonts w:asciiTheme="majorBidi" w:hAnsiTheme="majorBidi" w:cstheme="majorBidi"/>
        </w:rPr>
        <w:t xml:space="preserve"> assay. One hour after peptide stimulation, </w:t>
      </w:r>
      <w:proofErr w:type="spellStart"/>
      <w:r w:rsidRPr="00BE25DA">
        <w:rPr>
          <w:rFonts w:asciiTheme="majorBidi" w:hAnsiTheme="majorBidi" w:cstheme="majorBidi"/>
        </w:rPr>
        <w:t>GolgiPlug</w:t>
      </w:r>
      <w:proofErr w:type="spellEnd"/>
      <w:r w:rsidRPr="00BE25DA">
        <w:rPr>
          <w:rFonts w:asciiTheme="majorBidi" w:hAnsiTheme="majorBidi" w:cstheme="majorBidi"/>
        </w:rPr>
        <w:t>™ (BD</w:t>
      </w:r>
      <w:r>
        <w:rPr>
          <w:rFonts w:asciiTheme="majorBidi" w:hAnsiTheme="majorBidi" w:cstheme="majorBidi"/>
        </w:rPr>
        <w:t xml:space="preserve">, NJ, </w:t>
      </w:r>
      <w:r w:rsidRPr="00BE25DA">
        <w:rPr>
          <w:rFonts w:asciiTheme="majorBidi" w:hAnsiTheme="majorBidi" w:cstheme="majorBidi"/>
        </w:rPr>
        <w:t>USA) was added to each well following the manufacturer's instructions. The viability of the splenocytes w</w:t>
      </w:r>
      <w:r>
        <w:rPr>
          <w:rFonts w:asciiTheme="majorBidi" w:hAnsiTheme="majorBidi" w:cstheme="majorBidi"/>
        </w:rPr>
        <w:t>as</w:t>
      </w:r>
      <w:r w:rsidRPr="00BE25DA">
        <w:rPr>
          <w:rFonts w:asciiTheme="majorBidi" w:hAnsiTheme="majorBidi" w:cstheme="majorBidi"/>
        </w:rPr>
        <w:t xml:space="preserve"> measured </w:t>
      </w:r>
      <w:r>
        <w:rPr>
          <w:rFonts w:asciiTheme="majorBidi" w:hAnsiTheme="majorBidi" w:cstheme="majorBidi"/>
        </w:rPr>
        <w:t xml:space="preserve">using the </w:t>
      </w:r>
      <w:r w:rsidRPr="00BE25DA">
        <w:rPr>
          <w:rFonts w:asciiTheme="majorBidi" w:hAnsiTheme="majorBidi" w:cstheme="majorBidi"/>
        </w:rPr>
        <w:t>LIVE/DEAD™ Fixable Aqua Dead Cell Stain Kit (L34966, Invitrogen</w:t>
      </w:r>
      <w:r w:rsidR="002D444D" w:rsidRPr="00BE25DA">
        <w:rPr>
          <w:rFonts w:asciiTheme="majorBidi" w:hAnsiTheme="majorBidi" w:cstheme="majorBidi"/>
          <w:bCs/>
        </w:rPr>
        <w:t>, MA, USA</w:t>
      </w:r>
      <w:r w:rsidRPr="00BE25DA">
        <w:rPr>
          <w:rFonts w:asciiTheme="majorBidi" w:hAnsiTheme="majorBidi" w:cstheme="majorBidi"/>
        </w:rPr>
        <w:t xml:space="preserve">). After 5 h of peptide stimulation, the cells were blocked and stained using the following antibodies: CD16/CD32 (Invitrogen), CD103-eFlour450-labeled (clone 2E7, Invitrogen), CD4-APC-Cy7-labeled (clone GK1.5, eBioscience, CA, USA), BCL-6-BV421-labeled (clone K112-91, BD), CD8-BV605-labeled (clone 53-6.7, </w:t>
      </w:r>
      <w:proofErr w:type="spellStart"/>
      <w:r w:rsidRPr="00BE25DA">
        <w:rPr>
          <w:rFonts w:asciiTheme="majorBidi" w:hAnsiTheme="majorBidi" w:cstheme="majorBidi"/>
        </w:rPr>
        <w:t>BioLegend</w:t>
      </w:r>
      <w:proofErr w:type="spellEnd"/>
      <w:r w:rsidRPr="00BE25DA">
        <w:rPr>
          <w:rFonts w:asciiTheme="majorBidi" w:hAnsiTheme="majorBidi" w:cstheme="majorBidi"/>
        </w:rPr>
        <w:t xml:space="preserve">, CA, USA), PD-1-PE-labeled (clone 29F.1A12, </w:t>
      </w:r>
      <w:proofErr w:type="spellStart"/>
      <w:r w:rsidRPr="00BE25DA">
        <w:rPr>
          <w:rFonts w:asciiTheme="majorBidi" w:hAnsiTheme="majorBidi" w:cstheme="majorBidi"/>
        </w:rPr>
        <w:t>BioLegend</w:t>
      </w:r>
      <w:proofErr w:type="spellEnd"/>
      <w:r w:rsidRPr="00BE25DA">
        <w:rPr>
          <w:rFonts w:asciiTheme="majorBidi" w:hAnsiTheme="majorBidi" w:cstheme="majorBidi"/>
        </w:rPr>
        <w:t xml:space="preserve">), CXCR5-APC-labeled (clone L138D7, </w:t>
      </w:r>
      <w:proofErr w:type="spellStart"/>
      <w:r w:rsidRPr="00BE25DA">
        <w:rPr>
          <w:rFonts w:asciiTheme="majorBidi" w:hAnsiTheme="majorBidi" w:cstheme="majorBidi"/>
        </w:rPr>
        <w:t>BioLegend</w:t>
      </w:r>
      <w:proofErr w:type="spellEnd"/>
      <w:r w:rsidRPr="00BE25DA">
        <w:rPr>
          <w:rFonts w:asciiTheme="majorBidi" w:hAnsiTheme="majorBidi" w:cstheme="majorBidi"/>
        </w:rPr>
        <w:t xml:space="preserve">), CD278-PerCP-Cy5.5-labeled (clone C398.4A, </w:t>
      </w:r>
      <w:proofErr w:type="spellStart"/>
      <w:r w:rsidRPr="00BE25DA">
        <w:rPr>
          <w:rFonts w:asciiTheme="majorBidi" w:hAnsiTheme="majorBidi" w:cstheme="majorBidi"/>
        </w:rPr>
        <w:t>BioLegend</w:t>
      </w:r>
      <w:proofErr w:type="spellEnd"/>
      <w:r w:rsidRPr="00BE25DA">
        <w:rPr>
          <w:rFonts w:asciiTheme="majorBidi" w:hAnsiTheme="majorBidi" w:cstheme="majorBidi"/>
        </w:rPr>
        <w:t xml:space="preserve">), IFN-γ-PE-Cy7-labeled (clone XMG1.2, </w:t>
      </w:r>
      <w:proofErr w:type="spellStart"/>
      <w:r w:rsidRPr="00BE25DA">
        <w:rPr>
          <w:rFonts w:asciiTheme="majorBidi" w:hAnsiTheme="majorBidi" w:cstheme="majorBidi"/>
        </w:rPr>
        <w:t>BioLegend</w:t>
      </w:r>
      <w:proofErr w:type="spellEnd"/>
      <w:r w:rsidRPr="00BE25DA">
        <w:rPr>
          <w:rFonts w:asciiTheme="majorBidi" w:hAnsiTheme="majorBidi" w:cstheme="majorBidi"/>
        </w:rPr>
        <w:t xml:space="preserve">), TNF-α-FITC labeled (clone MP6-XT22, </w:t>
      </w:r>
      <w:proofErr w:type="spellStart"/>
      <w:r w:rsidRPr="00BE25DA">
        <w:rPr>
          <w:rFonts w:asciiTheme="majorBidi" w:hAnsiTheme="majorBidi" w:cstheme="majorBidi"/>
        </w:rPr>
        <w:t>BioLegend</w:t>
      </w:r>
      <w:proofErr w:type="spellEnd"/>
      <w:r w:rsidRPr="00BE25DA">
        <w:rPr>
          <w:rFonts w:asciiTheme="majorBidi" w:hAnsiTheme="majorBidi" w:cstheme="majorBidi"/>
        </w:rPr>
        <w:t xml:space="preserve">), IL-2-APC-labeled (clone JES6-5H4, </w:t>
      </w:r>
      <w:proofErr w:type="spellStart"/>
      <w:r w:rsidRPr="00BE25DA">
        <w:rPr>
          <w:rFonts w:asciiTheme="majorBidi" w:hAnsiTheme="majorBidi" w:cstheme="majorBidi"/>
        </w:rPr>
        <w:t>BioLegend</w:t>
      </w:r>
      <w:proofErr w:type="spellEnd"/>
      <w:r w:rsidRPr="00BE25DA">
        <w:rPr>
          <w:rFonts w:asciiTheme="majorBidi" w:hAnsiTheme="majorBidi" w:cstheme="majorBidi"/>
        </w:rPr>
        <w:t xml:space="preserve">), CD4-PE-Cy5-labeled (clone GK1.5, </w:t>
      </w:r>
      <w:proofErr w:type="spellStart"/>
      <w:r w:rsidRPr="00BE25DA">
        <w:rPr>
          <w:rFonts w:asciiTheme="majorBidi" w:hAnsiTheme="majorBidi" w:cstheme="majorBidi"/>
        </w:rPr>
        <w:t>BioLegend</w:t>
      </w:r>
      <w:proofErr w:type="spellEnd"/>
      <w:r w:rsidRPr="00BE25DA">
        <w:rPr>
          <w:rFonts w:asciiTheme="majorBidi" w:hAnsiTheme="majorBidi" w:cstheme="majorBidi"/>
        </w:rPr>
        <w:t>), CD8a-FITC-</w:t>
      </w:r>
      <w:r w:rsidRPr="00BE25DA">
        <w:rPr>
          <w:rFonts w:asciiTheme="majorBidi" w:hAnsiTheme="majorBidi" w:cstheme="majorBidi"/>
        </w:rPr>
        <w:lastRenderedPageBreak/>
        <w:t xml:space="preserve">labeled (clone 53.6.7, </w:t>
      </w:r>
      <w:proofErr w:type="spellStart"/>
      <w:r w:rsidRPr="00BE25DA">
        <w:rPr>
          <w:rFonts w:asciiTheme="majorBidi" w:hAnsiTheme="majorBidi" w:cstheme="majorBidi"/>
        </w:rPr>
        <w:t>BioLegend</w:t>
      </w:r>
      <w:proofErr w:type="spellEnd"/>
      <w:r w:rsidRPr="00BE25DA">
        <w:rPr>
          <w:rFonts w:asciiTheme="majorBidi" w:hAnsiTheme="majorBidi" w:cstheme="majorBidi"/>
        </w:rPr>
        <w:t xml:space="preserve">), CD44-APC-Cy7-labeled (clone IM7, </w:t>
      </w:r>
      <w:proofErr w:type="spellStart"/>
      <w:r w:rsidRPr="00BE25DA">
        <w:rPr>
          <w:rFonts w:asciiTheme="majorBidi" w:hAnsiTheme="majorBidi" w:cstheme="majorBidi"/>
        </w:rPr>
        <w:t>BioLegend</w:t>
      </w:r>
      <w:proofErr w:type="spellEnd"/>
      <w:r w:rsidRPr="00BE25DA">
        <w:rPr>
          <w:rFonts w:asciiTheme="majorBidi" w:hAnsiTheme="majorBidi" w:cstheme="majorBidi"/>
        </w:rPr>
        <w:t xml:space="preserve">), CD62L-PE-Cy7-labeled (clone MEL-14, </w:t>
      </w:r>
      <w:proofErr w:type="spellStart"/>
      <w:r w:rsidRPr="00BE25DA">
        <w:rPr>
          <w:rFonts w:asciiTheme="majorBidi" w:hAnsiTheme="majorBidi" w:cstheme="majorBidi"/>
        </w:rPr>
        <w:t>Biolegend</w:t>
      </w:r>
      <w:proofErr w:type="spellEnd"/>
      <w:r w:rsidRPr="00BE25DA">
        <w:rPr>
          <w:rFonts w:asciiTheme="majorBidi" w:hAnsiTheme="majorBidi" w:cstheme="majorBidi"/>
        </w:rPr>
        <w:t xml:space="preserve">), and Ki-67-PE-labeled (clone 16A8, </w:t>
      </w:r>
      <w:proofErr w:type="spellStart"/>
      <w:r w:rsidRPr="00BE25DA">
        <w:rPr>
          <w:rFonts w:asciiTheme="majorBidi" w:hAnsiTheme="majorBidi" w:cstheme="majorBidi"/>
        </w:rPr>
        <w:t>BioLegend</w:t>
      </w:r>
      <w:proofErr w:type="spellEnd"/>
      <w:r w:rsidRPr="00BE25DA">
        <w:rPr>
          <w:rFonts w:asciiTheme="majorBidi" w:hAnsiTheme="majorBidi" w:cstheme="majorBidi"/>
        </w:rPr>
        <w:t>).</w:t>
      </w:r>
    </w:p>
    <w:p w14:paraId="70B2D20A" w14:textId="77777777" w:rsidR="00EA13BC" w:rsidRPr="00BE25DA" w:rsidRDefault="00EA13BC" w:rsidP="00EA13BC">
      <w:pPr>
        <w:spacing w:before="240" w:after="60" w:line="480" w:lineRule="auto"/>
        <w:rPr>
          <w:rFonts w:asciiTheme="majorBidi" w:hAnsiTheme="majorBidi" w:cstheme="majorBidi"/>
        </w:rPr>
      </w:pPr>
      <w:r w:rsidRPr="003B530A">
        <w:rPr>
          <w:rFonts w:asciiTheme="majorBidi" w:hAnsiTheme="majorBidi" w:cstheme="majorBidi"/>
        </w:rPr>
        <w:t>To detect HA-specific T cells, cells were blocked with 5 μg streptavidin (Invitrogen) and CD16/32 for 20 min at 4°C.</w:t>
      </w:r>
      <w:r w:rsidRPr="00BE25DA">
        <w:rPr>
          <w:rFonts w:asciiTheme="majorBidi" w:hAnsiTheme="majorBidi" w:cstheme="majorBidi"/>
        </w:rPr>
        <w:t xml:space="preserve"> After incubation, cells were stained with H-2Kd HA tetramer-PE labeled with the HA533-541 IYSTVASSL (produced and generously provided by National Institutes of Health), CD8a-FITC-labeled, CD4-APC-Cy7-labeled, CD45-PerCP-Cy5.5-labeled (clone 30-F11, eBioscience) antibodies, and Fixable Viability Dye eFluor520 (eBioscience) for 30 min at 4°C in the dark. Cells were analyzed using a flow cytometer (FACS </w:t>
      </w:r>
      <w:proofErr w:type="spellStart"/>
      <w:r w:rsidRPr="00BE25DA">
        <w:rPr>
          <w:rFonts w:asciiTheme="majorBidi" w:hAnsiTheme="majorBidi" w:cstheme="majorBidi"/>
        </w:rPr>
        <w:t>CytoFLEX</w:t>
      </w:r>
      <w:proofErr w:type="spellEnd"/>
      <w:r w:rsidRPr="00BE25DA">
        <w:rPr>
          <w:rFonts w:asciiTheme="majorBidi" w:hAnsiTheme="majorBidi" w:cstheme="majorBidi"/>
        </w:rPr>
        <w:t xml:space="preserve">, Beckman Coulter, CA, USA), and the data were analyzed using </w:t>
      </w:r>
      <w:proofErr w:type="spellStart"/>
      <w:r w:rsidRPr="00BE25DA">
        <w:rPr>
          <w:rFonts w:asciiTheme="majorBidi" w:hAnsiTheme="majorBidi" w:cstheme="majorBidi"/>
        </w:rPr>
        <w:t>CytoExpert</w:t>
      </w:r>
      <w:proofErr w:type="spellEnd"/>
      <w:r w:rsidRPr="00BE25DA">
        <w:rPr>
          <w:rFonts w:asciiTheme="majorBidi" w:hAnsiTheme="majorBidi" w:cstheme="majorBidi"/>
        </w:rPr>
        <w:t xml:space="preserve"> (Beckman Coulter).</w:t>
      </w:r>
    </w:p>
    <w:p w14:paraId="68184B28" w14:textId="77777777" w:rsidR="002D444D" w:rsidRDefault="002D444D" w:rsidP="00EA13BC">
      <w:pPr>
        <w:spacing w:before="240" w:after="60" w:line="480" w:lineRule="auto"/>
        <w:ind w:right="562"/>
        <w:rPr>
          <w:rFonts w:asciiTheme="majorBidi" w:hAnsiTheme="majorBidi" w:cstheme="majorBidi"/>
          <w:b/>
          <w:bCs/>
        </w:rPr>
      </w:pPr>
    </w:p>
    <w:p w14:paraId="1730AAD1" w14:textId="721699D4" w:rsidR="00EA13BC" w:rsidRPr="001308E0" w:rsidRDefault="00EA13BC" w:rsidP="00EA13BC">
      <w:pPr>
        <w:spacing w:before="240" w:after="60" w:line="480" w:lineRule="auto"/>
        <w:ind w:right="562"/>
        <w:rPr>
          <w:rFonts w:asciiTheme="majorBidi" w:hAnsiTheme="majorBidi" w:cstheme="majorBidi"/>
          <w:b/>
          <w:bCs/>
        </w:rPr>
      </w:pPr>
      <w:r w:rsidRPr="001308E0">
        <w:rPr>
          <w:rFonts w:asciiTheme="majorBidi" w:hAnsiTheme="majorBidi" w:cstheme="majorBidi"/>
          <w:b/>
          <w:bCs/>
        </w:rPr>
        <w:t xml:space="preserve">Transcriptome analysis </w:t>
      </w:r>
    </w:p>
    <w:p w14:paraId="4115DE08" w14:textId="47AA8E9E" w:rsidR="00EA13BC" w:rsidRPr="00BE25DA" w:rsidRDefault="00EA13BC" w:rsidP="00EA13BC">
      <w:pPr>
        <w:spacing w:before="240" w:after="60" w:line="480" w:lineRule="auto"/>
        <w:rPr>
          <w:rFonts w:asciiTheme="majorBidi" w:hAnsiTheme="majorBidi" w:cstheme="majorBidi"/>
        </w:rPr>
      </w:pPr>
      <w:r w:rsidRPr="00BE25DA">
        <w:rPr>
          <w:rFonts w:asciiTheme="majorBidi" w:hAnsiTheme="majorBidi" w:cstheme="majorBidi"/>
        </w:rPr>
        <w:t>The spleen samples from each group (in six biological replicate</w:t>
      </w:r>
      <w:r>
        <w:rPr>
          <w:rFonts w:asciiTheme="majorBidi" w:hAnsiTheme="majorBidi" w:cstheme="majorBidi"/>
        </w:rPr>
        <w:t>s</w:t>
      </w:r>
      <w:r w:rsidRPr="00BE25DA">
        <w:rPr>
          <w:rFonts w:asciiTheme="majorBidi" w:hAnsiTheme="majorBidi" w:cstheme="majorBidi"/>
        </w:rPr>
        <w:t xml:space="preserve">) were prepared for transcriptome analysis. Sequencing libraries for data generation were constructed using the Illumina </w:t>
      </w:r>
      <w:proofErr w:type="spellStart"/>
      <w:r w:rsidRPr="00BE25DA">
        <w:rPr>
          <w:rFonts w:asciiTheme="majorBidi" w:hAnsiTheme="majorBidi" w:cstheme="majorBidi"/>
        </w:rPr>
        <w:t>TruSeq</w:t>
      </w:r>
      <w:proofErr w:type="spellEnd"/>
      <w:r w:rsidRPr="00BE25DA">
        <w:rPr>
          <w:rFonts w:asciiTheme="majorBidi" w:hAnsiTheme="majorBidi" w:cstheme="majorBidi"/>
        </w:rPr>
        <w:t xml:space="preserve"> Stranded mRNA Library Prep Kit following the manufacturer’s protocol</w:t>
      </w:r>
      <w:r>
        <w:rPr>
          <w:rFonts w:asciiTheme="majorBidi" w:hAnsiTheme="majorBidi" w:cstheme="majorBidi"/>
        </w:rPr>
        <w:t>,</w:t>
      </w:r>
      <w:r w:rsidRPr="00BE25DA">
        <w:rPr>
          <w:rFonts w:asciiTheme="majorBidi" w:hAnsiTheme="majorBidi" w:cstheme="majorBidi"/>
        </w:rPr>
        <w:t xml:space="preserve"> and 101 bp paired-end sequencing was conducted using Illumina Novaseq6000. </w:t>
      </w:r>
      <w:r>
        <w:rPr>
          <w:rFonts w:asciiTheme="majorBidi" w:hAnsiTheme="majorBidi" w:cstheme="majorBidi"/>
        </w:rPr>
        <w:t>T</w:t>
      </w:r>
      <w:r w:rsidRPr="0093049F">
        <w:rPr>
          <w:rFonts w:asciiTheme="majorBidi" w:hAnsiTheme="majorBidi" w:cstheme="majorBidi"/>
        </w:rPr>
        <w:t>he library construction and data generation</w:t>
      </w:r>
      <w:r w:rsidRPr="00B539A5">
        <w:rPr>
          <w:rFonts w:asciiTheme="majorBidi" w:hAnsiTheme="majorBidi" w:cstheme="majorBidi"/>
        </w:rPr>
        <w:t xml:space="preserve"> </w:t>
      </w:r>
      <w:r>
        <w:rPr>
          <w:rFonts w:asciiTheme="majorBidi" w:hAnsiTheme="majorBidi" w:cstheme="majorBidi"/>
        </w:rPr>
        <w:t xml:space="preserve">were performed at </w:t>
      </w:r>
      <w:r w:rsidRPr="00BE25DA">
        <w:rPr>
          <w:rFonts w:asciiTheme="majorBidi" w:hAnsiTheme="majorBidi" w:cstheme="majorBidi"/>
        </w:rPr>
        <w:t xml:space="preserve">Macrogen (Seoul, South Korea). Sequencing artifacts and low-quality bases in the generated reads were removed using </w:t>
      </w:r>
      <w:proofErr w:type="spellStart"/>
      <w:r w:rsidRPr="00BE25DA">
        <w:rPr>
          <w:rFonts w:asciiTheme="majorBidi" w:hAnsiTheme="majorBidi" w:cstheme="majorBidi"/>
        </w:rPr>
        <w:t>Trimmomatic</w:t>
      </w:r>
      <w:proofErr w:type="spellEnd"/>
      <w:r w:rsidR="00C517E9">
        <w:rPr>
          <w:rFonts w:asciiTheme="majorBidi" w:hAnsiTheme="majorBidi" w:cstheme="majorBidi"/>
        </w:rPr>
        <w:t xml:space="preserve"> </w:t>
      </w:r>
      <w:r w:rsidR="00C517E9">
        <w:rPr>
          <w:rFonts w:asciiTheme="majorBidi" w:hAnsiTheme="majorBidi" w:cstheme="majorBidi"/>
        </w:rPr>
        <w:fldChar w:fldCharType="begin">
          <w:fldData xml:space="preserve">PEVuZE5vdGU+PENpdGU+PEF1dGhvcj5Cb2xnZXI8L0F1dGhvcj48WWVhcj4yMDE0PC9ZZWFyPjxS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</w:fldData>
        </w:fldChar>
      </w:r>
      <w:r w:rsidR="009F332A">
        <w:rPr>
          <w:rFonts w:asciiTheme="majorBidi" w:hAnsiTheme="majorBidi" w:cstheme="majorBidi"/>
        </w:rPr>
        <w:instrText xml:space="preserve"> ADDIN EN.CITE </w:instrText>
      </w:r>
      <w:r w:rsidR="009F332A">
        <w:rPr>
          <w:rFonts w:asciiTheme="majorBidi" w:hAnsiTheme="majorBidi" w:cstheme="majorBidi"/>
        </w:rPr>
        <w:fldChar w:fldCharType="begin">
          <w:fldData xml:space="preserve">PEVuZE5vdGU+PENpdGU+PEF1dGhvcj5Cb2xnZXI8L0F1dGhvcj48WWVhcj4yMDE0PC9ZZWFyPjxS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</w:fldData>
        </w:fldChar>
      </w:r>
      <w:r w:rsidR="009F332A">
        <w:rPr>
          <w:rFonts w:asciiTheme="majorBidi" w:hAnsiTheme="majorBidi" w:cstheme="majorBidi"/>
        </w:rPr>
        <w:instrText xml:space="preserve"> ADDIN EN.CITE.DATA </w:instrText>
      </w:r>
      <w:r w:rsidR="009F332A">
        <w:rPr>
          <w:rFonts w:asciiTheme="majorBidi" w:hAnsiTheme="majorBidi" w:cstheme="majorBidi"/>
        </w:rPr>
      </w:r>
      <w:r w:rsidR="009F332A">
        <w:rPr>
          <w:rFonts w:asciiTheme="majorBidi" w:hAnsiTheme="majorBidi" w:cstheme="majorBidi"/>
        </w:rPr>
        <w:fldChar w:fldCharType="end"/>
      </w:r>
      <w:r w:rsidR="00C517E9">
        <w:rPr>
          <w:rFonts w:asciiTheme="majorBidi" w:hAnsiTheme="majorBidi" w:cstheme="majorBidi"/>
        </w:rPr>
        <w:fldChar w:fldCharType="separate"/>
      </w:r>
      <w:r w:rsidR="009F332A" w:rsidRPr="009F332A">
        <w:rPr>
          <w:rFonts w:asciiTheme="majorBidi" w:hAnsiTheme="majorBidi" w:cstheme="majorBidi"/>
          <w:noProof/>
          <w:vertAlign w:val="superscript"/>
        </w:rPr>
        <w:t>1</w:t>
      </w:r>
      <w:r w:rsidR="00C517E9">
        <w:rPr>
          <w:rFonts w:asciiTheme="majorBidi" w:hAnsiTheme="majorBidi" w:cstheme="majorBidi"/>
        </w:rPr>
        <w:fldChar w:fldCharType="end"/>
      </w:r>
      <w:r w:rsidRPr="00BE25DA">
        <w:rPr>
          <w:rFonts w:asciiTheme="majorBidi" w:hAnsiTheme="majorBidi" w:cstheme="majorBidi"/>
        </w:rPr>
        <w:t xml:space="preserve"> with Truseq3-PE adapter sequences and LEADING:5 TRAILING:20 </w:t>
      </w:r>
      <w:proofErr w:type="gramStart"/>
      <w:r w:rsidRPr="00BE25DA">
        <w:rPr>
          <w:rFonts w:asciiTheme="majorBidi" w:hAnsiTheme="majorBidi" w:cstheme="majorBidi"/>
        </w:rPr>
        <w:t>SLIDINGWINDOW:4:15</w:t>
      </w:r>
      <w:proofErr w:type="gramEnd"/>
      <w:r w:rsidRPr="00BE25DA">
        <w:rPr>
          <w:rFonts w:asciiTheme="majorBidi" w:hAnsiTheme="majorBidi" w:cstheme="majorBidi"/>
        </w:rPr>
        <w:t xml:space="preserve"> MINLEN:75 parameters. After filtering, the reads were mapped to the GRCm39 reference genome (https://www.ncbi.nlm.nih.gov/grc) using HISAT2 </w:t>
      </w:r>
      <w:r>
        <w:rPr>
          <w:rFonts w:asciiTheme="majorBidi" w:hAnsiTheme="majorBidi" w:cstheme="majorBidi"/>
        </w:rPr>
        <w:fldChar w:fldCharType="begin">
          <w:fldData xml:space="preserve">PEVuZE5vdGU+PENpdGU+PEF1dGhvcj5LaW08L0F1dGhvcj48WWVhcj4yMDE5PC9ZZWFyPjxSZWNO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</w:fldData>
        </w:fldChar>
      </w:r>
      <w:r w:rsidR="009F332A">
        <w:rPr>
          <w:rFonts w:asciiTheme="majorBidi" w:hAnsiTheme="majorBidi" w:cstheme="majorBidi"/>
        </w:rPr>
        <w:instrText xml:space="preserve"> ADDIN EN.CITE </w:instrText>
      </w:r>
      <w:r w:rsidR="009F332A">
        <w:rPr>
          <w:rFonts w:asciiTheme="majorBidi" w:hAnsiTheme="majorBidi" w:cstheme="majorBidi"/>
        </w:rPr>
        <w:fldChar w:fldCharType="begin">
          <w:fldData xml:space="preserve">PEVuZE5vdGU+PENpdGU+PEF1dGhvcj5LaW08L0F1dGhvcj48WWVhcj4yMDE5PC9ZZWFyPjxSZWNO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</w:fldData>
        </w:fldChar>
      </w:r>
      <w:r w:rsidR="009F332A">
        <w:rPr>
          <w:rFonts w:asciiTheme="majorBidi" w:hAnsiTheme="majorBidi" w:cstheme="majorBidi"/>
        </w:rPr>
        <w:instrText xml:space="preserve"> ADDIN EN.CITE.DATA </w:instrText>
      </w:r>
      <w:r w:rsidR="009F332A">
        <w:rPr>
          <w:rFonts w:asciiTheme="majorBidi" w:hAnsiTheme="majorBidi" w:cstheme="majorBidi"/>
        </w:rPr>
      </w:r>
      <w:r w:rsidR="009F332A">
        <w:rPr>
          <w:rFonts w:asciiTheme="majorBidi" w:hAnsiTheme="majorBidi" w:cstheme="majorBidi"/>
        </w:rPr>
        <w:fldChar w:fldCharType="end"/>
      </w:r>
      <w:r>
        <w:rPr>
          <w:rFonts w:asciiTheme="majorBidi" w:hAnsiTheme="majorBidi" w:cstheme="majorBidi"/>
        </w:rPr>
        <w:fldChar w:fldCharType="separate"/>
      </w:r>
      <w:r w:rsidR="009F332A" w:rsidRPr="009F332A">
        <w:rPr>
          <w:rFonts w:asciiTheme="majorBidi" w:hAnsiTheme="majorBidi" w:cstheme="majorBidi"/>
          <w:noProof/>
          <w:vertAlign w:val="superscript"/>
        </w:rPr>
        <w:t>2</w:t>
      </w:r>
      <w:r>
        <w:rPr>
          <w:rFonts w:asciiTheme="majorBidi" w:hAnsiTheme="majorBidi" w:cstheme="majorBidi"/>
        </w:rPr>
        <w:fldChar w:fldCharType="end"/>
      </w:r>
      <w:r w:rsidRPr="00BE25DA">
        <w:rPr>
          <w:rFonts w:asciiTheme="majorBidi" w:hAnsiTheme="majorBidi" w:cstheme="majorBidi"/>
        </w:rPr>
        <w:t xml:space="preserve"> with default parameters. Read counts for each gene were calculated using </w:t>
      </w:r>
      <w:proofErr w:type="spellStart"/>
      <w:r w:rsidRPr="00BE25DA">
        <w:rPr>
          <w:rFonts w:asciiTheme="majorBidi" w:hAnsiTheme="majorBidi" w:cstheme="majorBidi"/>
        </w:rPr>
        <w:t>featureCounts</w:t>
      </w:r>
      <w:proofErr w:type="spellEnd"/>
      <w:r w:rsidRPr="00BE25DA">
        <w:rPr>
          <w:rFonts w:asciiTheme="majorBidi" w:hAnsiTheme="majorBidi" w:cstheme="majorBidi"/>
        </w:rPr>
        <w:t xml:space="preserve"> </w:t>
      </w:r>
      <w:r>
        <w:rPr>
          <w:rFonts w:asciiTheme="majorBidi" w:hAnsiTheme="majorBidi" w:cstheme="majorBidi"/>
        </w:rPr>
        <w:fldChar w:fldCharType="begin"/>
      </w:r>
      <w:r w:rsidR="009F332A">
        <w:rPr>
          <w:rFonts w:asciiTheme="majorBidi" w:hAnsiTheme="majorBidi" w:cstheme="majorBidi"/>
        </w:rPr>
        <w:instrText xml:space="preserve"> ADDIN EN.CITE &lt;EndNote&gt;&lt;Cite&gt;&lt;Author&gt;Liao&lt;/Author&gt;&lt;Year&gt;2014&lt;/Year&gt;&lt;RecNum&gt;8&lt;/RecNum&gt;&lt;DisplayText&gt;&lt;style face="superscript"&gt;3&lt;/style&gt;&lt;/DisplayText&gt;&lt;record&gt;&lt;rec-number&gt;8&lt;/rec-number&gt;&lt;foreign-keys&gt;&lt;key app="EN" db-id="tdtxtd55x2ftveeafrqvpvvzdetf09s5wa9f" timestamp="1667125165"&gt;8&lt;/key&gt;&lt;/foreign-keys&gt;&lt;ref-type name="Journal Article"&gt;17&lt;/ref-type&gt;&lt;contributors&gt;&lt;authors&gt;&lt;author&gt;Liao, Y.&lt;/author&gt;&lt;author&gt;Smyth, G. K.&lt;/author&gt;&lt;author&gt;Shi, W.&lt;/author&gt;&lt;/authors&gt;&lt;/contributors&gt;&lt;auth-address&gt;Bioinformatics Division, The Walter and Eliza Hall Institute of Medical Research, 1G Royal Parade, Parkville, VIC 3052, Department of Computing and Information Systems and Department of Mathematics and Statistics, The University of Melbourne, Parkville, VIC 3010, Australia.&lt;/auth-address&gt;&lt;titles&gt;&lt;title&gt;featureCounts: an efficient general purpose program for assigning sequence reads to genomic features&lt;/title&gt;&lt;secondary-title&gt;Bioinformatics&lt;/secondary-title&gt;&lt;alt-title&gt;Bioinformatics (Oxford, England)&lt;/alt-title&gt;&lt;/titles&gt;&lt;periodical&gt;&lt;full-title&gt;Bioinformatics&lt;/full-title&gt;&lt;abbr-1&gt;Bioinformatics (Oxford, England)&lt;/abbr-1&gt;&lt;/periodical&gt;&lt;alt-periodical&gt;&lt;full-title&gt;Bioinformatics&lt;/full-title&gt;&lt;abbr-1&gt;Bioinformatics (Oxford, England)&lt;/abbr-1&gt;&lt;/alt-periodical&gt;&lt;pages&gt;923-30&lt;/pages&gt;&lt;volume&gt;30&lt;/volume&gt;&lt;number&gt;7&lt;/number&gt;&lt;edition&gt;2013/11/15&lt;/edition&gt;&lt;keywords&gt;&lt;keyword&gt;Algorithms&lt;/keyword&gt;&lt;keyword&gt;Genome&lt;/keyword&gt;&lt;keyword&gt;Genomics/*methods&lt;/keyword&gt;&lt;keyword&gt;High-Throughput Nucleotide Sequencing&lt;/keyword&gt;&lt;keyword&gt;Histones/chemistry/genetics&lt;/keyword&gt;&lt;keyword&gt;Sequence Analysis, RNA&lt;/keyword&gt;&lt;keyword&gt;*Software&lt;/keyword&gt;&lt;/keywords&gt;&lt;dates&gt;&lt;year&gt;2014&lt;/year&gt;&lt;pub-dates&gt;&lt;date&gt;Apr 1&lt;/date&gt;&lt;/pub-dates&gt;&lt;/dates&gt;&lt;isbn&gt;1367-4803&lt;/isbn&gt;&lt;accession-num&gt;24227677&lt;/accession-num&gt;&lt;urls&gt;&lt;/urls&gt;&lt;electronic-resource-num&gt;10.1093/bioinformatics/btt656&lt;/electronic-resource-num&gt;&lt;remote-database-provider&gt;NLM&lt;/remote-database-provider&gt;&lt;language&gt;eng&lt;/language&gt;&lt;/record&gt;&lt;/Cite&gt;&lt;/EndNote&gt;</w:instrText>
      </w:r>
      <w:r>
        <w:rPr>
          <w:rFonts w:asciiTheme="majorBidi" w:hAnsiTheme="majorBidi" w:cstheme="majorBidi"/>
        </w:rPr>
        <w:fldChar w:fldCharType="separate"/>
      </w:r>
      <w:r w:rsidR="009F332A" w:rsidRPr="009F332A">
        <w:rPr>
          <w:rFonts w:asciiTheme="majorBidi" w:hAnsiTheme="majorBidi" w:cstheme="majorBidi"/>
          <w:noProof/>
          <w:vertAlign w:val="superscript"/>
        </w:rPr>
        <w:t>3</w:t>
      </w:r>
      <w:r>
        <w:rPr>
          <w:rFonts w:asciiTheme="majorBidi" w:hAnsiTheme="majorBidi" w:cstheme="majorBidi"/>
        </w:rPr>
        <w:fldChar w:fldCharType="end"/>
      </w:r>
      <w:r w:rsidRPr="00BE25DA">
        <w:rPr>
          <w:rFonts w:asciiTheme="majorBidi" w:hAnsiTheme="majorBidi" w:cstheme="majorBidi"/>
        </w:rPr>
        <w:t xml:space="preserve"> in the Subread package. The </w:t>
      </w:r>
      <w:proofErr w:type="spellStart"/>
      <w:r w:rsidRPr="00BE25DA">
        <w:rPr>
          <w:rFonts w:asciiTheme="majorBidi" w:hAnsiTheme="majorBidi" w:cstheme="majorBidi"/>
        </w:rPr>
        <w:t>plotPCA</w:t>
      </w:r>
      <w:proofErr w:type="spellEnd"/>
      <w:r w:rsidRPr="00BE25DA">
        <w:rPr>
          <w:rFonts w:asciiTheme="majorBidi" w:hAnsiTheme="majorBidi" w:cstheme="majorBidi"/>
        </w:rPr>
        <w:t xml:space="preserve"> function in the DESeq2 package </w:t>
      </w:r>
      <w:r>
        <w:rPr>
          <w:rFonts w:asciiTheme="majorBidi" w:hAnsiTheme="majorBidi" w:cstheme="majorBidi"/>
        </w:rPr>
        <w:fldChar w:fldCharType="begin"/>
      </w:r>
      <w:r w:rsidR="009F332A">
        <w:rPr>
          <w:rFonts w:asciiTheme="majorBidi" w:hAnsiTheme="majorBidi" w:cstheme="majorBidi"/>
        </w:rPr>
        <w:instrText xml:space="preserve"> ADDIN EN.CITE &lt;EndNote&gt;&lt;Cite&gt;&lt;Author&gt;Love&lt;/Author&gt;&lt;Year&gt;2014&lt;/Year&gt;&lt;RecNum&gt;9&lt;/RecNum&gt;&lt;DisplayText&gt;&lt;style face="superscript"&gt;4&lt;/style&gt;&lt;/DisplayText&gt;&lt;record&gt;&lt;rec-number&gt;9&lt;/rec-number&gt;&lt;foreign-keys&gt;&lt;key app="EN" db-id="tdtxtd55x2ftveeafrqvpvvzdetf09s5wa9f" timestamp="1667125168"&gt;9&lt;/key&gt;&lt;/foreign-keys&gt;&lt;ref-type name="Journal Article"&gt;17&lt;/ref-type&gt;&lt;contributors&gt;&lt;authors&gt;&lt;author&gt;Love, M. I.&lt;/author&gt;&lt;author&gt;Huber, W.&lt;/author&gt;&lt;author&gt;Anders, S.&lt;/author&gt;&lt;/authors&gt;&lt;/contributors&gt;&lt;titles&gt;&lt;title&gt;Moderated estimation of fold change and dispersion for RNA-seq data with DESeq2&lt;/title&gt;&lt;secondary-title&gt;Genome Biol&lt;/secondary-title&gt;&lt;alt-title&gt;Genome biology&lt;/alt-title&gt;&lt;/titles&gt;&lt;periodical&gt;&lt;full-title&gt;Genome Biol&lt;/full-title&gt;&lt;abbr-1&gt;Genome biology&lt;/abbr-1&gt;&lt;/periodical&gt;&lt;alt-periodical&gt;&lt;full-title&gt;Genome Biol&lt;/full-title&gt;&lt;abbr-1&gt;Genome biology&lt;/abbr-1&gt;&lt;/alt-periodical&gt;&lt;pages&gt;550&lt;/pages&gt;&lt;volume&gt;15&lt;/volume&gt;&lt;number&gt;12&lt;/number&gt;&lt;edition&gt;2014/12/18&lt;/edition&gt;&lt;keywords&gt;&lt;keyword&gt;Algorithms&lt;/keyword&gt;&lt;keyword&gt;Computational Biology/*methods&lt;/keyword&gt;&lt;keyword&gt;High-Throughput Nucleotide Sequencing&lt;/keyword&gt;&lt;keyword&gt;Models, Genetic&lt;/keyword&gt;&lt;keyword&gt;RNA/*analysis&lt;/keyword&gt;&lt;keyword&gt;Sequence Analysis, RNA&lt;/keyword&gt;&lt;keyword&gt;*Software&lt;/keyword&gt;&lt;/keywords&gt;&lt;dates&gt;&lt;year&gt;2014&lt;/year&gt;&lt;/dates&gt;&lt;isbn&gt;1465-6906 (Print)&amp;#xD;1474-7596&lt;/isbn&gt;&lt;accession-num&gt;25516281&lt;/accession-num&gt;&lt;urls&gt;&lt;/urls&gt;&lt;custom2&gt;PMC4302049&lt;/custom2&gt;&lt;electronic-resource-num&gt;10.1186/s13059-014-0550-8&lt;/electronic-resource-num&gt;&lt;remote-database-provider&gt;NLM&lt;/remote-database-provider&gt;&lt;language&gt;eng&lt;/language&gt;&lt;/record&gt;&lt;/Cite&gt;&lt;/EndNote&gt;</w:instrText>
      </w:r>
      <w:r>
        <w:rPr>
          <w:rFonts w:asciiTheme="majorBidi" w:hAnsiTheme="majorBidi" w:cstheme="majorBidi"/>
        </w:rPr>
        <w:fldChar w:fldCharType="separate"/>
      </w:r>
      <w:r w:rsidR="009F332A" w:rsidRPr="009F332A">
        <w:rPr>
          <w:rFonts w:asciiTheme="majorBidi" w:hAnsiTheme="majorBidi" w:cstheme="majorBidi"/>
          <w:noProof/>
          <w:vertAlign w:val="superscript"/>
        </w:rPr>
        <w:t>4</w:t>
      </w:r>
      <w:r>
        <w:rPr>
          <w:rFonts w:asciiTheme="majorBidi" w:hAnsiTheme="majorBidi" w:cstheme="majorBidi"/>
        </w:rPr>
        <w:fldChar w:fldCharType="end"/>
      </w:r>
      <w:r w:rsidRPr="00BE25DA">
        <w:rPr>
          <w:rFonts w:asciiTheme="majorBidi" w:hAnsiTheme="majorBidi" w:cstheme="majorBidi"/>
        </w:rPr>
        <w:t xml:space="preserve"> was used for</w:t>
      </w:r>
      <w:r>
        <w:rPr>
          <w:rFonts w:asciiTheme="majorBidi" w:hAnsiTheme="majorBidi" w:cstheme="majorBidi"/>
        </w:rPr>
        <w:t xml:space="preserve"> </w:t>
      </w:r>
      <w:r>
        <w:rPr>
          <w:rFonts w:asciiTheme="majorBidi" w:eastAsia="ArialMT" w:hAnsiTheme="majorBidi" w:cstheme="majorBidi"/>
          <w:lang w:eastAsia="en-US"/>
        </w:rPr>
        <w:t>p</w:t>
      </w:r>
      <w:r w:rsidRPr="0037218C">
        <w:rPr>
          <w:rFonts w:asciiTheme="majorBidi" w:eastAsia="ArialMT" w:hAnsiTheme="majorBidi" w:cstheme="majorBidi"/>
          <w:lang w:eastAsia="en-US"/>
        </w:rPr>
        <w:t>rincipal component analysis</w:t>
      </w:r>
      <w:r w:rsidRPr="00BE25DA">
        <w:rPr>
          <w:rFonts w:asciiTheme="majorBidi" w:hAnsiTheme="majorBidi" w:cstheme="majorBidi"/>
        </w:rPr>
        <w:t xml:space="preserve"> </w:t>
      </w:r>
      <w:r>
        <w:rPr>
          <w:rFonts w:asciiTheme="majorBidi" w:hAnsiTheme="majorBidi" w:cstheme="majorBidi"/>
        </w:rPr>
        <w:t>(</w:t>
      </w:r>
      <w:r w:rsidRPr="00BE25DA">
        <w:rPr>
          <w:rFonts w:asciiTheme="majorBidi" w:hAnsiTheme="majorBidi" w:cstheme="majorBidi"/>
        </w:rPr>
        <w:t>PCA</w:t>
      </w:r>
      <w:r>
        <w:rPr>
          <w:rFonts w:asciiTheme="majorBidi" w:hAnsiTheme="majorBidi" w:cstheme="majorBidi"/>
        </w:rPr>
        <w:t>)</w:t>
      </w:r>
      <w:r w:rsidRPr="00BE25DA">
        <w:rPr>
          <w:rFonts w:asciiTheme="majorBidi" w:hAnsiTheme="majorBidi" w:cstheme="majorBidi"/>
        </w:rPr>
        <w:t xml:space="preserve"> analysis, and differentially expressed genes (DEGs) were identified using </w:t>
      </w:r>
      <w:proofErr w:type="spellStart"/>
      <w:r w:rsidRPr="00BE25DA">
        <w:rPr>
          <w:rFonts w:asciiTheme="majorBidi" w:hAnsiTheme="majorBidi" w:cstheme="majorBidi"/>
        </w:rPr>
        <w:t>EdgeR</w:t>
      </w:r>
      <w:proofErr w:type="spellEnd"/>
      <w:r w:rsidRPr="00BE25DA">
        <w:rPr>
          <w:rFonts w:asciiTheme="majorBidi" w:hAnsiTheme="majorBidi" w:cstheme="majorBidi"/>
        </w:rPr>
        <w:t xml:space="preserve"> </w:t>
      </w:r>
      <w:r>
        <w:rPr>
          <w:rFonts w:asciiTheme="majorBidi" w:hAnsiTheme="majorBidi" w:cstheme="majorBidi"/>
        </w:rPr>
        <w:fldChar w:fldCharType="begin"/>
      </w:r>
      <w:r w:rsidR="009F332A">
        <w:rPr>
          <w:rFonts w:asciiTheme="majorBidi" w:hAnsiTheme="majorBidi" w:cstheme="majorBidi"/>
        </w:rPr>
        <w:instrText xml:space="preserve"> ADDIN EN.CITE &lt;EndNote&gt;&lt;Cite&gt;&lt;Author&gt;Robinson&lt;/Author&gt;&lt;Year&gt;2010&lt;/Year&gt;&lt;RecNum&gt;10&lt;/RecNum&gt;&lt;DisplayText&gt;&lt;style face="superscript"&gt;5&lt;/style&gt;&lt;/DisplayText&gt;&lt;record&gt;&lt;rec-number&gt;10&lt;/rec-number&gt;&lt;foreign-keys&gt;&lt;key app="EN" db-id="tdtxtd55x2ftveeafrqvpvvzdetf09s5wa9f" timestamp="1667125171"&gt;10&lt;/key&gt;&lt;/foreign-keys&gt;&lt;ref-type name="Journal Article"&gt;17&lt;/ref-type&gt;&lt;contributors&gt;&lt;authors&gt;&lt;author&gt;Robinson, M. D.&lt;/author&gt;&lt;author&gt;McCarthy, D. J.&lt;/author&gt;&lt;author&gt;Smyth, G. K.&lt;/author&gt;&lt;/authors&gt;&lt;/contributors&gt;&lt;auth-address&gt;Cancer Program, Garvan Institute of Medical Research, 384 Victoria Street, Darlinghurst, NSW 2010, Australia. mrobinson@wehi.edu.au&lt;/auth-address&gt;&lt;titles&gt;&lt;title&gt;edgeR: a Bioconductor package for differential expression analysis of digital gene expression data&lt;/title&gt;&lt;secondary-title&gt;Bioinformatics&lt;/secondary-title&gt;&lt;alt-title&gt;Bioinformatics (Oxford, England)&lt;/alt-title&gt;&lt;/titles&gt;&lt;periodical&gt;&lt;full-title&gt;Bioinformatics&lt;/full-title&gt;&lt;abbr-1&gt;Bioinformatics (Oxford, England)&lt;/abbr-1&gt;&lt;/periodical&gt;&lt;alt-periodical&gt;&lt;full-title&gt;Bioinformatics&lt;/full-title&gt;&lt;abbr-1&gt;Bioinformatics (Oxford, England)&lt;/abbr-1&gt;&lt;/alt-periodical&gt;&lt;pages&gt;139-40&lt;/pages&gt;&lt;volume&gt;26&lt;/volume&gt;&lt;number&gt;1&lt;/number&gt;&lt;edition&gt;2009/11/17&lt;/edition&gt;&lt;keywords&gt;&lt;keyword&gt;*Algorithms&lt;/keyword&gt;&lt;keyword&gt;Gene Expression Profiling/*methods&lt;/keyword&gt;&lt;keyword&gt;Oligonucleotide Array Sequence Analysis/*methods&lt;/keyword&gt;&lt;keyword&gt;*Programming Languages&lt;/keyword&gt;&lt;keyword&gt;*Signal Processing, Computer-Assisted&lt;/keyword&gt;&lt;keyword&gt;*Software&lt;/keyword&gt;&lt;/keywords&gt;&lt;dates&gt;&lt;year&gt;2010&lt;/year&gt;&lt;pub-dates&gt;&lt;date&gt;Jan 1&lt;/date&gt;&lt;/pub-dates&gt;&lt;/dates&gt;&lt;isbn&gt;1367-4803 (Print)&amp;#xD;1367-4803&lt;/isbn&gt;&lt;accession-num&gt;19910308&lt;/accession-num&gt;&lt;urls&gt;&lt;/urls&gt;&lt;custom2&gt;PMC2796818&lt;/custom2&gt;&lt;electronic-resource-num&gt;10.1093/bioinformatics/btp616&lt;/electronic-resource-num&gt;&lt;remote-database-provider&gt;NLM&lt;/remote-database-provider&gt;&lt;language&gt;eng&lt;/language&gt;&lt;/record&gt;&lt;/Cite&gt;&lt;/EndNote&gt;</w:instrText>
      </w:r>
      <w:r>
        <w:rPr>
          <w:rFonts w:asciiTheme="majorBidi" w:hAnsiTheme="majorBidi" w:cstheme="majorBidi"/>
        </w:rPr>
        <w:fldChar w:fldCharType="separate"/>
      </w:r>
      <w:r w:rsidR="009F332A" w:rsidRPr="009F332A">
        <w:rPr>
          <w:rFonts w:asciiTheme="majorBidi" w:hAnsiTheme="majorBidi" w:cstheme="majorBidi"/>
          <w:noProof/>
          <w:vertAlign w:val="superscript"/>
        </w:rPr>
        <w:t>5</w:t>
      </w:r>
      <w:r>
        <w:rPr>
          <w:rFonts w:asciiTheme="majorBidi" w:hAnsiTheme="majorBidi" w:cstheme="majorBidi"/>
        </w:rPr>
        <w:fldChar w:fldCharType="end"/>
      </w:r>
      <w:r w:rsidRPr="00BE25DA">
        <w:rPr>
          <w:rFonts w:asciiTheme="majorBidi" w:hAnsiTheme="majorBidi" w:cstheme="majorBidi"/>
        </w:rPr>
        <w:t xml:space="preserve">. Each gene was tested for differential expression based on the generalized negative binomial model using the </w:t>
      </w:r>
      <w:proofErr w:type="spellStart"/>
      <w:r w:rsidRPr="00BE25DA">
        <w:rPr>
          <w:rFonts w:asciiTheme="majorBidi" w:hAnsiTheme="majorBidi" w:cstheme="majorBidi"/>
        </w:rPr>
        <w:t>glmLRT</w:t>
      </w:r>
      <w:proofErr w:type="spellEnd"/>
      <w:r w:rsidRPr="00BE25DA">
        <w:rPr>
          <w:rFonts w:asciiTheme="majorBidi" w:hAnsiTheme="majorBidi" w:cstheme="majorBidi"/>
        </w:rPr>
        <w:t xml:space="preserve"> function</w:t>
      </w:r>
      <w:r>
        <w:rPr>
          <w:rFonts w:asciiTheme="majorBidi" w:hAnsiTheme="majorBidi" w:cstheme="majorBidi"/>
        </w:rPr>
        <w:t>,</w:t>
      </w:r>
      <w:r w:rsidRPr="00BE25DA">
        <w:rPr>
          <w:rFonts w:asciiTheme="majorBidi" w:hAnsiTheme="majorBidi" w:cstheme="majorBidi"/>
        </w:rPr>
        <w:t xml:space="preserve"> and an adjusted p-value &lt; 0.01 (</w:t>
      </w:r>
      <w:proofErr w:type="spellStart"/>
      <w:r w:rsidRPr="00BE25DA">
        <w:rPr>
          <w:rFonts w:asciiTheme="majorBidi" w:hAnsiTheme="majorBidi" w:cstheme="majorBidi"/>
        </w:rPr>
        <w:t>Benjamini</w:t>
      </w:r>
      <w:proofErr w:type="spellEnd"/>
      <w:r w:rsidRPr="00BE25DA">
        <w:rPr>
          <w:rFonts w:asciiTheme="majorBidi" w:hAnsiTheme="majorBidi" w:cstheme="majorBidi"/>
        </w:rPr>
        <w:t xml:space="preserve">-Hochberg </w:t>
      </w:r>
      <w:r>
        <w:rPr>
          <w:rFonts w:asciiTheme="majorBidi" w:hAnsiTheme="majorBidi" w:cstheme="majorBidi"/>
        </w:rPr>
        <w:t xml:space="preserve">False Discovery Rate (BH </w:t>
      </w:r>
      <w:r w:rsidRPr="00BE25DA">
        <w:rPr>
          <w:rFonts w:asciiTheme="majorBidi" w:hAnsiTheme="majorBidi" w:cstheme="majorBidi"/>
        </w:rPr>
        <w:t>FDR</w:t>
      </w:r>
      <w:r>
        <w:rPr>
          <w:rFonts w:asciiTheme="majorBidi" w:hAnsiTheme="majorBidi" w:cstheme="majorBidi"/>
        </w:rPr>
        <w:t>)</w:t>
      </w:r>
      <w:r w:rsidRPr="00BE25DA">
        <w:rPr>
          <w:rFonts w:asciiTheme="majorBidi" w:hAnsiTheme="majorBidi" w:cstheme="majorBidi"/>
        </w:rPr>
        <w:t xml:space="preserve">) was applied for DEG identification. To identify the related functional pathways and networks of DEGs, the </w:t>
      </w:r>
      <w:proofErr w:type="spellStart"/>
      <w:r w:rsidRPr="00BE25DA">
        <w:rPr>
          <w:rFonts w:asciiTheme="majorBidi" w:hAnsiTheme="majorBidi" w:cstheme="majorBidi"/>
        </w:rPr>
        <w:t>ClueGO</w:t>
      </w:r>
      <w:proofErr w:type="spellEnd"/>
      <w:r w:rsidRPr="00BE25DA">
        <w:rPr>
          <w:rFonts w:asciiTheme="majorBidi" w:hAnsiTheme="majorBidi" w:cstheme="majorBidi"/>
        </w:rPr>
        <w:t xml:space="preserve"> app </w:t>
      </w:r>
      <w:r>
        <w:rPr>
          <w:rFonts w:asciiTheme="majorBidi" w:hAnsiTheme="majorBidi" w:cstheme="majorBidi"/>
        </w:rPr>
        <w:fldChar w:fldCharType="begin"/>
      </w:r>
      <w:r w:rsidR="009F332A">
        <w:rPr>
          <w:rFonts w:asciiTheme="majorBidi" w:hAnsiTheme="majorBidi" w:cstheme="majorBidi"/>
        </w:rPr>
        <w:instrText xml:space="preserve"> ADDIN EN.CITE &lt;EndNote&gt;&lt;Cite&gt;&lt;Author&gt;Bindea&lt;/Author&gt;&lt;Year&gt;2009&lt;/Year&gt;&lt;RecNum&gt;11&lt;/RecNum&gt;&lt;DisplayText&gt;&lt;style face="superscript"&gt;6&lt;/style&gt;&lt;/DisplayText&gt;&lt;record&gt;&lt;rec-number&gt;11&lt;/rec-number&gt;&lt;foreign-keys&gt;&lt;key app="EN" db-id="tdtxtd55x2ftveeafrqvpvvzdetf09s5wa9f" timestamp="1667125174"&gt;11&lt;/key&gt;&lt;/foreign-keys&gt;&lt;ref-type name="Journal Article"&gt;17&lt;/ref-type&gt;&lt;contributors&gt;&lt;authors&gt;&lt;author&gt;Bindea, G.&lt;/author&gt;&lt;author&gt;Mlecnik, B.&lt;/author&gt;&lt;author&gt;Hackl, H.&lt;/author&gt;&lt;author&gt;Charoentong, P.&lt;/author&gt;&lt;author&gt;Tosolini, M.&lt;/author&gt;&lt;author&gt;Kirilovsky, A.&lt;/author&gt;&lt;author&gt;Fridman, W. H.&lt;/author&gt;&lt;author&gt;Pagès, F.&lt;/author&gt;&lt;author&gt;Trajanoski, Z.&lt;/author&gt;&lt;author&gt;Galon, J.&lt;/author&gt;&lt;/authors&gt;&lt;/contributors&gt;&lt;auth-address&gt;INSERM, AVENIR Team, Integrative Cancer Immunology, U872, Paris, France.&lt;/auth-address&gt;&lt;titles&gt;&lt;title&gt;ClueGO: a Cytoscape plug-in to decipher functionally grouped gene ontology and pathway annotation networks&lt;/title&gt;&lt;secondary-title&gt;Bioinformatics&lt;/secondary-title&gt;&lt;alt-title&gt;Bioinformatics (Oxford, England)&lt;/alt-title&gt;&lt;/titles&gt;&lt;periodical&gt;&lt;full-title&gt;Bioinformatics&lt;/full-title&gt;&lt;abbr-1&gt;Bioinformatics (Oxford, England)&lt;/abbr-1&gt;&lt;/periodical&gt;&lt;alt-periodical&gt;&lt;full-title&gt;Bioinformatics&lt;/full-title&gt;&lt;abbr-1&gt;Bioinformatics (Oxford, England)&lt;/abbr-1&gt;&lt;/alt-periodical&gt;&lt;pages&gt;1091-3&lt;/pages&gt;&lt;volume&gt;25&lt;/volume&gt;&lt;number&gt;8&lt;/number&gt;&lt;edition&gt;2009/02/25&lt;/edition&gt;&lt;keywords&gt;&lt;keyword&gt;Computational Biology/*methods&lt;/keyword&gt;&lt;keyword&gt;Databases, Genetic&lt;/keyword&gt;&lt;keyword&gt;*Gene Regulatory Networks&lt;/keyword&gt;&lt;keyword&gt;Models, Biological&lt;/keyword&gt;&lt;keyword&gt;Multigene Family&lt;/keyword&gt;&lt;keyword&gt;*Software&lt;/keyword&gt;&lt;/keywords&gt;&lt;dates&gt;&lt;year&gt;2009&lt;/year&gt;&lt;pub-dates&gt;&lt;date&gt;Apr 15&lt;/date&gt;&lt;/pub-dates&gt;&lt;/dates&gt;&lt;isbn&gt;1367-4803 (Print)&amp;#xD;1367-4803&lt;/isbn&gt;&lt;accession-num&gt;19237447&lt;/accession-num&gt;&lt;urls&gt;&lt;/urls&gt;&lt;custom2&gt;PMC2666812&lt;/custom2&gt;&lt;electronic-resource-num&gt;10.1093/bioinformatics/btp101&lt;/electronic-resource-num&gt;&lt;remote-database-provider&gt;NLM&lt;/remote-database-provider&gt;&lt;language&gt;eng&lt;/language&gt;&lt;/record&gt;&lt;/Cite&gt;&lt;/EndNote&gt;</w:instrText>
      </w:r>
      <w:r>
        <w:rPr>
          <w:rFonts w:asciiTheme="majorBidi" w:hAnsiTheme="majorBidi" w:cstheme="majorBidi"/>
        </w:rPr>
        <w:fldChar w:fldCharType="separate"/>
      </w:r>
      <w:r w:rsidR="009F332A" w:rsidRPr="009F332A">
        <w:rPr>
          <w:rFonts w:asciiTheme="majorBidi" w:hAnsiTheme="majorBidi" w:cstheme="majorBidi"/>
          <w:noProof/>
          <w:vertAlign w:val="superscript"/>
        </w:rPr>
        <w:t>6</w:t>
      </w:r>
      <w:r>
        <w:rPr>
          <w:rFonts w:asciiTheme="majorBidi" w:hAnsiTheme="majorBidi" w:cstheme="majorBidi"/>
        </w:rPr>
        <w:fldChar w:fldCharType="end"/>
      </w:r>
      <w:r w:rsidRPr="00BE25DA">
        <w:rPr>
          <w:rFonts w:asciiTheme="majorBidi" w:hAnsiTheme="majorBidi" w:cstheme="majorBidi"/>
        </w:rPr>
        <w:t xml:space="preserve"> of </w:t>
      </w:r>
      <w:proofErr w:type="spellStart"/>
      <w:r w:rsidRPr="00BE25DA">
        <w:rPr>
          <w:rFonts w:asciiTheme="majorBidi" w:hAnsiTheme="majorBidi" w:cstheme="majorBidi"/>
        </w:rPr>
        <w:t>Cytoscape</w:t>
      </w:r>
      <w:proofErr w:type="spellEnd"/>
      <w:r w:rsidRPr="00BE25DA">
        <w:rPr>
          <w:rFonts w:asciiTheme="majorBidi" w:hAnsiTheme="majorBidi" w:cstheme="majorBidi"/>
        </w:rPr>
        <w:t xml:space="preserve"> </w:t>
      </w:r>
      <w:r>
        <w:rPr>
          <w:rFonts w:asciiTheme="majorBidi" w:hAnsiTheme="majorBidi" w:cstheme="majorBidi"/>
        </w:rPr>
        <w:fldChar w:fldCharType="begin">
          <w:fldData xml:space="preserve">PEVuZE5vdGU+PENpdGU+PEF1dGhvcj5TaGFubm9uPC9BdXRob3I+PFllYXI+MjAwMzwvWWVhcj48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=
</w:fldData>
        </w:fldChar>
      </w:r>
      <w:r w:rsidR="009F332A">
        <w:rPr>
          <w:rFonts w:asciiTheme="majorBidi" w:hAnsiTheme="majorBidi" w:cstheme="majorBidi"/>
        </w:rPr>
        <w:instrText xml:space="preserve"> ADDIN EN.CITE </w:instrText>
      </w:r>
      <w:r w:rsidR="009F332A">
        <w:rPr>
          <w:rFonts w:asciiTheme="majorBidi" w:hAnsiTheme="majorBidi" w:cstheme="majorBidi"/>
        </w:rPr>
        <w:fldChar w:fldCharType="begin">
          <w:fldData xml:space="preserve">PEVuZE5vdGU+PENpdGU+PEF1dGhvcj5TaGFubm9uPC9BdXRob3I+PFllYXI+MjAwMzwvWWVhcj48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=
</w:fldData>
        </w:fldChar>
      </w:r>
      <w:r w:rsidR="009F332A">
        <w:rPr>
          <w:rFonts w:asciiTheme="majorBidi" w:hAnsiTheme="majorBidi" w:cstheme="majorBidi"/>
        </w:rPr>
        <w:instrText xml:space="preserve"> ADDIN EN.CITE.DATA </w:instrText>
      </w:r>
      <w:r w:rsidR="009F332A">
        <w:rPr>
          <w:rFonts w:asciiTheme="majorBidi" w:hAnsiTheme="majorBidi" w:cstheme="majorBidi"/>
        </w:rPr>
      </w:r>
      <w:r w:rsidR="009F332A">
        <w:rPr>
          <w:rFonts w:asciiTheme="majorBidi" w:hAnsiTheme="majorBidi" w:cstheme="majorBidi"/>
        </w:rPr>
        <w:fldChar w:fldCharType="end"/>
      </w:r>
      <w:r>
        <w:rPr>
          <w:rFonts w:asciiTheme="majorBidi" w:hAnsiTheme="majorBidi" w:cstheme="majorBidi"/>
        </w:rPr>
        <w:fldChar w:fldCharType="separate"/>
      </w:r>
      <w:r w:rsidR="009F332A" w:rsidRPr="009F332A">
        <w:rPr>
          <w:rFonts w:asciiTheme="majorBidi" w:hAnsiTheme="majorBidi" w:cstheme="majorBidi"/>
          <w:noProof/>
          <w:vertAlign w:val="superscript"/>
        </w:rPr>
        <w:t>7</w:t>
      </w:r>
      <w:r>
        <w:rPr>
          <w:rFonts w:asciiTheme="majorBidi" w:hAnsiTheme="majorBidi" w:cstheme="majorBidi"/>
        </w:rPr>
        <w:fldChar w:fldCharType="end"/>
      </w:r>
      <w:r w:rsidRPr="00BE25DA">
        <w:rPr>
          <w:rFonts w:asciiTheme="majorBidi" w:hAnsiTheme="majorBidi" w:cstheme="majorBidi"/>
        </w:rPr>
        <w:t xml:space="preserve"> was used for gene ontology (GO) pathway analysis </w:t>
      </w:r>
      <w:r>
        <w:rPr>
          <w:rFonts w:asciiTheme="majorBidi" w:hAnsiTheme="majorBidi" w:cstheme="majorBidi"/>
        </w:rPr>
        <w:fldChar w:fldCharType="begin">
          <w:fldData xml:space="preserve">PEVuZE5vdGU+PENpdGU+PEF1dGhvcj5Bc2hidXJuZXI8L0F1dGhvcj48WWVhcj4yMDAwPC9ZZWFy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</w:fldData>
        </w:fldChar>
      </w:r>
      <w:r w:rsidR="009F332A">
        <w:rPr>
          <w:rFonts w:asciiTheme="majorBidi" w:hAnsiTheme="majorBidi" w:cstheme="majorBidi"/>
        </w:rPr>
        <w:instrText xml:space="preserve"> ADDIN EN.CITE </w:instrText>
      </w:r>
      <w:r w:rsidR="009F332A">
        <w:rPr>
          <w:rFonts w:asciiTheme="majorBidi" w:hAnsiTheme="majorBidi" w:cstheme="majorBidi"/>
        </w:rPr>
        <w:fldChar w:fldCharType="begin">
          <w:fldData xml:space="preserve">PEVuZE5vdGU+PENpdGU+PEF1dGhvcj5Bc2hidXJuZXI8L0F1dGhvcj48WWVhcj4yMDAwPC9ZZWFy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</w:fldData>
        </w:fldChar>
      </w:r>
      <w:r w:rsidR="009F332A">
        <w:rPr>
          <w:rFonts w:asciiTheme="majorBidi" w:hAnsiTheme="majorBidi" w:cstheme="majorBidi"/>
        </w:rPr>
        <w:instrText xml:space="preserve"> ADDIN EN.CITE.DATA </w:instrText>
      </w:r>
      <w:r w:rsidR="009F332A">
        <w:rPr>
          <w:rFonts w:asciiTheme="majorBidi" w:hAnsiTheme="majorBidi" w:cstheme="majorBidi"/>
        </w:rPr>
      </w:r>
      <w:r w:rsidR="009F332A">
        <w:rPr>
          <w:rFonts w:asciiTheme="majorBidi" w:hAnsiTheme="majorBidi" w:cstheme="majorBidi"/>
        </w:rPr>
        <w:fldChar w:fldCharType="end"/>
      </w:r>
      <w:r>
        <w:rPr>
          <w:rFonts w:asciiTheme="majorBidi" w:hAnsiTheme="majorBidi" w:cstheme="majorBidi"/>
        </w:rPr>
        <w:fldChar w:fldCharType="separate"/>
      </w:r>
      <w:r w:rsidR="009F332A" w:rsidRPr="009F332A">
        <w:rPr>
          <w:rFonts w:asciiTheme="majorBidi" w:hAnsiTheme="majorBidi" w:cstheme="majorBidi"/>
          <w:noProof/>
          <w:vertAlign w:val="superscript"/>
        </w:rPr>
        <w:t>8</w:t>
      </w:r>
      <w:r>
        <w:rPr>
          <w:rFonts w:asciiTheme="majorBidi" w:hAnsiTheme="majorBidi" w:cstheme="majorBidi"/>
        </w:rPr>
        <w:fldChar w:fldCharType="end"/>
      </w:r>
      <w:r w:rsidRPr="00BE25DA">
        <w:rPr>
          <w:rFonts w:asciiTheme="majorBidi" w:hAnsiTheme="majorBidi" w:cstheme="majorBidi"/>
        </w:rPr>
        <w:t>. Enriched terms were identified using a specific GO database, the Immune System Process database (2022-05-25)</w:t>
      </w:r>
      <w:r>
        <w:rPr>
          <w:rFonts w:asciiTheme="majorBidi" w:hAnsiTheme="majorBidi" w:cstheme="majorBidi"/>
        </w:rPr>
        <w:t>,</w:t>
      </w:r>
      <w:r w:rsidRPr="00BE25DA">
        <w:rPr>
          <w:rFonts w:asciiTheme="majorBidi" w:hAnsiTheme="majorBidi" w:cstheme="majorBidi"/>
        </w:rPr>
        <w:t xml:space="preserve"> with BH FDR &lt; 0.01, and genes related to the enriched GO terms were identified using </w:t>
      </w:r>
      <w:proofErr w:type="spellStart"/>
      <w:r w:rsidRPr="00BE25DA">
        <w:rPr>
          <w:rFonts w:asciiTheme="majorBidi" w:hAnsiTheme="majorBidi" w:cstheme="majorBidi"/>
        </w:rPr>
        <w:t>CluePedia</w:t>
      </w:r>
      <w:proofErr w:type="spellEnd"/>
      <w:r w:rsidRPr="00BE25DA">
        <w:rPr>
          <w:rFonts w:asciiTheme="majorBidi" w:hAnsiTheme="majorBidi" w:cstheme="majorBidi"/>
        </w:rPr>
        <w:t xml:space="preserve"> </w:t>
      </w:r>
      <w:r>
        <w:rPr>
          <w:rFonts w:asciiTheme="majorBidi" w:hAnsiTheme="majorBidi" w:cstheme="majorBidi"/>
        </w:rPr>
        <w:fldChar w:fldCharType="begin"/>
      </w:r>
      <w:r w:rsidR="009F332A">
        <w:rPr>
          <w:rFonts w:asciiTheme="majorBidi" w:hAnsiTheme="majorBidi" w:cstheme="majorBidi"/>
        </w:rPr>
        <w:instrText xml:space="preserve"> ADDIN EN.CITE &lt;EndNote&gt;&lt;Cite&gt;&lt;Author&gt;Bindea&lt;/Author&gt;&lt;Year&gt;2013&lt;/Year&gt;&lt;RecNum&gt;14&lt;/RecNum&gt;&lt;DisplayText&gt;&lt;style face="superscript"&gt;9&lt;/style&gt;&lt;/DisplayText&gt;&lt;record&gt;&lt;rec-number&gt;14&lt;/rec-number&gt;&lt;foreign-keys&gt;&lt;key app="EN" db-id="tdtxtd55x2ftveeafrqvpvvzdetf09s5wa9f" timestamp="1667125183"&gt;14&lt;/key&gt;&lt;/foreign-keys&gt;&lt;ref-type name="Journal Article"&gt;17&lt;/ref-type&gt;&lt;contributors&gt;&lt;authors&gt;&lt;author&gt;Bindea, G.&lt;/author&gt;&lt;author&gt;Galon, J.&lt;/author&gt;&lt;author&gt;Mlecnik, B.&lt;/author&gt;&lt;/authors&gt;&lt;/contributors&gt;&lt;auth-address&gt;INSERM, Laboratory of Integrative Cancer Immunology, 75006 Paris, France.&lt;/auth-address&gt;&lt;titles&gt;&lt;title&gt;CluePedia Cytoscape plugin: pathway insights using integrated experimental and in silico data&lt;/title&gt;&lt;secondary-title&gt;Bioinformatics&lt;/secondary-title&gt;&lt;alt-title&gt;Bioinformatics (Oxford, England)&lt;/alt-title&gt;&lt;/titles&gt;&lt;periodical&gt;&lt;full-title&gt;Bioinformatics&lt;/full-title&gt;&lt;abbr-1&gt;Bioinformatics (Oxford, England)&lt;/abbr-1&gt;&lt;/periodical&gt;&lt;alt-periodical&gt;&lt;full-title&gt;Bioinformatics&lt;/full-title&gt;&lt;abbr-1&gt;Bioinformatics (Oxford, England)&lt;/abbr-1&gt;&lt;/alt-periodical&gt;&lt;pages&gt;661-3&lt;/pages&gt;&lt;volume&gt;29&lt;/volume&gt;&lt;number&gt;5&lt;/number&gt;&lt;edition&gt;2013/01/18&lt;/edition&gt;&lt;keywords&gt;&lt;keyword&gt;Animals&lt;/keyword&gt;&lt;keyword&gt;Computer Simulation&lt;/keyword&gt;&lt;keyword&gt;*Gene Regulatory Networks&lt;/keyword&gt;&lt;keyword&gt;Humans&lt;/keyword&gt;&lt;keyword&gt;Mice&lt;/keyword&gt;&lt;keyword&gt;MicroRNAs/metabolism&lt;/keyword&gt;&lt;keyword&gt;Proteins/genetics/metabolism&lt;/keyword&gt;&lt;keyword&gt;*Software&lt;/keyword&gt;&lt;/keywords&gt;&lt;dates&gt;&lt;year&gt;2013&lt;/year&gt;&lt;pub-dates&gt;&lt;date&gt;Mar 1&lt;/date&gt;&lt;/pub-dates&gt;&lt;/dates&gt;&lt;isbn&gt;1367-4803 (Print)&amp;#xD;1367-4803&lt;/isbn&gt;&lt;accession-num&gt;23325622&lt;/accession-num&gt;&lt;urls&gt;&lt;/urls&gt;&lt;custom2&gt;PMC3582273&lt;/custom2&gt;&lt;electronic-resource-num&gt;10.1093/bioinformatics/btt019&lt;/electronic-resource-num&gt;&lt;remote-database-provider&gt;NLM&lt;/remote-database-provider&gt;&lt;language&gt;eng&lt;/language&gt;&lt;/record&gt;&lt;/Cite&gt;&lt;/EndNote&gt;</w:instrText>
      </w:r>
      <w:r>
        <w:rPr>
          <w:rFonts w:asciiTheme="majorBidi" w:hAnsiTheme="majorBidi" w:cstheme="majorBidi"/>
        </w:rPr>
        <w:fldChar w:fldCharType="separate"/>
      </w:r>
      <w:r w:rsidR="009F332A" w:rsidRPr="009F332A">
        <w:rPr>
          <w:rFonts w:asciiTheme="majorBidi" w:hAnsiTheme="majorBidi" w:cstheme="majorBidi"/>
          <w:noProof/>
          <w:vertAlign w:val="superscript"/>
        </w:rPr>
        <w:t>9</w:t>
      </w:r>
      <w:r>
        <w:rPr>
          <w:rFonts w:asciiTheme="majorBidi" w:hAnsiTheme="majorBidi" w:cstheme="majorBidi"/>
        </w:rPr>
        <w:fldChar w:fldCharType="end"/>
      </w:r>
      <w:r w:rsidRPr="00BE25DA">
        <w:rPr>
          <w:rFonts w:asciiTheme="majorBidi" w:hAnsiTheme="majorBidi" w:cstheme="majorBidi"/>
        </w:rPr>
        <w:t xml:space="preserve">. </w:t>
      </w:r>
    </w:p>
    <w:p w14:paraId="7EF3A508" w14:textId="77777777" w:rsidR="00EA13BC" w:rsidRPr="004F7C78" w:rsidRDefault="00EA13BC" w:rsidP="00EA13BC">
      <w:pPr>
        <w:spacing w:line="480" w:lineRule="auto"/>
        <w:rPr>
          <w:b/>
        </w:rPr>
      </w:pPr>
    </w:p>
    <w:p w14:paraId="640F12B9" w14:textId="77777777" w:rsidR="00EA13BC" w:rsidRPr="001308E0" w:rsidRDefault="00EA13BC" w:rsidP="00EA13BC">
      <w:pPr>
        <w:spacing w:before="240" w:after="60" w:line="480" w:lineRule="auto"/>
        <w:ind w:right="562"/>
        <w:rPr>
          <w:rFonts w:asciiTheme="majorBidi" w:hAnsiTheme="majorBidi" w:cstheme="majorBidi"/>
          <w:b/>
          <w:bCs/>
        </w:rPr>
      </w:pPr>
      <w:r w:rsidRPr="001308E0">
        <w:rPr>
          <w:rFonts w:asciiTheme="majorBidi" w:hAnsiTheme="majorBidi" w:cstheme="majorBidi"/>
          <w:b/>
          <w:bCs/>
        </w:rPr>
        <w:t>Immunohistochemistry</w:t>
      </w:r>
    </w:p>
    <w:p w14:paraId="314E35EC" w14:textId="62EABF11" w:rsidR="00EA13BC" w:rsidRDefault="00EA13BC" w:rsidP="00EA13BC">
      <w:pPr>
        <w:spacing w:before="240" w:after="60" w:line="480" w:lineRule="auto"/>
        <w:rPr>
          <w:rFonts w:asciiTheme="majorBidi" w:hAnsiTheme="majorBidi" w:cstheme="majorBidi"/>
        </w:rPr>
      </w:pPr>
      <w:r w:rsidRPr="00BE25DA">
        <w:rPr>
          <w:rFonts w:asciiTheme="majorBidi" w:hAnsiTheme="majorBidi" w:cstheme="majorBidi"/>
        </w:rPr>
        <w:t>The prepared lung and spleen sections were deparaffinized using xylene</w:t>
      </w:r>
      <w:r>
        <w:rPr>
          <w:rFonts w:asciiTheme="majorBidi" w:hAnsiTheme="majorBidi" w:cstheme="majorBidi"/>
        </w:rPr>
        <w:t>,</w:t>
      </w:r>
      <w:r w:rsidRPr="00BE25DA">
        <w:rPr>
          <w:rFonts w:asciiTheme="majorBidi" w:hAnsiTheme="majorBidi" w:cstheme="majorBidi"/>
        </w:rPr>
        <w:t xml:space="preserve"> and citrate buffer antigen (epitope) retrieval was performed following the procedures described previously </w:t>
      </w:r>
      <w:r>
        <w:rPr>
          <w:rFonts w:asciiTheme="majorBidi" w:hAnsiTheme="majorBidi" w:cstheme="majorBidi"/>
        </w:rPr>
        <w:fldChar w:fldCharType="begin">
          <w:fldData xml:space="preserve">PEVuZE5vdGU+PENpdGU+PEF1dGhvcj5LaW08L0F1dGhvcj48WWVhcj4yMDE3PC9ZZWFyPjxSZWNO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</w:fldData>
        </w:fldChar>
      </w:r>
      <w:r w:rsidR="009F332A">
        <w:rPr>
          <w:rFonts w:asciiTheme="majorBidi" w:hAnsiTheme="majorBidi" w:cstheme="majorBidi"/>
        </w:rPr>
        <w:instrText xml:space="preserve"> ADDIN EN.CITE </w:instrText>
      </w:r>
      <w:r w:rsidR="009F332A">
        <w:rPr>
          <w:rFonts w:asciiTheme="majorBidi" w:hAnsiTheme="majorBidi" w:cstheme="majorBidi"/>
        </w:rPr>
        <w:fldChar w:fldCharType="begin">
          <w:fldData xml:space="preserve">PEVuZE5vdGU+PENpdGU+PEF1dGhvcj5LaW08L0F1dGhvcj48WWVhcj4yMDE3PC9ZZWFyPjxSZWNO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</w:fldData>
        </w:fldChar>
      </w:r>
      <w:r w:rsidR="009F332A">
        <w:rPr>
          <w:rFonts w:asciiTheme="majorBidi" w:hAnsiTheme="majorBidi" w:cstheme="majorBidi"/>
        </w:rPr>
        <w:instrText xml:space="preserve"> ADDIN EN.CITE.DATA </w:instrText>
      </w:r>
      <w:r w:rsidR="009F332A">
        <w:rPr>
          <w:rFonts w:asciiTheme="majorBidi" w:hAnsiTheme="majorBidi" w:cstheme="majorBidi"/>
        </w:rPr>
      </w:r>
      <w:r w:rsidR="009F332A">
        <w:rPr>
          <w:rFonts w:asciiTheme="majorBidi" w:hAnsiTheme="majorBidi" w:cstheme="majorBidi"/>
        </w:rPr>
        <w:fldChar w:fldCharType="end"/>
      </w:r>
      <w:r>
        <w:rPr>
          <w:rFonts w:asciiTheme="majorBidi" w:hAnsiTheme="majorBidi" w:cstheme="majorBidi"/>
        </w:rPr>
        <w:fldChar w:fldCharType="separate"/>
      </w:r>
      <w:r w:rsidR="009F332A" w:rsidRPr="009F332A">
        <w:rPr>
          <w:rFonts w:asciiTheme="majorBidi" w:hAnsiTheme="majorBidi" w:cstheme="majorBidi"/>
          <w:noProof/>
          <w:vertAlign w:val="superscript"/>
        </w:rPr>
        <w:t>10</w:t>
      </w:r>
      <w:r>
        <w:rPr>
          <w:rFonts w:asciiTheme="majorBidi" w:hAnsiTheme="majorBidi" w:cstheme="majorBidi"/>
        </w:rPr>
        <w:fldChar w:fldCharType="end"/>
      </w:r>
      <w:r w:rsidRPr="00BE25DA">
        <w:rPr>
          <w:rFonts w:asciiTheme="majorBidi" w:hAnsiTheme="majorBidi" w:cstheme="majorBidi"/>
        </w:rPr>
        <w:t>. Briefly, a hot plate with a staining dish containing 10 mM citrate buffer (pH 6.0) was pre-heated to 95–100</w:t>
      </w:r>
      <w:r w:rsidRPr="002D444D">
        <w:rPr>
          <w:rFonts w:asciiTheme="majorBidi" w:hAnsiTheme="majorBidi" w:cstheme="majorBidi" w:hint="eastAsia"/>
        </w:rPr>
        <w:t>℃</w:t>
      </w:r>
      <w:r w:rsidRPr="00BE25DA">
        <w:rPr>
          <w:rFonts w:asciiTheme="majorBidi" w:hAnsiTheme="majorBidi" w:cstheme="majorBidi"/>
        </w:rPr>
        <w:t>. Slides were immersed in the staining dish; the lid was loosely placed on the staining dish; and incubated for 20 min. Subsequently, the staining dish was removed from the hot plate (by turning it off) and incubated at room temperature (24</w:t>
      </w:r>
      <w:r w:rsidRPr="002D444D">
        <w:rPr>
          <w:rFonts w:asciiTheme="majorBidi" w:hAnsiTheme="majorBidi" w:cstheme="majorBidi" w:hint="eastAsia"/>
        </w:rPr>
        <w:t>℃</w:t>
      </w:r>
      <w:r w:rsidRPr="00BE25DA">
        <w:rPr>
          <w:rFonts w:asciiTheme="majorBidi" w:hAnsiTheme="majorBidi" w:cstheme="majorBidi"/>
        </w:rPr>
        <w:t xml:space="preserve">) for 20 min to </w:t>
      </w:r>
      <w:r>
        <w:rPr>
          <w:rFonts w:asciiTheme="majorBidi" w:hAnsiTheme="majorBidi" w:cstheme="majorBidi"/>
        </w:rPr>
        <w:t>cool</w:t>
      </w:r>
      <w:r w:rsidRPr="00BE25DA">
        <w:rPr>
          <w:rFonts w:asciiTheme="majorBidi" w:hAnsiTheme="majorBidi" w:cstheme="majorBidi"/>
        </w:rPr>
        <w:t xml:space="preserve"> the slides. Afterward, the slides were incubated in methanol and 3% H</w:t>
      </w:r>
      <w:r w:rsidRPr="00BE25DA">
        <w:rPr>
          <w:rFonts w:asciiTheme="majorBidi" w:hAnsiTheme="majorBidi" w:cstheme="majorBidi"/>
          <w:vertAlign w:val="subscript"/>
        </w:rPr>
        <w:t>2</w:t>
      </w:r>
      <w:r w:rsidRPr="00BE25DA">
        <w:rPr>
          <w:rFonts w:asciiTheme="majorBidi" w:hAnsiTheme="majorBidi" w:cstheme="majorBidi"/>
        </w:rPr>
        <w:t>O</w:t>
      </w:r>
      <w:r w:rsidRPr="00BE25DA">
        <w:rPr>
          <w:rFonts w:asciiTheme="majorBidi" w:hAnsiTheme="majorBidi" w:cstheme="majorBidi"/>
          <w:vertAlign w:val="subscript"/>
        </w:rPr>
        <w:t>2</w:t>
      </w:r>
      <w:r w:rsidRPr="00BE25DA">
        <w:rPr>
          <w:rFonts w:asciiTheme="majorBidi" w:hAnsiTheme="majorBidi" w:cstheme="majorBidi"/>
        </w:rPr>
        <w:t xml:space="preserve"> at room temperature for 30 min to block the endogenous peroxidase activity. Non-specific binding of immunoglobulin was blocked by incubating the slides with 1% normal horse serum blocking solution (1:100; Vector Laboratories, Inc., CA, USA) at room temperature </w:t>
      </w:r>
      <w:r>
        <w:rPr>
          <w:rFonts w:asciiTheme="majorBidi" w:hAnsiTheme="majorBidi" w:cstheme="majorBidi"/>
        </w:rPr>
        <w:t xml:space="preserve">for </w:t>
      </w:r>
      <w:r w:rsidRPr="00BE25DA">
        <w:rPr>
          <w:rFonts w:asciiTheme="majorBidi" w:hAnsiTheme="majorBidi" w:cstheme="majorBidi"/>
        </w:rPr>
        <w:t>1 h in a humidity chamber. Afterward, the slides were incubated with primary antibodies (CD4 monoclonal antibody (1:100, GK1.5; Invitrogen), CD8a monoclonal antibody (1:100, 53-6.7, Invitrogen), Influenza A NP polyclonal antibody (1:200, Invitrogen) overnight at 4</w:t>
      </w:r>
      <w:r w:rsidRPr="002D444D">
        <w:rPr>
          <w:rFonts w:asciiTheme="majorBidi" w:hAnsiTheme="majorBidi" w:cstheme="majorBidi" w:hint="eastAsia"/>
        </w:rPr>
        <w:t>℃</w:t>
      </w:r>
      <w:r w:rsidRPr="00BE25DA">
        <w:rPr>
          <w:rFonts w:asciiTheme="majorBidi" w:hAnsiTheme="majorBidi" w:cstheme="majorBidi"/>
        </w:rPr>
        <w:t xml:space="preserve"> followed by incubation with biotinylated universal secondary antibody (</w:t>
      </w:r>
      <w:proofErr w:type="spellStart"/>
      <w:r w:rsidRPr="00BE25DA">
        <w:rPr>
          <w:rFonts w:asciiTheme="majorBidi" w:hAnsiTheme="majorBidi" w:cstheme="majorBidi"/>
        </w:rPr>
        <w:t>Vectastain</w:t>
      </w:r>
      <w:proofErr w:type="spellEnd"/>
      <w:r w:rsidRPr="00BE25DA">
        <w:rPr>
          <w:rFonts w:asciiTheme="majorBidi" w:hAnsiTheme="majorBidi" w:cstheme="majorBidi"/>
        </w:rPr>
        <w:t xml:space="preserve"> Elite ABC-HRP kit; 1:50; Vector Laboratories, Inc.) and ABC reagents (</w:t>
      </w:r>
      <w:proofErr w:type="spellStart"/>
      <w:r w:rsidRPr="00BE25DA">
        <w:rPr>
          <w:rFonts w:asciiTheme="majorBidi" w:hAnsiTheme="majorBidi" w:cstheme="majorBidi"/>
        </w:rPr>
        <w:t>Vectastain</w:t>
      </w:r>
      <w:proofErr w:type="spellEnd"/>
      <w:r w:rsidRPr="00BE25DA">
        <w:rPr>
          <w:rFonts w:asciiTheme="majorBidi" w:hAnsiTheme="majorBidi" w:cstheme="majorBidi"/>
        </w:rPr>
        <w:t xml:space="preserve"> Elite ABC-HRP kit; 1:50; Vector Laboratories, Inc.) for 1 h at room temperature in a humidity chamber. Finally, DAB staining was performed by incubating the slides with the DAB working solution (DAB Peroxidase Substrate kit; SK-4100, Vector Laboratories, Inc.) for 3–10 min at room temperature. All sections were rinsed in 0.05% PBS more than three times between the steps. Immunohistochemistry images were obtained, and immunoreactive areas were calculated using </w:t>
      </w:r>
      <w:proofErr w:type="spellStart"/>
      <w:r w:rsidRPr="00BE25DA">
        <w:rPr>
          <w:rFonts w:asciiTheme="majorBidi" w:hAnsiTheme="majorBidi" w:cstheme="majorBidi"/>
        </w:rPr>
        <w:t>Aperio</w:t>
      </w:r>
      <w:proofErr w:type="spellEnd"/>
      <w:r w:rsidRPr="00BE25DA">
        <w:rPr>
          <w:rFonts w:asciiTheme="majorBidi" w:hAnsiTheme="majorBidi" w:cstheme="majorBidi"/>
        </w:rPr>
        <w:t xml:space="preserve"> </w:t>
      </w:r>
      <w:proofErr w:type="spellStart"/>
      <w:r w:rsidRPr="00BE25DA">
        <w:rPr>
          <w:rFonts w:asciiTheme="majorBidi" w:hAnsiTheme="majorBidi" w:cstheme="majorBidi"/>
        </w:rPr>
        <w:t>ImageScope</w:t>
      </w:r>
      <w:proofErr w:type="spellEnd"/>
      <w:r w:rsidRPr="00BE25DA">
        <w:rPr>
          <w:rFonts w:asciiTheme="majorBidi" w:hAnsiTheme="majorBidi" w:cstheme="majorBidi"/>
        </w:rPr>
        <w:t xml:space="preserve"> version 12.4 and ImageJ (Version 1.46r, NIH, http://rsb.info.nih.gov/ij/index. html)</w:t>
      </w:r>
    </w:p>
    <w:p w14:paraId="479DD3A7" w14:textId="6CCD8FAE" w:rsidR="00EA13BC" w:rsidRDefault="00EA13BC" w:rsidP="00EA13BC">
      <w:pPr>
        <w:spacing w:line="480" w:lineRule="auto"/>
        <w:rPr>
          <w:b/>
        </w:rPr>
      </w:pPr>
    </w:p>
    <w:p w14:paraId="250DF58E" w14:textId="23921F6E" w:rsidR="00C10013" w:rsidRDefault="00C10013" w:rsidP="00EA13BC">
      <w:pPr>
        <w:spacing w:line="480" w:lineRule="auto"/>
        <w:rPr>
          <w:b/>
        </w:rPr>
      </w:pPr>
    </w:p>
    <w:p w14:paraId="37CC8671" w14:textId="1E1B932E" w:rsidR="00C10013" w:rsidRDefault="00BC7DAC" w:rsidP="00EA13BC">
      <w:pPr>
        <w:spacing w:line="480" w:lineRule="auto"/>
        <w:rPr>
          <w:b/>
        </w:rPr>
      </w:pPr>
      <w:r>
        <w:rPr>
          <w:b/>
        </w:rPr>
        <w:t>REFERENCES</w:t>
      </w:r>
    </w:p>
    <w:p w14:paraId="43AAA74B" w14:textId="77777777" w:rsidR="009F332A" w:rsidRPr="009F332A" w:rsidRDefault="00C10013" w:rsidP="009F332A">
      <w:pPr>
        <w:pStyle w:val="EndNoteBibliography"/>
        <w:ind w:left="720" w:hanging="720"/>
      </w:pPr>
      <w:r>
        <w:fldChar w:fldCharType="begin"/>
      </w:r>
      <w:r>
        <w:instrText xml:space="preserve"> ADDIN EN.REFLIST </w:instrText>
      </w:r>
      <w:r>
        <w:fldChar w:fldCharType="separate"/>
      </w:r>
      <w:r w:rsidR="009F332A" w:rsidRPr="009F332A">
        <w:t>1.</w:t>
      </w:r>
      <w:r w:rsidR="009F332A" w:rsidRPr="009F332A">
        <w:tab/>
        <w:t xml:space="preserve">Bolger, A.M., Lohse, M. &amp; Usadel, B. Trimmomatic: a flexible trimmer for Illumina sequence data. </w:t>
      </w:r>
      <w:r w:rsidR="009F332A" w:rsidRPr="009F332A">
        <w:rPr>
          <w:i/>
        </w:rPr>
        <w:t>Bioinformatics</w:t>
      </w:r>
      <w:r w:rsidR="009F332A" w:rsidRPr="009F332A">
        <w:t xml:space="preserve"> </w:t>
      </w:r>
      <w:r w:rsidR="009F332A" w:rsidRPr="009F332A">
        <w:rPr>
          <w:b/>
        </w:rPr>
        <w:t>30</w:t>
      </w:r>
      <w:r w:rsidR="009F332A" w:rsidRPr="009F332A">
        <w:t>, 2114-2120 (2014).</w:t>
      </w:r>
    </w:p>
    <w:p w14:paraId="603E511B" w14:textId="77777777" w:rsidR="009F332A" w:rsidRPr="009F332A" w:rsidRDefault="009F332A" w:rsidP="009F332A">
      <w:pPr>
        <w:pStyle w:val="EndNoteBibliography"/>
        <w:ind w:left="720" w:hanging="720"/>
      </w:pPr>
      <w:r w:rsidRPr="009F332A">
        <w:t>2.</w:t>
      </w:r>
      <w:r w:rsidRPr="009F332A">
        <w:tab/>
        <w:t xml:space="preserve">Kim, D., Paggi, J.M., Park, C., Bennett, C. &amp; Salzberg, S.L. Graph-based genome alignment and genotyping with HISAT2 and HISAT-genotype. </w:t>
      </w:r>
      <w:r w:rsidRPr="009F332A">
        <w:rPr>
          <w:i/>
        </w:rPr>
        <w:t>Nat Biotechnol</w:t>
      </w:r>
      <w:r w:rsidRPr="009F332A">
        <w:t xml:space="preserve"> </w:t>
      </w:r>
      <w:r w:rsidRPr="009F332A">
        <w:rPr>
          <w:b/>
        </w:rPr>
        <w:t>37</w:t>
      </w:r>
      <w:r w:rsidRPr="009F332A">
        <w:t>, 907-915 (2019).</w:t>
      </w:r>
    </w:p>
    <w:p w14:paraId="77B8F12B" w14:textId="77777777" w:rsidR="009F332A" w:rsidRPr="009F332A" w:rsidRDefault="009F332A" w:rsidP="009F332A">
      <w:pPr>
        <w:pStyle w:val="EndNoteBibliography"/>
        <w:ind w:left="720" w:hanging="720"/>
      </w:pPr>
      <w:r w:rsidRPr="009F332A">
        <w:t>3.</w:t>
      </w:r>
      <w:r w:rsidRPr="009F332A">
        <w:tab/>
        <w:t xml:space="preserve">Liao, Y., Smyth, G.K. &amp; Shi, W. featureCounts: an efficient general purpose program for assigning sequence reads to genomic features. </w:t>
      </w:r>
      <w:r w:rsidRPr="009F332A">
        <w:rPr>
          <w:i/>
        </w:rPr>
        <w:t>Bioinformatics</w:t>
      </w:r>
      <w:r w:rsidRPr="009F332A">
        <w:t xml:space="preserve"> </w:t>
      </w:r>
      <w:r w:rsidRPr="009F332A">
        <w:rPr>
          <w:b/>
        </w:rPr>
        <w:t>30</w:t>
      </w:r>
      <w:r w:rsidRPr="009F332A">
        <w:t>, 923-930 (2014).</w:t>
      </w:r>
    </w:p>
    <w:p w14:paraId="1A69095D" w14:textId="77777777" w:rsidR="009F332A" w:rsidRPr="009F332A" w:rsidRDefault="009F332A" w:rsidP="009F332A">
      <w:pPr>
        <w:pStyle w:val="EndNoteBibliography"/>
        <w:ind w:left="720" w:hanging="720"/>
      </w:pPr>
      <w:r w:rsidRPr="009F332A">
        <w:t>4.</w:t>
      </w:r>
      <w:r w:rsidRPr="009F332A">
        <w:tab/>
        <w:t xml:space="preserve">Love, M.I., Huber, W. &amp; Anders, S. Moderated estimation of fold change and dispersion for RNA-seq data with DESeq2. </w:t>
      </w:r>
      <w:r w:rsidRPr="009F332A">
        <w:rPr>
          <w:i/>
        </w:rPr>
        <w:t>Genome Biol</w:t>
      </w:r>
      <w:r w:rsidRPr="009F332A">
        <w:t xml:space="preserve"> </w:t>
      </w:r>
      <w:r w:rsidRPr="009F332A">
        <w:rPr>
          <w:b/>
        </w:rPr>
        <w:t>15</w:t>
      </w:r>
      <w:r w:rsidRPr="009F332A">
        <w:t>, 550 (2014).</w:t>
      </w:r>
    </w:p>
    <w:p w14:paraId="03FEC493" w14:textId="77777777" w:rsidR="009F332A" w:rsidRPr="009F332A" w:rsidRDefault="009F332A" w:rsidP="009F332A">
      <w:pPr>
        <w:pStyle w:val="EndNoteBibliography"/>
        <w:ind w:left="720" w:hanging="720"/>
      </w:pPr>
      <w:r w:rsidRPr="009F332A">
        <w:t>5.</w:t>
      </w:r>
      <w:r w:rsidRPr="009F332A">
        <w:tab/>
        <w:t xml:space="preserve">Robinson, M.D., McCarthy, D.J. &amp; Smyth, G.K. edgeR: a Bioconductor package for differential expression analysis of digital gene expression data. </w:t>
      </w:r>
      <w:r w:rsidRPr="009F332A">
        <w:rPr>
          <w:i/>
        </w:rPr>
        <w:t>Bioinformatics</w:t>
      </w:r>
      <w:r w:rsidRPr="009F332A">
        <w:t xml:space="preserve"> </w:t>
      </w:r>
      <w:r w:rsidRPr="009F332A">
        <w:rPr>
          <w:b/>
        </w:rPr>
        <w:t>26</w:t>
      </w:r>
      <w:r w:rsidRPr="009F332A">
        <w:t>, 139-140 (2010).</w:t>
      </w:r>
    </w:p>
    <w:p w14:paraId="13FEA118" w14:textId="77777777" w:rsidR="009F332A" w:rsidRPr="009F332A" w:rsidRDefault="009F332A" w:rsidP="009F332A">
      <w:pPr>
        <w:pStyle w:val="EndNoteBibliography"/>
        <w:ind w:left="720" w:hanging="720"/>
      </w:pPr>
      <w:r w:rsidRPr="009F332A">
        <w:t>6.</w:t>
      </w:r>
      <w:r w:rsidRPr="009F332A">
        <w:tab/>
        <w:t xml:space="preserve">Bindea, G. et al. ClueGO: a Cytoscape plug-in to decipher functionally grouped gene ontology and pathway annotation networks. </w:t>
      </w:r>
      <w:r w:rsidRPr="009F332A">
        <w:rPr>
          <w:i/>
        </w:rPr>
        <w:t>Bioinformatics</w:t>
      </w:r>
      <w:r w:rsidRPr="009F332A">
        <w:t xml:space="preserve"> </w:t>
      </w:r>
      <w:r w:rsidRPr="009F332A">
        <w:rPr>
          <w:b/>
        </w:rPr>
        <w:t>25</w:t>
      </w:r>
      <w:r w:rsidRPr="009F332A">
        <w:t>, 1091-1093 (2009).</w:t>
      </w:r>
    </w:p>
    <w:p w14:paraId="521FEB97" w14:textId="77777777" w:rsidR="009F332A" w:rsidRPr="009F332A" w:rsidRDefault="009F332A" w:rsidP="009F332A">
      <w:pPr>
        <w:pStyle w:val="EndNoteBibliography"/>
        <w:ind w:left="720" w:hanging="720"/>
      </w:pPr>
      <w:r w:rsidRPr="009F332A">
        <w:t>7.</w:t>
      </w:r>
      <w:r w:rsidRPr="009F332A">
        <w:tab/>
        <w:t xml:space="preserve">Shannon, P. et al. Cytoscape: a software environment for integrated models of biomolecular interaction networks. </w:t>
      </w:r>
      <w:r w:rsidRPr="009F332A">
        <w:rPr>
          <w:i/>
        </w:rPr>
        <w:t>Genome Res</w:t>
      </w:r>
      <w:r w:rsidRPr="009F332A">
        <w:t xml:space="preserve"> </w:t>
      </w:r>
      <w:r w:rsidRPr="009F332A">
        <w:rPr>
          <w:b/>
        </w:rPr>
        <w:t>13</w:t>
      </w:r>
      <w:r w:rsidRPr="009F332A">
        <w:t>, 2498-2504 (2003).</w:t>
      </w:r>
    </w:p>
    <w:p w14:paraId="1F476A36" w14:textId="77777777" w:rsidR="009F332A" w:rsidRPr="009F332A" w:rsidRDefault="009F332A" w:rsidP="009F332A">
      <w:pPr>
        <w:pStyle w:val="EndNoteBibliography"/>
        <w:ind w:left="720" w:hanging="720"/>
      </w:pPr>
      <w:r w:rsidRPr="009F332A">
        <w:t>8.</w:t>
      </w:r>
      <w:r w:rsidRPr="009F332A">
        <w:tab/>
        <w:t xml:space="preserve">Ashburner, M. et al. Gene ontology: tool for the unification of biology. The Gene Ontology Consortium. </w:t>
      </w:r>
      <w:r w:rsidRPr="009F332A">
        <w:rPr>
          <w:i/>
        </w:rPr>
        <w:t>Nat Genet</w:t>
      </w:r>
      <w:r w:rsidRPr="009F332A">
        <w:t xml:space="preserve"> </w:t>
      </w:r>
      <w:r w:rsidRPr="009F332A">
        <w:rPr>
          <w:b/>
        </w:rPr>
        <w:t>25</w:t>
      </w:r>
      <w:r w:rsidRPr="009F332A">
        <w:t>, 25-29 (2000).</w:t>
      </w:r>
    </w:p>
    <w:p w14:paraId="5BD52E5B" w14:textId="77777777" w:rsidR="009F332A" w:rsidRPr="009F332A" w:rsidRDefault="009F332A" w:rsidP="009F332A">
      <w:pPr>
        <w:pStyle w:val="EndNoteBibliography"/>
        <w:ind w:left="720" w:hanging="720"/>
      </w:pPr>
      <w:r w:rsidRPr="009F332A">
        <w:t>9.</w:t>
      </w:r>
      <w:r w:rsidRPr="009F332A">
        <w:tab/>
        <w:t xml:space="preserve">Bindea, G., Galon, J. &amp; Mlecnik, B. CluePedia Cytoscape plugin: pathway insights using integrated experimental and in silico data. </w:t>
      </w:r>
      <w:r w:rsidRPr="009F332A">
        <w:rPr>
          <w:i/>
        </w:rPr>
        <w:t>Bioinformatics</w:t>
      </w:r>
      <w:r w:rsidRPr="009F332A">
        <w:t xml:space="preserve"> </w:t>
      </w:r>
      <w:r w:rsidRPr="009F332A">
        <w:rPr>
          <w:b/>
        </w:rPr>
        <w:t>29</w:t>
      </w:r>
      <w:r w:rsidRPr="009F332A">
        <w:t>, 661-663 (2013).</w:t>
      </w:r>
    </w:p>
    <w:p w14:paraId="54D02E72" w14:textId="77777777" w:rsidR="009F332A" w:rsidRPr="009F332A" w:rsidRDefault="009F332A" w:rsidP="009F332A">
      <w:pPr>
        <w:pStyle w:val="EndNoteBibliography"/>
        <w:ind w:left="720" w:hanging="720"/>
      </w:pPr>
      <w:r w:rsidRPr="009F332A">
        <w:t>10.</w:t>
      </w:r>
      <w:r w:rsidRPr="009F332A">
        <w:tab/>
        <w:t xml:space="preserve">Kim, C.G. et al. Bathing effects of east saline groundwater concentrates on allergic (atopic) dermatitis-like skin lesions induced by 2,4-dinitrochlorobenzene in hairless mice. </w:t>
      </w:r>
      <w:r w:rsidRPr="009F332A">
        <w:rPr>
          <w:i/>
        </w:rPr>
        <w:t>Exp Ther Med</w:t>
      </w:r>
      <w:r w:rsidRPr="009F332A">
        <w:t xml:space="preserve"> </w:t>
      </w:r>
      <w:r w:rsidRPr="009F332A">
        <w:rPr>
          <w:b/>
        </w:rPr>
        <w:t>13</w:t>
      </w:r>
      <w:r w:rsidRPr="009F332A">
        <w:t>, 3448-3466 (2017).</w:t>
      </w:r>
    </w:p>
    <w:p w14:paraId="21B42F08" w14:textId="36617B9E" w:rsidR="00C10013" w:rsidRDefault="00C10013" w:rsidP="00C10013">
      <w:pPr>
        <w:spacing w:line="480" w:lineRule="auto"/>
      </w:pPr>
      <w:r>
        <w:fldChar w:fldCharType="end"/>
      </w:r>
    </w:p>
    <w:p w14:paraId="1D5F88D5" w14:textId="77777777" w:rsidR="00C10013" w:rsidRDefault="00C10013" w:rsidP="00C10013">
      <w:pPr>
        <w:spacing w:line="480" w:lineRule="auto"/>
      </w:pPr>
    </w:p>
    <w:p w14:paraId="3A8D9D6D" w14:textId="65DD398F" w:rsidR="00C10013" w:rsidRDefault="00C10013">
      <w:pPr>
        <w:spacing w:after="160" w:line="259" w:lineRule="auto"/>
        <w:jc w:val="both"/>
      </w:pPr>
      <w:r>
        <w:br w:type="page"/>
      </w:r>
    </w:p>
    <w:p w14:paraId="2EB48263" w14:textId="77777777" w:rsidR="00EA13BC" w:rsidRPr="00CA267E" w:rsidRDefault="00EA13BC" w:rsidP="00EA13BC">
      <w:pPr>
        <w:spacing w:line="480" w:lineRule="auto"/>
        <w:rPr>
          <w:bCs/>
        </w:rPr>
      </w:pPr>
      <w:r>
        <w:rPr>
          <w:b/>
        </w:rPr>
        <w:t xml:space="preserve">Supplementary Table 1. </w:t>
      </w:r>
      <w:r w:rsidRPr="00CA267E">
        <w:rPr>
          <w:bCs/>
        </w:rPr>
        <w:t>Characteristics of mRNA-HA including size, zeta potential, polydispersity index (PDI), and encapsulation efficiency.</w:t>
      </w:r>
    </w:p>
    <w:tbl>
      <w:tblPr>
        <w:tblW w:w="6227" w:type="dxa"/>
        <w:tblInd w:w="1515" w:type="dxa"/>
        <w:tblBorders>
          <w:top w:val="single" w:sz="4" w:space="0" w:color="auto"/>
        </w:tblBorders>
        <w:tblCellMar>
          <w:left w:w="0" w:type="dxa"/>
          <w:right w:w="0" w:type="dxa"/>
        </w:tblCellMar>
        <w:tblLook w:val="0420" w:firstRow="1" w:lastRow="0" w:firstColumn="0" w:lastColumn="0" w:noHBand="0" w:noVBand="1"/>
      </w:tblPr>
      <w:tblGrid>
        <w:gridCol w:w="2967"/>
        <w:gridCol w:w="3260"/>
      </w:tblGrid>
      <w:tr w:rsidR="00EA13BC" w:rsidRPr="00C57115" w14:paraId="1C68E560" w14:textId="77777777" w:rsidTr="001308E0">
        <w:trPr>
          <w:trHeight w:val="584"/>
        </w:trPr>
        <w:tc>
          <w:tcPr>
            <w:tcW w:w="2967" w:type="dxa"/>
            <w:shd w:val="clear" w:color="auto" w:fill="auto"/>
            <w:tcMar>
              <w:top w:w="72" w:type="dxa"/>
              <w:left w:w="144" w:type="dxa"/>
              <w:bottom w:w="72" w:type="dxa"/>
              <w:right w:w="144" w:type="dxa"/>
            </w:tcMar>
            <w:vAlign w:val="center"/>
            <w:hideMark/>
          </w:tcPr>
          <w:p w14:paraId="5DFADAE4" w14:textId="77777777" w:rsidR="00EA13BC" w:rsidRPr="00C57115" w:rsidRDefault="00EA13BC" w:rsidP="00127725">
            <w:pPr>
              <w:spacing w:line="480" w:lineRule="auto"/>
              <w:rPr>
                <w:color w:val="000000"/>
              </w:rPr>
            </w:pPr>
          </w:p>
        </w:tc>
        <w:tc>
          <w:tcPr>
            <w:tcW w:w="3260" w:type="dxa"/>
            <w:shd w:val="clear" w:color="auto" w:fill="auto"/>
            <w:tcMar>
              <w:top w:w="72" w:type="dxa"/>
              <w:left w:w="144" w:type="dxa"/>
              <w:bottom w:w="72" w:type="dxa"/>
              <w:right w:w="144" w:type="dxa"/>
            </w:tcMar>
            <w:vAlign w:val="center"/>
            <w:hideMark/>
          </w:tcPr>
          <w:p w14:paraId="7BAC4F3E" w14:textId="77777777" w:rsidR="00EA13BC" w:rsidRPr="00C57115" w:rsidRDefault="00EA13BC" w:rsidP="00127725">
            <w:pPr>
              <w:spacing w:line="480" w:lineRule="auto"/>
              <w:rPr>
                <w:color w:val="000000"/>
              </w:rPr>
            </w:pPr>
            <w:r w:rsidRPr="00C57115">
              <w:rPr>
                <w:b/>
                <w:bCs/>
                <w:color w:val="000000"/>
              </w:rPr>
              <w:t>LNP</w:t>
            </w:r>
          </w:p>
        </w:tc>
      </w:tr>
      <w:tr w:rsidR="00EA13BC" w:rsidRPr="00C57115" w14:paraId="6F6C8243" w14:textId="77777777" w:rsidTr="001308E0">
        <w:trPr>
          <w:trHeight w:val="584"/>
        </w:trPr>
        <w:tc>
          <w:tcPr>
            <w:tcW w:w="2967" w:type="dxa"/>
            <w:shd w:val="clear" w:color="auto" w:fill="auto"/>
            <w:tcMar>
              <w:top w:w="72" w:type="dxa"/>
              <w:left w:w="144" w:type="dxa"/>
              <w:bottom w:w="72" w:type="dxa"/>
              <w:right w:w="144" w:type="dxa"/>
            </w:tcMar>
            <w:vAlign w:val="center"/>
            <w:hideMark/>
          </w:tcPr>
          <w:p w14:paraId="7F34646B" w14:textId="77777777" w:rsidR="00EA13BC" w:rsidRPr="00C57115" w:rsidRDefault="00EA13BC" w:rsidP="00127725">
            <w:pPr>
              <w:spacing w:line="480" w:lineRule="auto"/>
              <w:rPr>
                <w:color w:val="000000"/>
              </w:rPr>
            </w:pPr>
            <w:r w:rsidRPr="00C57115">
              <w:rPr>
                <w:b/>
                <w:bCs/>
                <w:color w:val="000000"/>
              </w:rPr>
              <w:t>Size (nm)</w:t>
            </w:r>
          </w:p>
        </w:tc>
        <w:tc>
          <w:tcPr>
            <w:tcW w:w="3260" w:type="dxa"/>
            <w:shd w:val="clear" w:color="auto" w:fill="auto"/>
            <w:tcMar>
              <w:top w:w="72" w:type="dxa"/>
              <w:left w:w="144" w:type="dxa"/>
              <w:bottom w:w="72" w:type="dxa"/>
              <w:right w:w="144" w:type="dxa"/>
            </w:tcMar>
            <w:vAlign w:val="center"/>
            <w:hideMark/>
          </w:tcPr>
          <w:p w14:paraId="17FD6731" w14:textId="77777777" w:rsidR="00EA13BC" w:rsidRPr="00C57115" w:rsidRDefault="00EA13BC" w:rsidP="00127725">
            <w:pPr>
              <w:spacing w:line="480" w:lineRule="auto"/>
              <w:rPr>
                <w:color w:val="000000"/>
              </w:rPr>
            </w:pPr>
            <w:r w:rsidRPr="00C57115">
              <w:rPr>
                <w:color w:val="000000"/>
              </w:rPr>
              <w:t>97.0 ± 0.3</w:t>
            </w:r>
          </w:p>
        </w:tc>
      </w:tr>
      <w:tr w:rsidR="00EA13BC" w:rsidRPr="00C57115" w14:paraId="1FEFE32C" w14:textId="77777777" w:rsidTr="001308E0">
        <w:trPr>
          <w:trHeight w:val="584"/>
        </w:trPr>
        <w:tc>
          <w:tcPr>
            <w:tcW w:w="2967" w:type="dxa"/>
            <w:shd w:val="clear" w:color="auto" w:fill="auto"/>
            <w:tcMar>
              <w:top w:w="72" w:type="dxa"/>
              <w:left w:w="144" w:type="dxa"/>
              <w:bottom w:w="72" w:type="dxa"/>
              <w:right w:w="144" w:type="dxa"/>
            </w:tcMar>
            <w:vAlign w:val="center"/>
            <w:hideMark/>
          </w:tcPr>
          <w:p w14:paraId="30CE3EC6" w14:textId="77777777" w:rsidR="00EA13BC" w:rsidRPr="00C57115" w:rsidRDefault="00EA13BC" w:rsidP="00127725">
            <w:pPr>
              <w:spacing w:line="480" w:lineRule="auto"/>
              <w:rPr>
                <w:color w:val="000000"/>
              </w:rPr>
            </w:pPr>
            <w:r w:rsidRPr="00C57115">
              <w:rPr>
                <w:b/>
                <w:bCs/>
                <w:color w:val="000000"/>
              </w:rPr>
              <w:t>PDI</w:t>
            </w:r>
          </w:p>
        </w:tc>
        <w:tc>
          <w:tcPr>
            <w:tcW w:w="3260" w:type="dxa"/>
            <w:shd w:val="clear" w:color="auto" w:fill="auto"/>
            <w:tcMar>
              <w:top w:w="72" w:type="dxa"/>
              <w:left w:w="144" w:type="dxa"/>
              <w:bottom w:w="72" w:type="dxa"/>
              <w:right w:w="144" w:type="dxa"/>
            </w:tcMar>
            <w:vAlign w:val="center"/>
            <w:hideMark/>
          </w:tcPr>
          <w:p w14:paraId="734B0446" w14:textId="77777777" w:rsidR="00EA13BC" w:rsidRPr="00C57115" w:rsidRDefault="00EA13BC" w:rsidP="00127725">
            <w:pPr>
              <w:spacing w:line="480" w:lineRule="auto"/>
              <w:rPr>
                <w:color w:val="000000"/>
              </w:rPr>
            </w:pPr>
            <w:r w:rsidRPr="00C57115">
              <w:rPr>
                <w:color w:val="000000"/>
              </w:rPr>
              <w:t>0.14</w:t>
            </w:r>
          </w:p>
        </w:tc>
      </w:tr>
      <w:tr w:rsidR="00EA13BC" w:rsidRPr="00C57115" w14:paraId="0B2DE06A" w14:textId="77777777" w:rsidTr="001308E0">
        <w:trPr>
          <w:trHeight w:val="584"/>
        </w:trPr>
        <w:tc>
          <w:tcPr>
            <w:tcW w:w="2967" w:type="dxa"/>
            <w:tcBorders>
              <w:bottom w:val="nil"/>
            </w:tcBorders>
            <w:shd w:val="clear" w:color="auto" w:fill="auto"/>
            <w:tcMar>
              <w:top w:w="72" w:type="dxa"/>
              <w:left w:w="144" w:type="dxa"/>
              <w:bottom w:w="72" w:type="dxa"/>
              <w:right w:w="144" w:type="dxa"/>
            </w:tcMar>
            <w:vAlign w:val="center"/>
            <w:hideMark/>
          </w:tcPr>
          <w:p w14:paraId="50EADEA2" w14:textId="77777777" w:rsidR="00EA13BC" w:rsidRPr="00C57115" w:rsidRDefault="00EA13BC" w:rsidP="00127725">
            <w:pPr>
              <w:spacing w:line="480" w:lineRule="auto"/>
              <w:rPr>
                <w:color w:val="000000"/>
              </w:rPr>
            </w:pPr>
            <w:r w:rsidRPr="00C57115">
              <w:rPr>
                <w:b/>
                <w:bCs/>
                <w:color w:val="000000"/>
              </w:rPr>
              <w:t>Zeta potential (mV)</w:t>
            </w:r>
          </w:p>
        </w:tc>
        <w:tc>
          <w:tcPr>
            <w:tcW w:w="3260" w:type="dxa"/>
            <w:tcBorders>
              <w:bottom w:val="nil"/>
            </w:tcBorders>
            <w:shd w:val="clear" w:color="auto" w:fill="auto"/>
            <w:tcMar>
              <w:top w:w="72" w:type="dxa"/>
              <w:left w:w="144" w:type="dxa"/>
              <w:bottom w:w="72" w:type="dxa"/>
              <w:right w:w="144" w:type="dxa"/>
            </w:tcMar>
            <w:vAlign w:val="center"/>
            <w:hideMark/>
          </w:tcPr>
          <w:p w14:paraId="5D6BC9E9" w14:textId="77777777" w:rsidR="00EA13BC" w:rsidRPr="00C57115" w:rsidRDefault="00EA13BC" w:rsidP="00127725">
            <w:pPr>
              <w:spacing w:line="480" w:lineRule="auto"/>
              <w:rPr>
                <w:color w:val="000000"/>
              </w:rPr>
            </w:pPr>
            <w:r w:rsidRPr="00C57115">
              <w:rPr>
                <w:color w:val="000000"/>
              </w:rPr>
              <w:t>27.6 ± 0.8</w:t>
            </w:r>
          </w:p>
        </w:tc>
      </w:tr>
      <w:tr w:rsidR="00EA13BC" w:rsidRPr="00C57115" w14:paraId="25E6E925" w14:textId="77777777" w:rsidTr="001308E0">
        <w:trPr>
          <w:trHeight w:val="584"/>
        </w:trPr>
        <w:tc>
          <w:tcPr>
            <w:tcW w:w="2967" w:type="dxa"/>
            <w:tcBorders>
              <w:top w:val="nil"/>
              <w:bottom w:val="single" w:sz="4" w:space="0" w:color="auto"/>
            </w:tcBorders>
            <w:shd w:val="clear" w:color="auto" w:fill="auto"/>
            <w:tcMar>
              <w:top w:w="72" w:type="dxa"/>
              <w:left w:w="144" w:type="dxa"/>
              <w:bottom w:w="72" w:type="dxa"/>
              <w:right w:w="144" w:type="dxa"/>
            </w:tcMar>
            <w:vAlign w:val="center"/>
            <w:hideMark/>
          </w:tcPr>
          <w:p w14:paraId="7A070424" w14:textId="77777777" w:rsidR="00EA13BC" w:rsidRPr="00C57115" w:rsidRDefault="00EA13BC" w:rsidP="00127725">
            <w:pPr>
              <w:spacing w:line="480" w:lineRule="auto"/>
              <w:rPr>
                <w:color w:val="000000"/>
              </w:rPr>
            </w:pPr>
            <w:r w:rsidRPr="00C57115">
              <w:rPr>
                <w:b/>
                <w:bCs/>
                <w:color w:val="000000"/>
              </w:rPr>
              <w:t>Encapsulation efficiency</w:t>
            </w:r>
          </w:p>
        </w:tc>
        <w:tc>
          <w:tcPr>
            <w:tcW w:w="3260" w:type="dxa"/>
            <w:tcBorders>
              <w:top w:val="nil"/>
              <w:bottom w:val="single" w:sz="4" w:space="0" w:color="auto"/>
            </w:tcBorders>
            <w:shd w:val="clear" w:color="auto" w:fill="auto"/>
            <w:tcMar>
              <w:top w:w="72" w:type="dxa"/>
              <w:left w:w="144" w:type="dxa"/>
              <w:bottom w:w="72" w:type="dxa"/>
              <w:right w:w="144" w:type="dxa"/>
            </w:tcMar>
            <w:vAlign w:val="center"/>
            <w:hideMark/>
          </w:tcPr>
          <w:p w14:paraId="7A36DDC6" w14:textId="77777777" w:rsidR="00EA13BC" w:rsidRPr="00C57115" w:rsidRDefault="00EA13BC" w:rsidP="00127725">
            <w:pPr>
              <w:spacing w:line="480" w:lineRule="auto"/>
              <w:rPr>
                <w:color w:val="000000"/>
              </w:rPr>
            </w:pPr>
            <w:r w:rsidRPr="00C57115">
              <w:rPr>
                <w:color w:val="000000"/>
              </w:rPr>
              <w:t>87 %</w:t>
            </w:r>
          </w:p>
        </w:tc>
      </w:tr>
    </w:tbl>
    <w:p w14:paraId="268AFFCB" w14:textId="0A4AE776" w:rsidR="00EA13BC" w:rsidRDefault="00EA13BC" w:rsidP="00EA13BC">
      <w:pPr>
        <w:spacing w:line="480" w:lineRule="auto"/>
        <w:rPr>
          <w:b/>
        </w:rPr>
      </w:pPr>
    </w:p>
    <w:p w14:paraId="769E51C3" w14:textId="75D2DA26" w:rsidR="00C10013" w:rsidRDefault="00C10013" w:rsidP="00EA13BC">
      <w:pPr>
        <w:spacing w:line="480" w:lineRule="auto"/>
        <w:rPr>
          <w:b/>
        </w:rPr>
      </w:pPr>
    </w:p>
    <w:p w14:paraId="0B63EB3C" w14:textId="77777777" w:rsidR="00C10013" w:rsidRDefault="00C10013" w:rsidP="00C10013">
      <w:pPr>
        <w:spacing w:line="480" w:lineRule="auto"/>
        <w:rPr>
          <w:b/>
        </w:rPr>
      </w:pPr>
      <w:r>
        <w:rPr>
          <w:b/>
        </w:rPr>
        <w:t>Supplementary Figure legends</w:t>
      </w:r>
    </w:p>
    <w:p w14:paraId="3D83CFEF" w14:textId="77777777" w:rsidR="00EA13BC" w:rsidRDefault="00EA13BC" w:rsidP="00EA13BC">
      <w:pPr>
        <w:spacing w:line="480" w:lineRule="auto"/>
        <w:rPr>
          <w:b/>
        </w:rPr>
      </w:pPr>
    </w:p>
    <w:p w14:paraId="04CCDEB7" w14:textId="67DD27AC" w:rsidR="00EA13BC" w:rsidRPr="000C29E2" w:rsidRDefault="00EA13BC" w:rsidP="00EA13BC">
      <w:pPr>
        <w:spacing w:line="480" w:lineRule="auto"/>
        <w:rPr>
          <w:bCs/>
        </w:rPr>
      </w:pPr>
      <w:r w:rsidRPr="000C29E2">
        <w:rPr>
          <w:b/>
        </w:rPr>
        <w:t xml:space="preserve">Supplementary </w:t>
      </w:r>
      <w:r w:rsidR="00C96640" w:rsidRPr="000C29E2">
        <w:rPr>
          <w:b/>
        </w:rPr>
        <w:t>Fig</w:t>
      </w:r>
      <w:r w:rsidR="00C96640">
        <w:rPr>
          <w:b/>
        </w:rPr>
        <w:t>.</w:t>
      </w:r>
      <w:r w:rsidR="00C96640" w:rsidRPr="000C29E2">
        <w:rPr>
          <w:b/>
        </w:rPr>
        <w:t xml:space="preserve"> </w:t>
      </w:r>
      <w:r w:rsidRPr="000C29E2">
        <w:rPr>
          <w:b/>
        </w:rPr>
        <w:t xml:space="preserve">1. </w:t>
      </w:r>
      <w:r w:rsidRPr="001308E0">
        <w:rPr>
          <w:b/>
          <w:bCs/>
          <w:color w:val="262626"/>
          <w:spacing w:val="4"/>
          <w:shd w:val="clear" w:color="auto" w:fill="FFFFFF"/>
        </w:rPr>
        <w:t xml:space="preserve">Humoral and cellular immune responses induced by homologous or heterologous </w:t>
      </w:r>
      <w:r w:rsidR="00C96640" w:rsidRPr="001308E0">
        <w:rPr>
          <w:b/>
          <w:bCs/>
          <w:color w:val="262626"/>
          <w:spacing w:val="4"/>
          <w:shd w:val="clear" w:color="auto" w:fill="FFFFFF"/>
        </w:rPr>
        <w:t>priming-</w:t>
      </w:r>
      <w:r w:rsidRPr="001308E0">
        <w:rPr>
          <w:b/>
          <w:bCs/>
          <w:color w:val="262626"/>
          <w:spacing w:val="4"/>
          <w:shd w:val="clear" w:color="auto" w:fill="FFFFFF"/>
        </w:rPr>
        <w:t>boosting</w:t>
      </w:r>
      <w:r w:rsidRPr="00BE25DA">
        <w:rPr>
          <w:color w:val="262626"/>
          <w:spacing w:val="4"/>
          <w:shd w:val="clear" w:color="auto" w:fill="FFFFFF"/>
        </w:rPr>
        <w:t xml:space="preserve">. </w:t>
      </w:r>
      <w:r w:rsidRPr="00BE25DA">
        <w:rPr>
          <w:bCs/>
        </w:rPr>
        <w:t>(</w:t>
      </w:r>
      <w:r w:rsidRPr="001308E0">
        <w:rPr>
          <w:b/>
        </w:rPr>
        <w:t>a</w:t>
      </w:r>
      <w:r w:rsidRPr="00BE25DA">
        <w:rPr>
          <w:bCs/>
        </w:rPr>
        <w:t xml:space="preserve">) </w:t>
      </w:r>
      <w:r w:rsidRPr="000C29E2">
        <w:rPr>
          <w:spacing w:val="4"/>
          <w:shd w:val="clear" w:color="auto" w:fill="FFFFFF"/>
        </w:rPr>
        <w:t>Sera were tested at different dilutions to detect IgG1 and IgG2c against HA (</w:t>
      </w:r>
      <w:r w:rsidRPr="00BE25DA">
        <w:rPr>
          <w:spacing w:val="4"/>
          <w:shd w:val="clear" w:color="auto" w:fill="FFFFFF"/>
        </w:rPr>
        <w:t>n</w:t>
      </w:r>
      <w:r w:rsidRPr="000C29E2">
        <w:rPr>
          <w:spacing w:val="4"/>
          <w:shd w:val="clear" w:color="auto" w:fill="FFFFFF"/>
        </w:rPr>
        <w:t xml:space="preserve"> = </w:t>
      </w:r>
      <w:r>
        <w:rPr>
          <w:spacing w:val="4"/>
          <w:shd w:val="clear" w:color="auto" w:fill="FFFFFF"/>
        </w:rPr>
        <w:t>6</w:t>
      </w:r>
      <w:r w:rsidRPr="000C29E2">
        <w:rPr>
          <w:spacing w:val="4"/>
          <w:shd w:val="clear" w:color="auto" w:fill="FFFFFF"/>
        </w:rPr>
        <w:t>).</w:t>
      </w:r>
      <w:r w:rsidRPr="000C29E2">
        <w:rPr>
          <w:bCs/>
        </w:rPr>
        <w:t xml:space="preserve"> (</w:t>
      </w:r>
      <w:r w:rsidRPr="001308E0">
        <w:rPr>
          <w:b/>
        </w:rPr>
        <w:t>b</w:t>
      </w:r>
      <w:r w:rsidRPr="000C29E2">
        <w:rPr>
          <w:bCs/>
        </w:rPr>
        <w:t>) Measurement of IFN-γ levels in the splenocytes culture supernatant by indirect ELISA. (</w:t>
      </w:r>
      <w:r w:rsidRPr="001308E0">
        <w:rPr>
          <w:b/>
        </w:rPr>
        <w:t>c</w:t>
      </w:r>
      <w:r w:rsidRPr="000C29E2">
        <w:rPr>
          <w:bCs/>
        </w:rPr>
        <w:t xml:space="preserve">) </w:t>
      </w:r>
      <w:r w:rsidRPr="00BE25DA">
        <w:rPr>
          <w:bCs/>
          <w:shd w:val="clear" w:color="auto" w:fill="FFFFFF"/>
        </w:rPr>
        <w:t>IFN-γ</w:t>
      </w:r>
      <w:r>
        <w:rPr>
          <w:bCs/>
          <w:shd w:val="clear" w:color="auto" w:fill="FFFFFF"/>
        </w:rPr>
        <w:t xml:space="preserve"> and </w:t>
      </w:r>
      <w:r w:rsidRPr="00BE25DA">
        <w:rPr>
          <w:bCs/>
          <w:shd w:val="clear" w:color="auto" w:fill="FFFFFF"/>
        </w:rPr>
        <w:t>TNF-α producing CD4</w:t>
      </w:r>
      <w:r w:rsidRPr="00BE25DA">
        <w:rPr>
          <w:bCs/>
          <w:shd w:val="clear" w:color="auto" w:fill="FFFFFF"/>
          <w:vertAlign w:val="superscript"/>
        </w:rPr>
        <w:t>+</w:t>
      </w:r>
      <w:r w:rsidRPr="00BE25DA">
        <w:rPr>
          <w:bCs/>
          <w:shd w:val="clear" w:color="auto" w:fill="FFFFFF"/>
        </w:rPr>
        <w:t xml:space="preserve"> T cells in the spleen were examined using flow cytometry. </w:t>
      </w:r>
      <w:r w:rsidRPr="00BE25DA">
        <w:t xml:space="preserve">Data are represented as the mean ± standard deviation (SD). </w:t>
      </w:r>
      <w:r w:rsidRPr="006E2F59">
        <w:rPr>
          <w:shd w:val="clear" w:color="auto" w:fill="FFFFFF"/>
        </w:rPr>
        <w:t xml:space="preserve">Statistical significance was analyzed using one-way ANOVA. The significance of the differences between groups is indicated on the bars; </w:t>
      </w:r>
      <w:r w:rsidRPr="00BE25DA">
        <w:t>*</w:t>
      </w:r>
      <w:r w:rsidRPr="00BE25DA">
        <w:rPr>
          <w:i/>
          <w:iCs/>
        </w:rPr>
        <w:t xml:space="preserve">p </w:t>
      </w:r>
      <w:r w:rsidRPr="00BE25DA">
        <w:t>&lt; 0.05, **</w:t>
      </w:r>
      <w:r w:rsidRPr="00BE25DA">
        <w:rPr>
          <w:i/>
          <w:iCs/>
        </w:rPr>
        <w:t>p</w:t>
      </w:r>
      <w:r w:rsidRPr="00BE25DA">
        <w:t xml:space="preserve"> &lt; 0.01, ***</w:t>
      </w:r>
      <w:r w:rsidRPr="00BE25DA">
        <w:rPr>
          <w:i/>
        </w:rPr>
        <w:t>p</w:t>
      </w:r>
      <w:r w:rsidRPr="00BE25DA">
        <w:t xml:space="preserve"> &lt; 0.005</w:t>
      </w:r>
      <w:r w:rsidRPr="006E2F59">
        <w:rPr>
          <w:shd w:val="clear" w:color="auto" w:fill="FFFFFF"/>
        </w:rPr>
        <w:t>.</w:t>
      </w:r>
    </w:p>
    <w:p w14:paraId="4288D29F" w14:textId="77777777" w:rsidR="00EA13BC" w:rsidRPr="000C29E2" w:rsidRDefault="00EA13BC" w:rsidP="00EA13BC">
      <w:pPr>
        <w:spacing w:line="480" w:lineRule="auto"/>
        <w:rPr>
          <w:b/>
        </w:rPr>
      </w:pPr>
    </w:p>
    <w:p w14:paraId="1604E3D3" w14:textId="18AFB188" w:rsidR="00EA13BC" w:rsidRPr="000C29E2" w:rsidRDefault="00EA13BC" w:rsidP="00EA13BC">
      <w:pPr>
        <w:spacing w:line="480" w:lineRule="auto"/>
        <w:rPr>
          <w:bCs/>
        </w:rPr>
      </w:pPr>
      <w:r w:rsidRPr="00BE25DA">
        <w:rPr>
          <w:b/>
        </w:rPr>
        <w:t xml:space="preserve">Supplementary </w:t>
      </w:r>
      <w:r w:rsidR="00C96640" w:rsidRPr="00BE25DA">
        <w:rPr>
          <w:b/>
        </w:rPr>
        <w:t>Fig</w:t>
      </w:r>
      <w:r w:rsidR="00C96640">
        <w:rPr>
          <w:b/>
        </w:rPr>
        <w:t>.</w:t>
      </w:r>
      <w:r w:rsidR="00C96640" w:rsidRPr="00BE25DA">
        <w:rPr>
          <w:b/>
        </w:rPr>
        <w:t xml:space="preserve"> </w:t>
      </w:r>
      <w:r w:rsidRPr="00BE25DA">
        <w:rPr>
          <w:b/>
        </w:rPr>
        <w:t>2.</w:t>
      </w:r>
      <w:r w:rsidRPr="000C29E2">
        <w:rPr>
          <w:bCs/>
        </w:rPr>
        <w:t xml:space="preserve"> </w:t>
      </w:r>
      <w:r w:rsidRPr="001308E0">
        <w:rPr>
          <w:b/>
        </w:rPr>
        <w:t>Histological analysis of the spleen of each immunized group after virus challenge.</w:t>
      </w:r>
      <w:r>
        <w:rPr>
          <w:bCs/>
        </w:rPr>
        <w:t xml:space="preserve"> </w:t>
      </w:r>
      <w:r w:rsidRPr="000C29E2">
        <w:rPr>
          <w:bCs/>
        </w:rPr>
        <w:t>(</w:t>
      </w:r>
      <w:r w:rsidRPr="001308E0">
        <w:rPr>
          <w:b/>
        </w:rPr>
        <w:t>a</w:t>
      </w:r>
      <w:r w:rsidRPr="000C29E2">
        <w:rPr>
          <w:bCs/>
        </w:rPr>
        <w:t xml:space="preserve">) Representative H&amp;E images of the spleen of mice infected with </w:t>
      </w:r>
      <w:r>
        <w:rPr>
          <w:bCs/>
        </w:rPr>
        <w:t xml:space="preserve">the </w:t>
      </w:r>
      <w:r w:rsidRPr="000C29E2">
        <w:rPr>
          <w:bCs/>
        </w:rPr>
        <w:t>influenza virus and sacrificed 1</w:t>
      </w:r>
      <w:r>
        <w:rPr>
          <w:bCs/>
        </w:rPr>
        <w:t xml:space="preserve"> </w:t>
      </w:r>
      <w:r w:rsidRPr="000C29E2">
        <w:rPr>
          <w:bCs/>
        </w:rPr>
        <w:t>week later. W, white pulp region; R, red pulp region; Arrow, megakaryocytes; Asterisk, vacuolation</w:t>
      </w:r>
      <w:r>
        <w:rPr>
          <w:bCs/>
        </w:rPr>
        <w:t>.</w:t>
      </w:r>
      <w:r w:rsidRPr="000C29E2">
        <w:rPr>
          <w:bCs/>
        </w:rPr>
        <w:t xml:space="preserve"> (</w:t>
      </w:r>
      <w:r w:rsidRPr="001308E0">
        <w:rPr>
          <w:b/>
        </w:rPr>
        <w:t>b</w:t>
      </w:r>
      <w:r w:rsidRPr="000C29E2">
        <w:rPr>
          <w:bCs/>
        </w:rPr>
        <w:t>) Total spleen dimension</w:t>
      </w:r>
      <w:r>
        <w:rPr>
          <w:bCs/>
        </w:rPr>
        <w:t>, (</w:t>
      </w:r>
      <w:r w:rsidRPr="001308E0">
        <w:rPr>
          <w:b/>
        </w:rPr>
        <w:t>c)</w:t>
      </w:r>
      <w:r>
        <w:rPr>
          <w:bCs/>
        </w:rPr>
        <w:t xml:space="preserve"> </w:t>
      </w:r>
      <w:r w:rsidRPr="000C29E2">
        <w:rPr>
          <w:bCs/>
        </w:rPr>
        <w:t>percentage of white pulp</w:t>
      </w:r>
      <w:r w:rsidR="00C96640">
        <w:rPr>
          <w:bCs/>
        </w:rPr>
        <w:t>,</w:t>
      </w:r>
      <w:r>
        <w:rPr>
          <w:bCs/>
        </w:rPr>
        <w:t xml:space="preserve"> and</w:t>
      </w:r>
      <w:r w:rsidRPr="000C29E2">
        <w:rPr>
          <w:bCs/>
        </w:rPr>
        <w:t xml:space="preserve"> </w:t>
      </w:r>
      <w:r>
        <w:rPr>
          <w:bCs/>
        </w:rPr>
        <w:t>(</w:t>
      </w:r>
      <w:r w:rsidRPr="001308E0">
        <w:rPr>
          <w:b/>
        </w:rPr>
        <w:t>d</w:t>
      </w:r>
      <w:r>
        <w:rPr>
          <w:bCs/>
        </w:rPr>
        <w:t>)</w:t>
      </w:r>
      <w:r w:rsidRPr="000C29E2">
        <w:rPr>
          <w:bCs/>
        </w:rPr>
        <w:t xml:space="preserve"> vacuolation score.</w:t>
      </w:r>
      <w:r>
        <w:rPr>
          <w:bCs/>
        </w:rPr>
        <w:t xml:space="preserve"> </w:t>
      </w:r>
      <w:r w:rsidRPr="00BE25DA">
        <w:t xml:space="preserve">Data are represented as the mean ± SD. </w:t>
      </w:r>
      <w:r w:rsidRPr="006E2F59">
        <w:rPr>
          <w:shd w:val="clear" w:color="auto" w:fill="FFFFFF"/>
        </w:rPr>
        <w:t xml:space="preserve">Statistical significance was analyzed using one-way ANOVA. The significance of the differences between groups is indicated on the bars; </w:t>
      </w:r>
      <w:r w:rsidRPr="00BE25DA">
        <w:t>*</w:t>
      </w:r>
      <w:r w:rsidRPr="00BE25DA">
        <w:rPr>
          <w:i/>
          <w:iCs/>
        </w:rPr>
        <w:t xml:space="preserve">p </w:t>
      </w:r>
      <w:r w:rsidRPr="00BE25DA">
        <w:t>&lt; 0.05</w:t>
      </w:r>
      <w:r w:rsidRPr="006E2F59">
        <w:rPr>
          <w:shd w:val="clear" w:color="auto" w:fill="FFFFFF"/>
        </w:rPr>
        <w:t>.</w:t>
      </w:r>
    </w:p>
    <w:p w14:paraId="54A4C2C2" w14:textId="77777777" w:rsidR="00EA13BC" w:rsidRPr="000C29E2" w:rsidRDefault="00EA13BC" w:rsidP="00EA13BC">
      <w:pPr>
        <w:spacing w:line="480" w:lineRule="auto"/>
        <w:rPr>
          <w:bCs/>
        </w:rPr>
      </w:pPr>
    </w:p>
    <w:p w14:paraId="4FD073A7" w14:textId="5F126FC5" w:rsidR="00EA13BC" w:rsidRDefault="00EA13BC" w:rsidP="00EA13BC">
      <w:pPr>
        <w:spacing w:line="480" w:lineRule="auto"/>
        <w:rPr>
          <w:shd w:val="clear" w:color="auto" w:fill="FFFFFF"/>
        </w:rPr>
      </w:pPr>
      <w:r w:rsidRPr="000C29E2">
        <w:rPr>
          <w:b/>
        </w:rPr>
        <w:t xml:space="preserve">Supplementary </w:t>
      </w:r>
      <w:r w:rsidR="00C96640" w:rsidRPr="000C29E2">
        <w:rPr>
          <w:b/>
        </w:rPr>
        <w:t>Fig</w:t>
      </w:r>
      <w:r w:rsidR="00C96640">
        <w:rPr>
          <w:b/>
        </w:rPr>
        <w:t>.</w:t>
      </w:r>
      <w:r w:rsidR="00C96640" w:rsidRPr="000C29E2">
        <w:rPr>
          <w:b/>
        </w:rPr>
        <w:t xml:space="preserve"> </w:t>
      </w:r>
      <w:r w:rsidRPr="000C29E2">
        <w:rPr>
          <w:b/>
        </w:rPr>
        <w:t xml:space="preserve">3. </w:t>
      </w:r>
      <w:r w:rsidRPr="001308E0">
        <w:rPr>
          <w:b/>
          <w:bCs/>
        </w:rPr>
        <w:t>IgA levels and IFN-</w:t>
      </w:r>
      <w:r w:rsidRPr="001308E0">
        <w:rPr>
          <w:b/>
          <w:bCs/>
        </w:rPr>
        <w:sym w:font="Symbol" w:char="F067"/>
      </w:r>
      <w:r w:rsidRPr="001308E0">
        <w:rPr>
          <w:b/>
          <w:bCs/>
        </w:rPr>
        <w:t xml:space="preserve"> cytokine activity after virus challenge</w:t>
      </w:r>
      <w:r w:rsidRPr="00BE25DA">
        <w:t>.</w:t>
      </w:r>
      <w:r>
        <w:t xml:space="preserve"> </w:t>
      </w:r>
      <w:r w:rsidRPr="000C29E2">
        <w:rPr>
          <w:bCs/>
        </w:rPr>
        <w:t>(</w:t>
      </w:r>
      <w:r w:rsidRPr="001308E0">
        <w:rPr>
          <w:b/>
        </w:rPr>
        <w:t>a</w:t>
      </w:r>
      <w:r w:rsidRPr="000C29E2">
        <w:rPr>
          <w:bCs/>
        </w:rPr>
        <w:t xml:space="preserve">) HA-specific IgA levels in serum </w:t>
      </w:r>
      <w:r>
        <w:rPr>
          <w:bCs/>
        </w:rPr>
        <w:t>measured using</w:t>
      </w:r>
      <w:r w:rsidRPr="000C29E2">
        <w:rPr>
          <w:bCs/>
        </w:rPr>
        <w:t xml:space="preserve"> indirect ELISA. (</w:t>
      </w:r>
      <w:r w:rsidRPr="001308E0">
        <w:rPr>
          <w:b/>
        </w:rPr>
        <w:t>b</w:t>
      </w:r>
      <w:r w:rsidRPr="000C29E2">
        <w:rPr>
          <w:bCs/>
        </w:rPr>
        <w:t xml:space="preserve">) </w:t>
      </w:r>
      <w:r w:rsidRPr="00BE25DA">
        <w:rPr>
          <w:rFonts w:eastAsia="Times New Roman"/>
        </w:rPr>
        <w:t xml:space="preserve">ELISpot assay shows </w:t>
      </w:r>
      <w:r w:rsidRPr="00BE25DA">
        <w:rPr>
          <w:bCs/>
          <w:shd w:val="clear" w:color="auto" w:fill="FFFFFF"/>
        </w:rPr>
        <w:t>IFN-γ</w:t>
      </w:r>
      <w:r w:rsidRPr="00BE25DA">
        <w:rPr>
          <w:rFonts w:eastAsia="Times New Roman"/>
        </w:rPr>
        <w:t>-producing activity of mouse splenocytes stimulated with HA peptide pool.</w:t>
      </w:r>
      <w:r w:rsidRPr="00BE25DA">
        <w:rPr>
          <w:shd w:val="clear" w:color="auto" w:fill="FFFFFF"/>
        </w:rPr>
        <w:t xml:space="preserve"> </w:t>
      </w:r>
      <w:r w:rsidRPr="00BE25DA">
        <w:t xml:space="preserve">Data are represented as the mean ± SD. </w:t>
      </w:r>
      <w:r w:rsidRPr="006E2F59">
        <w:rPr>
          <w:shd w:val="clear" w:color="auto" w:fill="FFFFFF"/>
        </w:rPr>
        <w:t xml:space="preserve">Statistical significance was analyzed using one-way ANOVA. The significance of the differences between groups is indicated on the bars; </w:t>
      </w:r>
      <w:r w:rsidRPr="00BE25DA">
        <w:t>*</w:t>
      </w:r>
      <w:r w:rsidRPr="00BE25DA">
        <w:rPr>
          <w:i/>
          <w:iCs/>
        </w:rPr>
        <w:t xml:space="preserve">p </w:t>
      </w:r>
      <w:r w:rsidRPr="00BE25DA">
        <w:t>&lt; 0.05</w:t>
      </w:r>
      <w:r w:rsidRPr="006E2F59">
        <w:rPr>
          <w:shd w:val="clear" w:color="auto" w:fill="FFFFFF"/>
        </w:rPr>
        <w:t>.</w:t>
      </w:r>
    </w:p>
    <w:p w14:paraId="0AF1AC15" w14:textId="77777777" w:rsidR="00EA13BC" w:rsidRPr="000C29E2" w:rsidRDefault="00EA13BC" w:rsidP="00EA13BC">
      <w:pPr>
        <w:spacing w:line="480" w:lineRule="auto"/>
      </w:pPr>
    </w:p>
    <w:p w14:paraId="74635002" w14:textId="585FD66C" w:rsidR="00EA13BC" w:rsidRDefault="00EA13BC" w:rsidP="00EA13BC">
      <w:pPr>
        <w:spacing w:line="480" w:lineRule="auto"/>
        <w:rPr>
          <w:b/>
          <w:bCs/>
          <w:color w:val="282828"/>
          <w:shd w:val="clear" w:color="auto" w:fill="FFFFFF"/>
        </w:rPr>
      </w:pPr>
      <w:r w:rsidRPr="00C209CE">
        <w:rPr>
          <w:b/>
        </w:rPr>
        <w:t xml:space="preserve">Supplementary </w:t>
      </w:r>
      <w:r w:rsidR="00A2617F" w:rsidRPr="00C209CE">
        <w:rPr>
          <w:b/>
        </w:rPr>
        <w:t>Fig</w:t>
      </w:r>
      <w:r w:rsidR="00A2617F">
        <w:rPr>
          <w:b/>
        </w:rPr>
        <w:t>.</w:t>
      </w:r>
      <w:r w:rsidR="00A2617F" w:rsidRPr="00C209CE">
        <w:rPr>
          <w:b/>
        </w:rPr>
        <w:t xml:space="preserve"> </w:t>
      </w:r>
      <w:r w:rsidRPr="00C209CE">
        <w:rPr>
          <w:b/>
        </w:rPr>
        <w:t xml:space="preserve">4. </w:t>
      </w:r>
      <w:r w:rsidRPr="001308E0">
        <w:rPr>
          <w:b/>
          <w:bCs/>
          <w:shd w:val="clear" w:color="auto" w:fill="FFFFFF"/>
        </w:rPr>
        <w:t>Analysis of T cells after the heterologous vaccination</w:t>
      </w:r>
      <w:r w:rsidRPr="00C209CE">
        <w:rPr>
          <w:shd w:val="clear" w:color="auto" w:fill="FFFFFF"/>
        </w:rPr>
        <w:t xml:space="preserve">. </w:t>
      </w:r>
      <w:r w:rsidRPr="00C209CE">
        <w:rPr>
          <w:rFonts w:eastAsia="Times New Roman"/>
        </w:rPr>
        <w:t>BALB/c mice were</w:t>
      </w:r>
      <w:r w:rsidRPr="00C209CE">
        <w:rPr>
          <w:rFonts w:eastAsia="맑은 고딕"/>
        </w:rPr>
        <w:t xml:space="preserve"> intramuscularly </w:t>
      </w:r>
      <w:r w:rsidRPr="00C209CE">
        <w:rPr>
          <w:rFonts w:eastAsia="Times New Roman"/>
        </w:rPr>
        <w:t xml:space="preserve">primed </w:t>
      </w:r>
      <w:r w:rsidRPr="00C209CE">
        <w:rPr>
          <w:rFonts w:eastAsia="맑은 고딕"/>
        </w:rPr>
        <w:t>and boosted</w:t>
      </w:r>
      <w:r w:rsidRPr="00C209CE">
        <w:rPr>
          <w:rFonts w:eastAsia="Times New Roman"/>
        </w:rPr>
        <w:t xml:space="preserve"> with LNP-formulated mRNA-HA (5 </w:t>
      </w:r>
      <w:r w:rsidRPr="00C209CE">
        <w:rPr>
          <w:rFonts w:eastAsia="Times New Roman"/>
        </w:rPr>
        <w:sym w:font="Symbol" w:char="F06D"/>
      </w:r>
      <w:r w:rsidRPr="00C209CE">
        <w:rPr>
          <w:rFonts w:eastAsiaTheme="minorEastAsia"/>
        </w:rPr>
        <w:t>g)</w:t>
      </w:r>
      <w:r w:rsidRPr="00C209CE">
        <w:rPr>
          <w:rFonts w:eastAsia="Times New Roman"/>
        </w:rPr>
        <w:t xml:space="preserve"> or AddaVax</w:t>
      </w:r>
      <w:r w:rsidRPr="00C209CE">
        <w:rPr>
          <w:rFonts w:eastAsiaTheme="minorEastAsia" w:hint="eastAsia"/>
        </w:rPr>
        <w:t>™</w:t>
      </w:r>
      <w:r w:rsidRPr="00C209CE">
        <w:rPr>
          <w:rFonts w:eastAsiaTheme="minorEastAsia"/>
        </w:rPr>
        <w:t xml:space="preserve"> formulated</w:t>
      </w:r>
      <w:r w:rsidRPr="00C209CE">
        <w:rPr>
          <w:rFonts w:eastAsia="Times New Roman"/>
        </w:rPr>
        <w:t xml:space="preserve"> </w:t>
      </w:r>
      <w:r w:rsidRPr="00C209CE">
        <w:t xml:space="preserve">HA protein </w:t>
      </w:r>
      <w:r w:rsidRPr="00C209CE">
        <w:rPr>
          <w:rFonts w:eastAsia="Times New Roman"/>
        </w:rPr>
        <w:t xml:space="preserve">(1 </w:t>
      </w:r>
      <w:r w:rsidRPr="00C209CE">
        <w:rPr>
          <w:rFonts w:eastAsia="Times New Roman"/>
        </w:rPr>
        <w:sym w:font="Symbol" w:char="F06D"/>
      </w:r>
      <w:r w:rsidRPr="00C209CE">
        <w:rPr>
          <w:rFonts w:eastAsia="맑은 고딕"/>
        </w:rPr>
        <w:t xml:space="preserve">g) </w:t>
      </w:r>
      <w:r w:rsidRPr="00C209CE">
        <w:rPr>
          <w:rFonts w:eastAsia="Times New Roman"/>
        </w:rPr>
        <w:t xml:space="preserve">at 2-week intervals. </w:t>
      </w:r>
      <w:r w:rsidRPr="00C209CE">
        <w:t xml:space="preserve">The mice were challenged with influenza PR8 virus 2 weeks after the boosting and sacrificed after 1 week of the challenge. </w:t>
      </w:r>
      <w:r w:rsidRPr="00C209CE">
        <w:rPr>
          <w:rFonts w:eastAsia="Times New Roman"/>
        </w:rPr>
        <w:t xml:space="preserve">(a) Ki-67+ proliferating central and effector memory T cells of </w:t>
      </w:r>
      <w:r w:rsidRPr="00C209CE">
        <w:rPr>
          <w:color w:val="282828"/>
          <w:shd w:val="clear" w:color="auto" w:fill="FFFFFF"/>
        </w:rPr>
        <w:t>CD4</w:t>
      </w:r>
      <w:r w:rsidRPr="00C209CE">
        <w:rPr>
          <w:color w:val="3E3D40"/>
          <w:shd w:val="clear" w:color="auto" w:fill="FFFFFF"/>
          <w:vertAlign w:val="superscript"/>
        </w:rPr>
        <w:t>+</w:t>
      </w:r>
      <w:r w:rsidRPr="00C209CE">
        <w:rPr>
          <w:color w:val="282828"/>
          <w:shd w:val="clear" w:color="auto" w:fill="FFFFFF"/>
        </w:rPr>
        <w:t> and CD8</w:t>
      </w:r>
      <w:r w:rsidRPr="00C209CE">
        <w:rPr>
          <w:color w:val="3E3D40"/>
          <w:shd w:val="clear" w:color="auto" w:fill="FFFFFF"/>
          <w:vertAlign w:val="superscript"/>
        </w:rPr>
        <w:t>+</w:t>
      </w:r>
      <w:r w:rsidRPr="00C209CE">
        <w:rPr>
          <w:color w:val="282828"/>
          <w:shd w:val="clear" w:color="auto" w:fill="FFFFFF"/>
        </w:rPr>
        <w:t xml:space="preserve"> were indicated by the activation markers. </w:t>
      </w:r>
      <w:r w:rsidRPr="00C209CE">
        <w:t>**</w:t>
      </w:r>
      <w:r w:rsidRPr="00C209CE">
        <w:rPr>
          <w:i/>
          <w:iCs/>
        </w:rPr>
        <w:t>p</w:t>
      </w:r>
      <w:r w:rsidRPr="00C209CE">
        <w:t xml:space="preserve"> &lt; 0.01, ***</w:t>
      </w:r>
      <w:r w:rsidRPr="00C209CE">
        <w:rPr>
          <w:i/>
        </w:rPr>
        <w:t>p</w:t>
      </w:r>
      <w:r w:rsidRPr="00C209CE">
        <w:t xml:space="preserve"> &lt; 0.005</w:t>
      </w:r>
      <w:r w:rsidRPr="00C209CE">
        <w:rPr>
          <w:shd w:val="clear" w:color="auto" w:fill="FFFFFF"/>
        </w:rPr>
        <w:t>.</w:t>
      </w:r>
      <w:r w:rsidRPr="00C209CE">
        <w:rPr>
          <w:color w:val="282828"/>
          <w:shd w:val="clear" w:color="auto" w:fill="FFFFFF"/>
        </w:rPr>
        <w:t xml:space="preserve"> (b)</w:t>
      </w:r>
      <w:r w:rsidRPr="00C209CE">
        <w:rPr>
          <w:shd w:val="clear" w:color="auto" w:fill="FFFFFF"/>
        </w:rPr>
        <w:t xml:space="preserve"> Immunohistochemical images of mouse lungs. The red arrows indicate CD4</w:t>
      </w:r>
      <w:r w:rsidRPr="00C209CE">
        <w:rPr>
          <w:shd w:val="clear" w:color="auto" w:fill="FFFFFF"/>
          <w:vertAlign w:val="superscript"/>
        </w:rPr>
        <w:t>+</w:t>
      </w:r>
      <w:r w:rsidRPr="00C209CE">
        <w:rPr>
          <w:shd w:val="clear" w:color="auto" w:fill="FFFFFF"/>
        </w:rPr>
        <w:t xml:space="preserve"> or CD8</w:t>
      </w:r>
      <w:r w:rsidRPr="00C209CE">
        <w:rPr>
          <w:shd w:val="clear" w:color="auto" w:fill="FFFFFF"/>
          <w:vertAlign w:val="superscript"/>
        </w:rPr>
        <w:t>+</w:t>
      </w:r>
      <w:r w:rsidRPr="00C209CE">
        <w:rPr>
          <w:shd w:val="clear" w:color="auto" w:fill="FFFFFF"/>
        </w:rPr>
        <w:t xml:space="preserve"> T cells. B indicated </w:t>
      </w:r>
      <w:r w:rsidRPr="00C209CE">
        <w:t>bronchus or bronchi</w:t>
      </w:r>
      <w:r w:rsidR="00A2617F">
        <w:t>,</w:t>
      </w:r>
      <w:r w:rsidRPr="00C209CE" w:rsidDel="00647303">
        <w:rPr>
          <w:shd w:val="clear" w:color="auto" w:fill="FFFFFF"/>
        </w:rPr>
        <w:t xml:space="preserve"> </w:t>
      </w:r>
      <w:r w:rsidRPr="00C209CE">
        <w:rPr>
          <w:shd w:val="clear" w:color="auto" w:fill="FFFFFF"/>
        </w:rPr>
        <w:t xml:space="preserve">and V indicated </w:t>
      </w:r>
      <w:r w:rsidRPr="00C209CE">
        <w:t xml:space="preserve">blood </w:t>
      </w:r>
      <w:r w:rsidR="00C517E9" w:rsidRPr="00C209CE">
        <w:t>vessel</w:t>
      </w:r>
      <w:r w:rsidR="00A2617F">
        <w:t>s</w:t>
      </w:r>
      <w:r w:rsidR="00C517E9" w:rsidRPr="00C209CE">
        <w:rPr>
          <w:shd w:val="clear" w:color="auto" w:fill="FFFFFF"/>
        </w:rPr>
        <w:t>.</w:t>
      </w:r>
    </w:p>
    <w:p w14:paraId="015820F2" w14:textId="77777777" w:rsidR="00C517E9" w:rsidRPr="00C517E9" w:rsidRDefault="00C517E9"/>
    <w:p w14:paraId="408B700B" w14:textId="77777777" w:rsidR="00C517E9" w:rsidRDefault="00C517E9"/>
    <w:p w14:paraId="56FECD29" w14:textId="5D4E0FC4" w:rsidR="00EA13BC" w:rsidRPr="00EA13BC" w:rsidRDefault="00EA13BC"/>
    <w:sectPr w:rsidR="00EA13BC" w:rsidRPr="00EA13BC">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ArialMT">
    <w:altName w:val="한컴 고딕"/>
    <w:panose1 w:val="00000000000000000000"/>
    <w:charset w:val="81"/>
    <w:family w:val="auto"/>
    <w:notTrueType/>
    <w:pitch w:val="default"/>
    <w:sig w:usb0="00000001" w:usb1="09060000" w:usb2="00000010" w:usb3="00000000" w:csb0="00080000"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hideSpellingErrors/>
  <w:hideGrammaticalErrors/>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G1tDA2NjE1MDUyszBR0lEKTi0uzszPAykwqgUApo7anywAAAA="/>
    <w:docVar w:name="EN.InstantFormat" w:val="&lt;ENInstantFormat&gt;&lt;Enabled&gt;1&lt;/Enabled&gt;&lt;ScanUnformatted&gt;1&lt;/ScanUnformatted&gt;&lt;ScanChanges&gt;1&lt;/ScanChanges&gt;&lt;Suspended&gt;0&lt;/Suspended&gt;&lt;/ENInstantFormat&gt;"/>
    <w:docVar w:name="EN.Layout" w:val="&lt;ENLayout&gt;&lt;Style&gt;npj Vaccine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dtxtd55x2ftveeafrqvpvvzdetf09s5wa9f&quot;&gt;My EndNote Library&lt;record-ids&gt;&lt;item&gt;6&lt;/item&gt;&lt;item&gt;7&lt;/item&gt;&lt;item&gt;8&lt;/item&gt;&lt;item&gt;9&lt;/item&gt;&lt;item&gt;10&lt;/item&gt;&lt;item&gt;11&lt;/item&gt;&lt;item&gt;12&lt;/item&gt;&lt;item&gt;13&lt;/item&gt;&lt;item&gt;14&lt;/item&gt;&lt;item&gt;36&lt;/item&gt;&lt;/record-ids&gt;&lt;/item&gt;&lt;/Libraries&gt;"/>
  </w:docVars>
  <w:rsids>
    <w:rsidRoot w:val="00EA13BC"/>
    <w:rsid w:val="00001019"/>
    <w:rsid w:val="000079B1"/>
    <w:rsid w:val="000563FA"/>
    <w:rsid w:val="000A1CF3"/>
    <w:rsid w:val="001308E0"/>
    <w:rsid w:val="00225F5F"/>
    <w:rsid w:val="002D444D"/>
    <w:rsid w:val="002F0CAD"/>
    <w:rsid w:val="00322C0A"/>
    <w:rsid w:val="005548D2"/>
    <w:rsid w:val="0071198F"/>
    <w:rsid w:val="007330C7"/>
    <w:rsid w:val="007E2FEB"/>
    <w:rsid w:val="00892E80"/>
    <w:rsid w:val="009B73ED"/>
    <w:rsid w:val="009D4B52"/>
    <w:rsid w:val="009F332A"/>
    <w:rsid w:val="00A2617F"/>
    <w:rsid w:val="00AF35A5"/>
    <w:rsid w:val="00B16A51"/>
    <w:rsid w:val="00BC7DAC"/>
    <w:rsid w:val="00C10013"/>
    <w:rsid w:val="00C16219"/>
    <w:rsid w:val="00C517E9"/>
    <w:rsid w:val="00C96640"/>
    <w:rsid w:val="00CE7680"/>
    <w:rsid w:val="00D46712"/>
    <w:rsid w:val="00D46AC1"/>
    <w:rsid w:val="00E05DD7"/>
    <w:rsid w:val="00EA13BC"/>
    <w:rsid w:val="00ED67F6"/>
    <w:rsid w:val="00F16C77"/>
  </w:rsids>
  <m:mathPr>
    <m:mathFont m:val="Cambria Math"/>
    <m:brkBin m:val="before"/>
    <m:brkBinSub m:val="--"/>
    <m:smallFrac m:val="0"/>
    <m:dispDef/>
    <m:lMargin m:val="0"/>
    <m:rMargin m:val="0"/>
    <m:defJc m:val="centerGroup"/>
    <m:wrapIndent m:val="1440"/>
    <m:intLim m:val="subSup"/>
    <m:naryLim m:val="undOvr"/>
  </m:mathPr>
  <w:themeFontLang w:val="en-US"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03F93"/>
  <w15:chartTrackingRefBased/>
  <w15:docId w15:val="{F0D835F5-BDD8-471A-A9E9-F22F6CC33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7DAC"/>
    <w:pPr>
      <w:spacing w:after="0" w:line="240" w:lineRule="auto"/>
      <w:jc w:val="left"/>
    </w:pPr>
    <w:rPr>
      <w:rFonts w:ascii="Times New Roman" w:eastAsia="바탕" w:hAnsi="Times New Roman" w:cs="Times New Roman"/>
      <w:kern w:val="0"/>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Title">
    <w:name w:val="EndNote Bibliography Title"/>
    <w:basedOn w:val="a"/>
    <w:link w:val="EndNoteBibliographyTitleChar"/>
    <w:rsid w:val="00C517E9"/>
    <w:pPr>
      <w:jc w:val="center"/>
    </w:pPr>
    <w:rPr>
      <w:noProof/>
    </w:rPr>
  </w:style>
  <w:style w:type="character" w:customStyle="1" w:styleId="EndNoteBibliographyTitleChar">
    <w:name w:val="EndNote Bibliography Title Char"/>
    <w:basedOn w:val="a0"/>
    <w:link w:val="EndNoteBibliographyTitle"/>
    <w:rsid w:val="00C517E9"/>
    <w:rPr>
      <w:rFonts w:ascii="Times New Roman" w:eastAsia="바탕" w:hAnsi="Times New Roman" w:cs="Times New Roman"/>
      <w:noProof/>
      <w:kern w:val="0"/>
      <w:sz w:val="24"/>
      <w:szCs w:val="24"/>
    </w:rPr>
  </w:style>
  <w:style w:type="paragraph" w:customStyle="1" w:styleId="EndNoteBibliography">
    <w:name w:val="EndNote Bibliography"/>
    <w:basedOn w:val="a"/>
    <w:link w:val="EndNoteBibliographyChar"/>
    <w:rsid w:val="00C517E9"/>
    <w:rPr>
      <w:noProof/>
    </w:rPr>
  </w:style>
  <w:style w:type="character" w:customStyle="1" w:styleId="EndNoteBibliographyChar">
    <w:name w:val="EndNote Bibliography Char"/>
    <w:basedOn w:val="a0"/>
    <w:link w:val="EndNoteBibliography"/>
    <w:rsid w:val="00C517E9"/>
    <w:rPr>
      <w:rFonts w:ascii="Times New Roman" w:eastAsia="바탕" w:hAnsi="Times New Roman" w:cs="Times New Roman"/>
      <w:noProof/>
      <w:kern w:val="0"/>
      <w:sz w:val="24"/>
      <w:szCs w:val="24"/>
    </w:rPr>
  </w:style>
  <w:style w:type="character" w:styleId="a3">
    <w:name w:val="annotation reference"/>
    <w:basedOn w:val="a0"/>
    <w:uiPriority w:val="99"/>
    <w:semiHidden/>
    <w:unhideWhenUsed/>
    <w:rsid w:val="009D4B52"/>
    <w:rPr>
      <w:sz w:val="16"/>
      <w:szCs w:val="16"/>
    </w:rPr>
  </w:style>
  <w:style w:type="paragraph" w:styleId="a4">
    <w:name w:val="annotation text"/>
    <w:basedOn w:val="a"/>
    <w:link w:val="Char"/>
    <w:uiPriority w:val="99"/>
    <w:semiHidden/>
    <w:unhideWhenUsed/>
    <w:rsid w:val="009D4B52"/>
    <w:rPr>
      <w:sz w:val="20"/>
      <w:szCs w:val="20"/>
    </w:rPr>
  </w:style>
  <w:style w:type="character" w:customStyle="1" w:styleId="Char">
    <w:name w:val="메모 텍스트 Char"/>
    <w:basedOn w:val="a0"/>
    <w:link w:val="a4"/>
    <w:uiPriority w:val="99"/>
    <w:semiHidden/>
    <w:rsid w:val="009D4B52"/>
    <w:rPr>
      <w:rFonts w:ascii="Times New Roman" w:eastAsia="바탕" w:hAnsi="Times New Roman" w:cs="Times New Roman"/>
      <w:kern w:val="0"/>
      <w:szCs w:val="20"/>
    </w:rPr>
  </w:style>
  <w:style w:type="paragraph" w:styleId="a5">
    <w:name w:val="annotation subject"/>
    <w:basedOn w:val="a4"/>
    <w:next w:val="a4"/>
    <w:link w:val="Char0"/>
    <w:uiPriority w:val="99"/>
    <w:semiHidden/>
    <w:unhideWhenUsed/>
    <w:rsid w:val="009D4B52"/>
    <w:rPr>
      <w:b/>
      <w:bCs/>
    </w:rPr>
  </w:style>
  <w:style w:type="character" w:customStyle="1" w:styleId="Char0">
    <w:name w:val="메모 주제 Char"/>
    <w:basedOn w:val="Char"/>
    <w:link w:val="a5"/>
    <w:uiPriority w:val="99"/>
    <w:semiHidden/>
    <w:rsid w:val="009D4B52"/>
    <w:rPr>
      <w:rFonts w:ascii="Times New Roman" w:eastAsia="바탕" w:hAnsi="Times New Roman" w:cs="Times New Roman"/>
      <w:b/>
      <w:bCs/>
      <w:kern w:val="0"/>
      <w:szCs w:val="20"/>
    </w:rPr>
  </w:style>
  <w:style w:type="paragraph" w:customStyle="1" w:styleId="Default">
    <w:name w:val="Default"/>
    <w:rsid w:val="009D4B52"/>
    <w:pPr>
      <w:autoSpaceDE w:val="0"/>
      <w:autoSpaceDN w:val="0"/>
      <w:adjustRightInd w:val="0"/>
      <w:spacing w:after="0" w:line="240" w:lineRule="auto"/>
      <w:jc w:val="left"/>
    </w:pPr>
    <w:rPr>
      <w:rFonts w:ascii="Arial" w:hAnsi="Arial" w:cs="Arial"/>
      <w:color w:val="000000"/>
      <w:kern w:val="0"/>
      <w:sz w:val="24"/>
      <w:szCs w:val="24"/>
      <w:lang w:val="en-IN" w:bidi="he-IL"/>
    </w:rPr>
  </w:style>
  <w:style w:type="paragraph" w:styleId="a6">
    <w:name w:val="Revision"/>
    <w:hidden/>
    <w:uiPriority w:val="99"/>
    <w:semiHidden/>
    <w:rsid w:val="002D444D"/>
    <w:pPr>
      <w:spacing w:after="0" w:line="240" w:lineRule="auto"/>
      <w:jc w:val="left"/>
    </w:pPr>
    <w:rPr>
      <w:rFonts w:ascii="Times New Roman" w:eastAsia="바탕" w:hAnsi="Times New Roman" w:cs="Times New Roman"/>
      <w:kern w:val="0"/>
      <w:sz w:val="24"/>
      <w:szCs w:val="24"/>
    </w:rPr>
  </w:style>
  <w:style w:type="character" w:styleId="a7">
    <w:name w:val="Emphasis"/>
    <w:basedOn w:val="a0"/>
    <w:uiPriority w:val="20"/>
    <w:qFormat/>
    <w:rsid w:val="007E2FE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3212</Words>
  <Characters>18312</Characters>
  <Application>Microsoft Office Word</Application>
  <DocSecurity>0</DocSecurity>
  <Lines>152</Lines>
  <Paragraphs>42</Paragraphs>
  <ScaleCrop>false</ScaleCrop>
  <Company/>
  <LinksUpToDate>false</LinksUpToDate>
  <CharactersWithSpaces>21482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박형준</dc:creator>
  <cp:keywords/>
  <dc:description/>
  <cp:lastModifiedBy>박형준</cp:lastModifiedBy>
  <cp:revision>2</cp:revision>
  <dcterms:created xsi:type="dcterms:W3CDTF">2022-12-07T11:06:00Z</dcterms:created>
  <dcterms:modified xsi:type="dcterms:W3CDTF">2022-12-07T11:06:00Z</dcterms:modified>
</cp:coreProperties>
</file>