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5BA19A" w14:textId="77777777" w:rsidR="008E0C21" w:rsidRDefault="008E0C21" w:rsidP="008E0C21">
      <w:pPr>
        <w:jc w:val="both"/>
        <w:rPr>
          <w:rFonts w:cstheme="minorHAnsi"/>
          <w:b/>
          <w:lang w:val="en-US"/>
        </w:rPr>
      </w:pPr>
    </w:p>
    <w:p w14:paraId="605343BF" w14:textId="77777777" w:rsidR="008E0C21" w:rsidRPr="002D2A2C" w:rsidRDefault="008E0C21" w:rsidP="008E0C21">
      <w:pPr>
        <w:jc w:val="center"/>
        <w:rPr>
          <w:rFonts w:cstheme="minorHAnsi"/>
          <w:b/>
          <w:sz w:val="28"/>
          <w:szCs w:val="28"/>
          <w:lang w:val="en-US"/>
        </w:rPr>
      </w:pPr>
      <w:r w:rsidRPr="002D2A2C">
        <w:rPr>
          <w:rFonts w:cstheme="minorHAnsi"/>
          <w:b/>
          <w:sz w:val="28"/>
          <w:szCs w:val="28"/>
          <w:lang w:val="en-US"/>
        </w:rPr>
        <w:t xml:space="preserve">Supplementary </w:t>
      </w:r>
      <w:r>
        <w:rPr>
          <w:rFonts w:cstheme="minorHAnsi"/>
          <w:b/>
          <w:sz w:val="28"/>
          <w:szCs w:val="28"/>
          <w:lang w:val="en-US"/>
        </w:rPr>
        <w:t>information</w:t>
      </w:r>
    </w:p>
    <w:p w14:paraId="755AD611" w14:textId="77777777" w:rsidR="008E0C21" w:rsidRPr="002D2A2C" w:rsidRDefault="008E0C21" w:rsidP="008E0C21">
      <w:pPr>
        <w:rPr>
          <w:rFonts w:cstheme="minorHAnsi"/>
          <w:b/>
          <w:lang w:val="en-US"/>
        </w:rPr>
      </w:pPr>
    </w:p>
    <w:p w14:paraId="38D348A8" w14:textId="77777777" w:rsidR="008E0C21" w:rsidRPr="00644E6F" w:rsidRDefault="008E0C21" w:rsidP="008E0C21">
      <w:pPr>
        <w:rPr>
          <w:rFonts w:cstheme="minorHAnsi"/>
          <w:lang w:val="en-US"/>
        </w:rPr>
      </w:pPr>
    </w:p>
    <w:p w14:paraId="1C971FE3" w14:textId="77777777" w:rsidR="008E0C21" w:rsidRDefault="008E0C21" w:rsidP="008E0C21">
      <w:pPr>
        <w:rPr>
          <w:rFonts w:cstheme="minorHAnsi"/>
          <w:lang w:val="en-US"/>
        </w:rPr>
      </w:pPr>
    </w:p>
    <w:p w14:paraId="6CAF0C8C" w14:textId="3D5D44A7" w:rsidR="008E0C21" w:rsidRPr="00532515" w:rsidRDefault="008E0C21" w:rsidP="008E0C21">
      <w:pPr>
        <w:jc w:val="center"/>
        <w:rPr>
          <w:b/>
          <w:sz w:val="28"/>
          <w:szCs w:val="28"/>
          <w:lang w:val="en-US"/>
        </w:rPr>
      </w:pPr>
      <w:r w:rsidRPr="00532515">
        <w:rPr>
          <w:b/>
          <w:sz w:val="28"/>
          <w:szCs w:val="28"/>
          <w:lang w:val="en-US"/>
        </w:rPr>
        <w:t>5</w:t>
      </w:r>
      <w:r w:rsidR="00532515">
        <w:rPr>
          <w:b/>
          <w:i/>
          <w:sz w:val="28"/>
          <w:szCs w:val="28"/>
          <w:lang w:val="en-US"/>
        </w:rPr>
        <w:t>f</w:t>
      </w:r>
      <w:r w:rsidRPr="00532515">
        <w:rPr>
          <w:b/>
          <w:sz w:val="28"/>
          <w:szCs w:val="28"/>
          <w:lang w:val="en-US"/>
        </w:rPr>
        <w:t xml:space="preserve"> electronic states in the UTe</w:t>
      </w:r>
      <w:r w:rsidRPr="00532515">
        <w:rPr>
          <w:b/>
          <w:sz w:val="28"/>
          <w:szCs w:val="28"/>
          <w:vertAlign w:val="subscript"/>
          <w:lang w:val="en-US"/>
        </w:rPr>
        <w:t xml:space="preserve">2  </w:t>
      </w:r>
      <w:r w:rsidRPr="00532515">
        <w:rPr>
          <w:b/>
          <w:sz w:val="28"/>
          <w:szCs w:val="28"/>
          <w:lang w:val="en-US"/>
        </w:rPr>
        <w:t>superconduc</w:t>
      </w:r>
      <w:bookmarkStart w:id="0" w:name="_GoBack"/>
      <w:bookmarkEnd w:id="0"/>
      <w:r w:rsidRPr="00532515">
        <w:rPr>
          <w:b/>
          <w:sz w:val="28"/>
          <w:szCs w:val="28"/>
          <w:lang w:val="en-US"/>
        </w:rPr>
        <w:t>tor from XANES and XMCD studies</w:t>
      </w:r>
    </w:p>
    <w:p w14:paraId="128142D6" w14:textId="77777777" w:rsidR="008E0C21" w:rsidRPr="00927BC5" w:rsidRDefault="008E0C21" w:rsidP="008E0C21">
      <w:pPr>
        <w:jc w:val="center"/>
        <w:rPr>
          <w:b/>
          <w:sz w:val="28"/>
          <w:szCs w:val="28"/>
          <w:lang w:val="en-US"/>
        </w:rPr>
      </w:pPr>
    </w:p>
    <w:p w14:paraId="03EDB57B" w14:textId="77777777" w:rsidR="008E0C21" w:rsidRPr="00927BC5" w:rsidRDefault="008E0C21" w:rsidP="008E0C21">
      <w:pPr>
        <w:tabs>
          <w:tab w:val="left" w:pos="220"/>
        </w:tabs>
        <w:rPr>
          <w:lang w:val="en-US"/>
        </w:rPr>
      </w:pPr>
      <w:r w:rsidRPr="00927BC5">
        <w:rPr>
          <w:b/>
          <w:sz w:val="28"/>
          <w:szCs w:val="28"/>
          <w:lang w:val="en-US"/>
        </w:rPr>
        <w:tab/>
      </w:r>
      <w:r w:rsidRPr="00927BC5">
        <w:rPr>
          <w:lang w:val="en-US"/>
        </w:rPr>
        <w:t>F. Wilhelm</w:t>
      </w:r>
      <w:r w:rsidRPr="00927BC5">
        <w:rPr>
          <w:vertAlign w:val="superscript"/>
          <w:lang w:val="en-US"/>
        </w:rPr>
        <w:t>1</w:t>
      </w:r>
      <w:r w:rsidRPr="00927BC5">
        <w:rPr>
          <w:lang w:val="en-US"/>
        </w:rPr>
        <w:t>, J.P. Sanchez</w:t>
      </w:r>
      <w:r w:rsidRPr="00927BC5">
        <w:rPr>
          <w:vertAlign w:val="superscript"/>
          <w:lang w:val="en-US"/>
        </w:rPr>
        <w:t>2</w:t>
      </w:r>
      <w:r w:rsidRPr="00927BC5">
        <w:rPr>
          <w:lang w:val="en-US"/>
        </w:rPr>
        <w:t>, D. Braithwaite</w:t>
      </w:r>
      <w:r w:rsidRPr="00927BC5">
        <w:rPr>
          <w:vertAlign w:val="superscript"/>
          <w:lang w:val="en-US"/>
        </w:rPr>
        <w:t>2</w:t>
      </w:r>
      <w:r w:rsidRPr="00927BC5">
        <w:rPr>
          <w:lang w:val="en-US"/>
        </w:rPr>
        <w:t>, G. Knebel</w:t>
      </w:r>
      <w:r w:rsidRPr="00927BC5">
        <w:rPr>
          <w:vertAlign w:val="superscript"/>
          <w:lang w:val="en-US"/>
        </w:rPr>
        <w:t>2</w:t>
      </w:r>
      <w:r w:rsidRPr="00927BC5">
        <w:rPr>
          <w:lang w:val="en-US"/>
        </w:rPr>
        <w:t>, G. Lapertot</w:t>
      </w:r>
      <w:r w:rsidRPr="00927BC5">
        <w:rPr>
          <w:vertAlign w:val="superscript"/>
          <w:lang w:val="en-US"/>
        </w:rPr>
        <w:t>2</w:t>
      </w:r>
      <w:r w:rsidRPr="00927BC5">
        <w:rPr>
          <w:lang w:val="en-US"/>
        </w:rPr>
        <w:t>, and A. Rogalev</w:t>
      </w:r>
      <w:r w:rsidRPr="00927BC5">
        <w:rPr>
          <w:vertAlign w:val="superscript"/>
          <w:lang w:val="en-US"/>
        </w:rPr>
        <w:t>1</w:t>
      </w:r>
    </w:p>
    <w:p w14:paraId="5157E9D4" w14:textId="77777777" w:rsidR="008E0C21" w:rsidRPr="00927BC5" w:rsidRDefault="008E0C21" w:rsidP="008E0C21">
      <w:pPr>
        <w:tabs>
          <w:tab w:val="left" w:pos="220"/>
        </w:tabs>
        <w:rPr>
          <w:lang w:val="en-US"/>
        </w:rPr>
      </w:pPr>
    </w:p>
    <w:p w14:paraId="34B2420F" w14:textId="77777777" w:rsidR="008E0C21" w:rsidRPr="00927BC5" w:rsidRDefault="008E0C21" w:rsidP="008E0C21">
      <w:pPr>
        <w:tabs>
          <w:tab w:val="left" w:pos="220"/>
        </w:tabs>
        <w:jc w:val="center"/>
        <w:rPr>
          <w:i/>
          <w:sz w:val="20"/>
          <w:szCs w:val="20"/>
          <w:lang w:val="en-US"/>
        </w:rPr>
      </w:pPr>
      <w:r w:rsidRPr="00927BC5">
        <w:rPr>
          <w:sz w:val="20"/>
          <w:szCs w:val="20"/>
          <w:vertAlign w:val="superscript"/>
          <w:lang w:val="en-US"/>
        </w:rPr>
        <w:t>1</w:t>
      </w:r>
      <w:r w:rsidRPr="00927BC5">
        <w:rPr>
          <w:i/>
          <w:sz w:val="20"/>
          <w:szCs w:val="20"/>
          <w:lang w:val="en-US"/>
        </w:rPr>
        <w:t>European Synchrotron Radiation Facility (ESRF), CS 40220, F-38043 Grenoble Cedex 9, France</w:t>
      </w:r>
    </w:p>
    <w:p w14:paraId="359CFD56" w14:textId="77777777" w:rsidR="008E0C21" w:rsidRPr="00927BC5" w:rsidRDefault="008E0C21" w:rsidP="008E0C21">
      <w:pPr>
        <w:tabs>
          <w:tab w:val="left" w:pos="220"/>
        </w:tabs>
        <w:jc w:val="center"/>
        <w:rPr>
          <w:i/>
          <w:sz w:val="20"/>
          <w:szCs w:val="20"/>
          <w:lang w:val="en-US"/>
        </w:rPr>
      </w:pPr>
      <w:r w:rsidRPr="00927BC5">
        <w:rPr>
          <w:i/>
          <w:sz w:val="20"/>
          <w:szCs w:val="20"/>
          <w:vertAlign w:val="superscript"/>
          <w:lang w:val="en-US"/>
        </w:rPr>
        <w:t>2</w:t>
      </w:r>
      <w:r w:rsidRPr="00927BC5">
        <w:rPr>
          <w:i/>
          <w:sz w:val="20"/>
          <w:szCs w:val="20"/>
          <w:lang w:val="en-US"/>
        </w:rPr>
        <w:t>Univ. Grenoble Alpes, Grenoble INP, CEA, IRIG-Pheliqs, F-38000 Grenoble, France</w:t>
      </w:r>
    </w:p>
    <w:p w14:paraId="62AF9572" w14:textId="77777777" w:rsidR="008E0C21" w:rsidRPr="00294229" w:rsidRDefault="008E0C21" w:rsidP="008E0C21">
      <w:pPr>
        <w:rPr>
          <w:rFonts w:cstheme="minorHAnsi"/>
          <w:lang w:val="en-US"/>
        </w:rPr>
      </w:pPr>
    </w:p>
    <w:p w14:paraId="05052204" w14:textId="77777777" w:rsidR="008E0C21" w:rsidRDefault="008E0C21" w:rsidP="008E0C21">
      <w:pPr>
        <w:rPr>
          <w:rFonts w:cstheme="minorHAnsi"/>
          <w:lang w:val="en-US"/>
        </w:rPr>
      </w:pPr>
    </w:p>
    <w:p w14:paraId="30F6A0A3" w14:textId="77777777" w:rsidR="008E0C21" w:rsidRDefault="008E0C21" w:rsidP="008E0C21">
      <w:pPr>
        <w:tabs>
          <w:tab w:val="left" w:pos="426"/>
        </w:tabs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</w:t>
      </w:r>
    </w:p>
    <w:p w14:paraId="007D5500" w14:textId="77777777" w:rsidR="008E0C21" w:rsidRDefault="008E0C21" w:rsidP="008E0C21">
      <w:pPr>
        <w:tabs>
          <w:tab w:val="left" w:pos="426"/>
        </w:tabs>
        <w:rPr>
          <w:rFonts w:cstheme="minorHAnsi"/>
          <w:lang w:val="en-US"/>
        </w:rPr>
      </w:pPr>
    </w:p>
    <w:p w14:paraId="633294EC" w14:textId="77777777" w:rsidR="008E0C21" w:rsidRPr="00D20E9E" w:rsidRDefault="008E0C21" w:rsidP="008E0C21">
      <w:pPr>
        <w:tabs>
          <w:tab w:val="left" w:pos="426"/>
        </w:tabs>
        <w:rPr>
          <w:rFonts w:cstheme="minorHAnsi"/>
          <w:b/>
          <w:vertAlign w:val="subscript"/>
          <w:lang w:val="en-US"/>
        </w:rPr>
      </w:pPr>
      <w:r>
        <w:rPr>
          <w:rFonts w:cstheme="minorHAnsi"/>
          <w:b/>
          <w:lang w:val="en-US"/>
        </w:rPr>
        <w:t xml:space="preserve">1. </w:t>
      </w:r>
      <w:r w:rsidRPr="002D2A2C">
        <w:rPr>
          <w:rFonts w:cstheme="minorHAnsi"/>
          <w:b/>
          <w:lang w:val="en-US"/>
        </w:rPr>
        <w:t>XMCD</w:t>
      </w:r>
      <w:r>
        <w:rPr>
          <w:rFonts w:cstheme="minorHAnsi"/>
          <w:b/>
          <w:lang w:val="en-US"/>
        </w:rPr>
        <w:t xml:space="preserve"> at the Te </w:t>
      </w:r>
      <w:r>
        <w:rPr>
          <w:rFonts w:cstheme="minorHAnsi"/>
          <w:b/>
          <w:i/>
          <w:lang w:val="en-US"/>
        </w:rPr>
        <w:t>L</w:t>
      </w:r>
      <w:r>
        <w:rPr>
          <w:rFonts w:cstheme="minorHAnsi"/>
          <w:b/>
          <w:vertAlign w:val="subscript"/>
          <w:lang w:val="en-US"/>
        </w:rPr>
        <w:t xml:space="preserve">1 </w:t>
      </w:r>
      <w:r>
        <w:rPr>
          <w:rFonts w:cstheme="minorHAnsi"/>
          <w:b/>
          <w:lang w:val="en-US"/>
        </w:rPr>
        <w:t>edge in UTe</w:t>
      </w:r>
      <w:r>
        <w:rPr>
          <w:rFonts w:cstheme="minorHAnsi"/>
          <w:b/>
          <w:vertAlign w:val="subscript"/>
          <w:lang w:val="en-US"/>
        </w:rPr>
        <w:t>2</w:t>
      </w:r>
    </w:p>
    <w:p w14:paraId="26881D38" w14:textId="77777777" w:rsidR="008E0C21" w:rsidRDefault="008E0C21" w:rsidP="008E0C21">
      <w:pPr>
        <w:tabs>
          <w:tab w:val="left" w:pos="426"/>
        </w:tabs>
        <w:rPr>
          <w:rFonts w:cstheme="minorHAnsi"/>
          <w:b/>
          <w:lang w:val="en-US"/>
        </w:rPr>
      </w:pPr>
    </w:p>
    <w:p w14:paraId="4ED5B978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  <w:r>
        <w:rPr>
          <w:rFonts w:cstheme="minorHAnsi"/>
          <w:lang w:val="en-US"/>
        </w:rPr>
        <w:t xml:space="preserve">The normalized XMCD spectrum recorded at the </w:t>
      </w:r>
      <w:r>
        <w:rPr>
          <w:rFonts w:cstheme="minorHAnsi"/>
          <w:i/>
          <w:lang w:val="en-US"/>
        </w:rPr>
        <w:t>L</w:t>
      </w:r>
      <w:r>
        <w:rPr>
          <w:rFonts w:cstheme="minorHAnsi"/>
          <w:vertAlign w:val="subscript"/>
          <w:lang w:val="en-US"/>
        </w:rPr>
        <w:t xml:space="preserve">1 </w:t>
      </w:r>
      <w:r>
        <w:rPr>
          <w:rFonts w:cstheme="minorHAnsi"/>
          <w:lang w:val="en-US"/>
        </w:rPr>
        <w:t xml:space="preserve">edge (4.939 keV) of Te at 2.7 K and 17 T applied along the easy axis is shown in Figure S1. The dichroic signal originating from </w:t>
      </w:r>
      <w:r w:rsidRPr="002D2A2C">
        <w:rPr>
          <w:rFonts w:ascii="Cambria" w:hAnsi="Cambria" w:cstheme="minorHAnsi"/>
          <w:lang w:val="en-US"/>
        </w:rPr>
        <w:t xml:space="preserve">2s </w:t>
      </w:r>
      <w:r w:rsidRPr="002D2A2C">
        <w:rPr>
          <w:rFonts w:ascii="Cambria" w:hAnsi="Cambria"/>
          <w:lang w:val="en-US"/>
        </w:rPr>
        <w:t>→ 5p</w:t>
      </w:r>
      <w:r>
        <w:rPr>
          <w:rFonts w:ascii="Arial" w:hAnsi="Arial"/>
          <w:lang w:val="en-US"/>
        </w:rPr>
        <w:t xml:space="preserve"> </w:t>
      </w:r>
      <w:r w:rsidRPr="002D2A2C">
        <w:rPr>
          <w:rFonts w:ascii="Cambria" w:hAnsi="Cambria"/>
          <w:lang w:val="en-US"/>
        </w:rPr>
        <w:t>transition</w:t>
      </w:r>
      <w:r>
        <w:rPr>
          <w:rFonts w:ascii="Cambria" w:hAnsi="Cambria"/>
          <w:lang w:val="en-US"/>
        </w:rPr>
        <w:t xml:space="preserve"> is rather large but, unfortunately, is not possible to analyze quantitatively in contrast to the U </w:t>
      </w:r>
      <w:r>
        <w:rPr>
          <w:rFonts w:ascii="Cambria" w:hAnsi="Cambria"/>
          <w:i/>
          <w:lang w:val="en-US"/>
        </w:rPr>
        <w:t>M</w:t>
      </w:r>
      <w:r>
        <w:rPr>
          <w:rFonts w:ascii="Cambria" w:hAnsi="Cambria"/>
          <w:vertAlign w:val="subscript"/>
          <w:lang w:val="en-US"/>
        </w:rPr>
        <w:t xml:space="preserve">4,5 </w:t>
      </w:r>
      <w:r>
        <w:rPr>
          <w:rFonts w:cstheme="minorHAnsi"/>
          <w:lang w:val="en-US"/>
        </w:rPr>
        <w:t>edges. The observed signal reflects the orbital polarization of the 5</w:t>
      </w:r>
      <w:r>
        <w:rPr>
          <w:rFonts w:cstheme="minorHAnsi"/>
          <w:i/>
          <w:lang w:val="en-US"/>
        </w:rPr>
        <w:t xml:space="preserve">p </w:t>
      </w:r>
      <w:r>
        <w:rPr>
          <w:rFonts w:cstheme="minorHAnsi"/>
          <w:lang w:val="en-US"/>
        </w:rPr>
        <w:t>Te unoccupied states which is induced via hybridization with the U 5</w:t>
      </w:r>
      <w:r w:rsidRPr="00664833">
        <w:rPr>
          <w:rFonts w:cstheme="minorHAnsi"/>
          <w:i/>
          <w:lang w:val="en-US"/>
        </w:rPr>
        <w:t>f</w:t>
      </w:r>
      <w:r>
        <w:rPr>
          <w:rFonts w:cstheme="minorHAnsi"/>
          <w:lang w:val="en-US"/>
        </w:rPr>
        <w:t xml:space="preserve"> spin-orbit split states as </w:t>
      </w:r>
      <w:r>
        <w:rPr>
          <w:rFonts w:ascii="Cambria" w:hAnsi="Cambria"/>
          <w:lang w:val="en-US"/>
        </w:rPr>
        <w:t xml:space="preserve">observed by ARPES and partial densities of states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 xml:space="preserve">1]. The dichroic signal has an S shape and is similar to the one observed at the Ge </w:t>
      </w:r>
      <w:r>
        <w:rPr>
          <w:rFonts w:cstheme="minorHAnsi"/>
          <w:i/>
          <w:lang w:val="en-US"/>
        </w:rPr>
        <w:t>K</w:t>
      </w:r>
      <w:r>
        <w:rPr>
          <w:rFonts w:cstheme="minorHAnsi"/>
          <w:lang w:val="en-US"/>
        </w:rPr>
        <w:t xml:space="preserve"> edge (1s </w:t>
      </w:r>
      <w:r w:rsidRPr="002D2A2C">
        <w:rPr>
          <w:rFonts w:ascii="Cambria" w:hAnsi="Cambria"/>
          <w:lang w:val="en-US"/>
        </w:rPr>
        <w:t>→</w:t>
      </w:r>
      <w:r>
        <w:rPr>
          <w:rFonts w:ascii="Cambria" w:hAnsi="Cambria"/>
          <w:lang w:val="en-US"/>
        </w:rPr>
        <w:t xml:space="preserve"> 4p transition)</w:t>
      </w:r>
      <w:r>
        <w:rPr>
          <w:rFonts w:cstheme="minorHAnsi"/>
          <w:lang w:val="en-US"/>
        </w:rPr>
        <w:t xml:space="preserve"> in URhGe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2]</w:t>
      </w:r>
      <w:r>
        <w:rPr>
          <w:rFonts w:ascii="Cambria" w:hAnsi="Cambria"/>
          <w:lang w:val="en-US"/>
        </w:rPr>
        <w:t>. The integral of the XMCD spectrum is negative which indicates that the 5</w:t>
      </w:r>
      <w:r>
        <w:rPr>
          <w:rFonts w:ascii="Cambria" w:hAnsi="Cambria"/>
          <w:i/>
          <w:lang w:val="en-US"/>
        </w:rPr>
        <w:t xml:space="preserve">p </w:t>
      </w:r>
      <w:r>
        <w:rPr>
          <w:rFonts w:ascii="Cambria" w:hAnsi="Cambria"/>
          <w:lang w:val="en-US"/>
        </w:rPr>
        <w:t>orbital moment is parallel to the applied field. No information can be extracted concerning the Te 5</w:t>
      </w:r>
      <w:r>
        <w:rPr>
          <w:rFonts w:ascii="Cambria" w:hAnsi="Cambria"/>
          <w:i/>
          <w:lang w:val="en-US"/>
        </w:rPr>
        <w:t xml:space="preserve">p </w:t>
      </w:r>
      <w:r>
        <w:rPr>
          <w:rFonts w:ascii="Cambria" w:hAnsi="Cambria"/>
          <w:lang w:val="en-US"/>
        </w:rPr>
        <w:t xml:space="preserve">spin moment. </w:t>
      </w:r>
    </w:p>
    <w:p w14:paraId="78391F69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  <w:r w:rsidRPr="00664833">
        <w:rPr>
          <w:rFonts w:ascii="Cambria" w:hAnsi="Cambria"/>
          <w:noProof/>
          <w:lang w:val="en-GB" w:eastAsia="en-GB"/>
        </w:rPr>
        <w:drawing>
          <wp:inline distT="0" distB="0" distL="0" distR="0" wp14:anchorId="407F9AD4" wp14:editId="056467DE">
            <wp:extent cx="3827417" cy="292945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UTe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19" cy="29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F1C9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FIG. S1 XANES (left axis, red curve) and XMCD (right axis, blue curve)  spectra recorded at the Te </w:t>
      </w:r>
      <w:r>
        <w:rPr>
          <w:rFonts w:cstheme="minorHAnsi"/>
          <w:i/>
          <w:lang w:val="en-US"/>
        </w:rPr>
        <w:t>L</w:t>
      </w:r>
      <w:r>
        <w:rPr>
          <w:rFonts w:cstheme="minorHAnsi"/>
          <w:vertAlign w:val="subscript"/>
          <w:lang w:val="en-US"/>
        </w:rPr>
        <w:t xml:space="preserve">1 </w:t>
      </w:r>
      <w:r>
        <w:rPr>
          <w:rFonts w:cstheme="minorHAnsi"/>
          <w:lang w:val="en-US"/>
        </w:rPr>
        <w:t>edge for a UTe</w:t>
      </w:r>
      <w:r>
        <w:rPr>
          <w:rFonts w:cstheme="minorHAnsi"/>
          <w:vertAlign w:val="subscript"/>
          <w:lang w:val="en-US"/>
        </w:rPr>
        <w:t>2</w:t>
      </w:r>
      <w:r>
        <w:rPr>
          <w:rFonts w:cstheme="minorHAnsi"/>
          <w:lang w:val="en-US"/>
        </w:rPr>
        <w:t xml:space="preserve"> single crystal in a magnetic field </w:t>
      </w:r>
      <w:r>
        <w:rPr>
          <w:rFonts w:cstheme="minorHAnsi"/>
          <w:b/>
          <w:i/>
          <w:lang w:val="en-US"/>
        </w:rPr>
        <w:t>H</w:t>
      </w:r>
      <w:r>
        <w:rPr>
          <w:rFonts w:cstheme="minorHAnsi"/>
          <w:lang w:val="en-US"/>
        </w:rPr>
        <w:t xml:space="preserve"> ll </w:t>
      </w:r>
      <w:r>
        <w:rPr>
          <w:rFonts w:cstheme="minorHAnsi"/>
          <w:b/>
          <w:lang w:val="en-US"/>
        </w:rPr>
        <w:t xml:space="preserve">a </w:t>
      </w:r>
      <w:r>
        <w:rPr>
          <w:rFonts w:cstheme="minorHAnsi"/>
          <w:lang w:val="en-US"/>
        </w:rPr>
        <w:t>of 17 T at 2.7 K.</w:t>
      </w:r>
    </w:p>
    <w:p w14:paraId="6826828F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286BA049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</w:p>
    <w:p w14:paraId="43F0DF6B" w14:textId="77777777" w:rsidR="008E0C21" w:rsidRPr="009F309A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0AB7EFFB" w14:textId="77777777" w:rsidR="008E0C21" w:rsidRPr="0057755B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4D7E1712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  <w:r>
        <w:rPr>
          <w:rFonts w:cstheme="minorHAnsi"/>
          <w:b/>
          <w:lang w:val="en-US"/>
        </w:rPr>
        <w:t>2. Uranium magnetization curve in UTe</w:t>
      </w:r>
      <w:r>
        <w:rPr>
          <w:rFonts w:cstheme="minorHAnsi"/>
          <w:b/>
          <w:vertAlign w:val="subscript"/>
          <w:lang w:val="en-US"/>
        </w:rPr>
        <w:t>2</w:t>
      </w:r>
    </w:p>
    <w:p w14:paraId="7947F1CA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</w:p>
    <w:p w14:paraId="5813D3EF" w14:textId="77777777" w:rsidR="008E0C21" w:rsidRPr="00D20E9E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  <w:r>
        <w:rPr>
          <w:rFonts w:cstheme="minorHAnsi"/>
          <w:b/>
          <w:noProof/>
          <w:vertAlign w:val="subscript"/>
          <w:lang w:val="en-GB" w:eastAsia="en-GB"/>
        </w:rPr>
        <w:drawing>
          <wp:inline distT="0" distB="0" distL="0" distR="0" wp14:anchorId="56BF09FE" wp14:editId="79EF2B37">
            <wp:extent cx="4227195" cy="323544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e2 Figure 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30" cy="32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53EA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lang w:val="en-US"/>
        </w:rPr>
      </w:pPr>
    </w:p>
    <w:p w14:paraId="6CBDF48C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  <w:r>
        <w:rPr>
          <w:rFonts w:cstheme="minorHAnsi"/>
          <w:lang w:val="en-US"/>
        </w:rPr>
        <w:t>FIG. S2 Uranium magnetization (left axis, red circles) recorded by monitoring the maximum of XMCD signal in UTe</w:t>
      </w:r>
      <w:r>
        <w:rPr>
          <w:rFonts w:cstheme="minorHAnsi"/>
          <w:vertAlign w:val="subscript"/>
          <w:lang w:val="en-US"/>
        </w:rPr>
        <w:t xml:space="preserve">2 </w:t>
      </w:r>
      <w:r>
        <w:rPr>
          <w:rFonts w:cstheme="minorHAnsi"/>
          <w:lang w:val="en-US"/>
        </w:rPr>
        <w:t xml:space="preserve">at the U </w:t>
      </w:r>
      <w:r>
        <w:rPr>
          <w:rFonts w:cstheme="minorHAnsi"/>
          <w:i/>
          <w:lang w:val="en-US"/>
        </w:rPr>
        <w:t>M</w:t>
      </w:r>
      <w:r>
        <w:rPr>
          <w:rFonts w:cstheme="minorHAnsi"/>
          <w:vertAlign w:val="subscript"/>
          <w:lang w:val="en-US"/>
        </w:rPr>
        <w:t xml:space="preserve">4 </w:t>
      </w:r>
      <w:r>
        <w:rPr>
          <w:rFonts w:cstheme="minorHAnsi"/>
          <w:lang w:val="en-US"/>
        </w:rPr>
        <w:t xml:space="preserve">edge at 2.7 K as a function of magnetic field up to 17 Tesla </w:t>
      </w:r>
      <w:r w:rsidRPr="00F11071">
        <w:rPr>
          <w:rFonts w:cstheme="minorHAnsi"/>
          <w:lang w:val="en-US"/>
        </w:rPr>
        <w:t>together</w:t>
      </w:r>
      <w:r>
        <w:rPr>
          <w:rFonts w:cstheme="minorHAnsi"/>
          <w:lang w:val="en-US"/>
        </w:rPr>
        <w:t xml:space="preserve"> with the macroscopic magnetization curve recorded at 1.4 K with a pulsed field applied along the </w:t>
      </w:r>
      <w:r>
        <w:rPr>
          <w:rFonts w:cstheme="minorHAnsi"/>
          <w:b/>
          <w:lang w:val="en-US"/>
        </w:rPr>
        <w:t>a</w:t>
      </w:r>
      <w:r>
        <w:rPr>
          <w:rFonts w:cstheme="minorHAnsi"/>
          <w:lang w:val="en-US"/>
        </w:rPr>
        <w:t xml:space="preserve">-axis (right axis, black line)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3]</w:t>
      </w:r>
      <w:r>
        <w:rPr>
          <w:rFonts w:ascii="Cambria" w:hAnsi="Cambria"/>
          <w:lang w:val="en-US"/>
        </w:rPr>
        <w:t>.</w:t>
      </w:r>
    </w:p>
    <w:p w14:paraId="4E5B9612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</w:p>
    <w:p w14:paraId="2A990A14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b/>
          <w:lang w:val="en-US"/>
        </w:rPr>
      </w:pPr>
    </w:p>
    <w:p w14:paraId="4C247D6D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</w:p>
    <w:p w14:paraId="2EECA879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 xml:space="preserve">3. Pressure dependence of the residual resistivity and of the magnetic anisotropy  </w:t>
      </w:r>
    </w:p>
    <w:p w14:paraId="4807F6AF" w14:textId="77777777" w:rsidR="008E0C21" w:rsidRDefault="008E0C21" w:rsidP="008E0C21">
      <w:pPr>
        <w:tabs>
          <w:tab w:val="left" w:pos="426"/>
        </w:tabs>
        <w:jc w:val="both"/>
        <w:rPr>
          <w:rFonts w:ascii="Cambria" w:hAnsi="Cambria"/>
          <w:b/>
          <w:lang w:val="en-US"/>
        </w:rPr>
      </w:pPr>
    </w:p>
    <w:p w14:paraId="748F7169" w14:textId="1FEAB3F9" w:rsidR="008E0C21" w:rsidRPr="00332D20" w:rsidRDefault="00F06CF0" w:rsidP="008E0C21">
      <w:pPr>
        <w:tabs>
          <w:tab w:val="left" w:pos="426"/>
        </w:tabs>
        <w:jc w:val="both"/>
        <w:rPr>
          <w:rFonts w:ascii="Cambria" w:hAnsi="Cambria"/>
          <w:b/>
          <w:lang w:val="en-US"/>
        </w:rPr>
      </w:pPr>
      <w:r>
        <w:rPr>
          <w:rFonts w:ascii="Cambria" w:hAnsi="Cambria"/>
          <w:b/>
          <w:noProof/>
          <w:lang w:val="en-GB" w:eastAsia="en-GB"/>
        </w:rPr>
        <w:drawing>
          <wp:inline distT="0" distB="0" distL="0" distR="0" wp14:anchorId="0A071AE5" wp14:editId="613639D6">
            <wp:extent cx="3807823" cy="281281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8476" cy="28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D5BA" w14:textId="77777777" w:rsidR="00F06CF0" w:rsidRDefault="00F06CF0" w:rsidP="00F06CF0">
      <w:pPr>
        <w:pStyle w:val="ListParagraph"/>
        <w:ind w:left="0"/>
        <w:jc w:val="both"/>
        <w:rPr>
          <w:rFonts w:cstheme="minorHAnsi"/>
          <w:lang w:val="en-US"/>
        </w:rPr>
      </w:pPr>
      <w:r>
        <w:rPr>
          <w:rFonts w:eastAsiaTheme="minorEastAsia" w:cstheme="minorHAnsi"/>
          <w:sz w:val="24"/>
          <w:szCs w:val="24"/>
          <w:lang w:val="en-US"/>
        </w:rPr>
        <w:t xml:space="preserve">FIG. S3 Pressure dependences of the residual resistivity, </w:t>
      </w:r>
      <w:r>
        <w:rPr>
          <w:rFonts w:ascii="Cambria" w:eastAsiaTheme="minorEastAsia" w:hAnsi="Cambria" w:cstheme="minorHAnsi"/>
          <w:sz w:val="24"/>
          <w:szCs w:val="24"/>
          <w:lang w:val="en-US"/>
        </w:rPr>
        <w:t>ρ</w:t>
      </w:r>
      <w:r>
        <w:rPr>
          <w:rFonts w:eastAsiaTheme="minorEastAsia" w:cstheme="minorHAnsi"/>
          <w:sz w:val="24"/>
          <w:szCs w:val="24"/>
          <w:vertAlign w:val="subscript"/>
          <w:lang w:val="en-US"/>
        </w:rPr>
        <w:t xml:space="preserve">0 </w:t>
      </w:r>
      <w:r>
        <w:rPr>
          <w:rFonts w:eastAsiaTheme="minorEastAsia" w:cstheme="minorHAnsi"/>
          <w:sz w:val="24"/>
          <w:szCs w:val="24"/>
          <w:lang w:val="en-US"/>
        </w:rPr>
        <w:t xml:space="preserve">(blue squares)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4]</w:t>
      </w:r>
      <w:r>
        <w:rPr>
          <w:rFonts w:eastAsiaTheme="minorEastAsia" w:cstheme="minorHAnsi"/>
          <w:sz w:val="24"/>
          <w:szCs w:val="24"/>
          <w:lang w:val="en-US"/>
        </w:rPr>
        <w:t xml:space="preserve"> and of the susceptibility ratio, </w:t>
      </w:r>
      <w:r>
        <w:rPr>
          <w:rFonts w:ascii="Cambria" w:hAnsi="Cambria" w:cstheme="minorHAnsi"/>
          <w:lang w:val="en-US"/>
        </w:rPr>
        <w:t>χ</w:t>
      </w:r>
      <w:r>
        <w:rPr>
          <w:rFonts w:cstheme="minorHAnsi"/>
          <w:vertAlign w:val="subscript"/>
          <w:lang w:val="en-US"/>
        </w:rPr>
        <w:t>a</w:t>
      </w:r>
      <w:r>
        <w:rPr>
          <w:rFonts w:cstheme="minorHAnsi"/>
          <w:lang w:val="en-US"/>
        </w:rPr>
        <w:t>/</w:t>
      </w:r>
      <w:r>
        <w:rPr>
          <w:rFonts w:ascii="Cambria" w:hAnsi="Cambria" w:cstheme="minorHAnsi"/>
          <w:lang w:val="en-US"/>
        </w:rPr>
        <w:t>χ</w:t>
      </w:r>
      <w:r>
        <w:rPr>
          <w:rFonts w:cstheme="minorHAnsi"/>
          <w:vertAlign w:val="subscript"/>
          <w:lang w:val="en-US"/>
        </w:rPr>
        <w:t xml:space="preserve">b </w:t>
      </w:r>
      <w:r>
        <w:rPr>
          <w:rFonts w:cstheme="minorHAnsi"/>
          <w:lang w:val="en-US"/>
        </w:rPr>
        <w:t>(red dots)</w:t>
      </w:r>
      <w:r>
        <w:rPr>
          <w:rFonts w:cstheme="minorHAnsi"/>
          <w:vertAlign w:val="subscript"/>
          <w:lang w:val="en-US"/>
        </w:rPr>
        <w:t xml:space="preserve"> </w:t>
      </w:r>
      <w:r>
        <w:rPr>
          <w:rFonts w:cstheme="minorHAnsi"/>
          <w:lang w:val="en-US"/>
        </w:rPr>
        <w:t xml:space="preserve">, at low temperature recorded in a field of 1 T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5].</w:t>
      </w:r>
    </w:p>
    <w:p w14:paraId="1FF9026A" w14:textId="77777777" w:rsidR="008E0C21" w:rsidRPr="00017BD0" w:rsidRDefault="008E0C21" w:rsidP="008E0C21">
      <w:pPr>
        <w:tabs>
          <w:tab w:val="left" w:pos="426"/>
        </w:tabs>
        <w:jc w:val="both"/>
        <w:rPr>
          <w:rFonts w:ascii="Cambria" w:hAnsi="Cambria"/>
          <w:lang w:val="en-US"/>
        </w:rPr>
      </w:pPr>
    </w:p>
    <w:p w14:paraId="2EDE602B" w14:textId="77777777" w:rsidR="008E0C21" w:rsidRPr="00F1107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241C2C49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  <w:r>
        <w:rPr>
          <w:rFonts w:cstheme="minorHAnsi"/>
          <w:b/>
          <w:lang w:val="en-US"/>
        </w:rPr>
        <w:t xml:space="preserve">4. </w:t>
      </w:r>
      <w:r w:rsidRPr="00657A47">
        <w:rPr>
          <w:rFonts w:cstheme="minorHAnsi"/>
          <w:b/>
          <w:lang w:val="en-US"/>
        </w:rPr>
        <w:t>Pressure dependence of the occupation of the individual spin-orbit electron shells in UTe</w:t>
      </w:r>
      <w:r w:rsidRPr="00657A47">
        <w:rPr>
          <w:rFonts w:cstheme="minorHAnsi"/>
          <w:b/>
          <w:vertAlign w:val="subscript"/>
          <w:lang w:val="en-US"/>
        </w:rPr>
        <w:t>2</w:t>
      </w:r>
    </w:p>
    <w:p w14:paraId="67DBBE1D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</w:p>
    <w:p w14:paraId="74195751" w14:textId="77777777" w:rsidR="008E0C21" w:rsidRDefault="008E0C21" w:rsidP="008E0C21">
      <w:pPr>
        <w:pStyle w:val="ListParagraph"/>
        <w:tabs>
          <w:tab w:val="left" w:pos="567"/>
        </w:tabs>
        <w:ind w:left="0"/>
        <w:jc w:val="both"/>
        <w:rPr>
          <w:rFonts w:eastAsiaTheme="minorEastAsia" w:cstheme="minorHAnsi"/>
          <w:sz w:val="24"/>
          <w:szCs w:val="24"/>
          <w:lang w:val="en-US"/>
        </w:rPr>
      </w:pPr>
      <w:r>
        <w:rPr>
          <w:rFonts w:eastAsiaTheme="minorEastAsia" w:cstheme="minorHAnsi"/>
          <w:sz w:val="24"/>
          <w:szCs w:val="24"/>
          <w:lang w:val="en-US"/>
        </w:rPr>
        <w:t>The so-called spin-orbit sum rule derived by van der Laan and Thole states that the branching ratio in the x-ray absorption at the spin-orbit split edges is proportional to the expectation value of the angular part of the spin-orbit interaction in the valence band [6].</w:t>
      </w:r>
    </w:p>
    <w:p w14:paraId="0B37B724" w14:textId="77777777" w:rsidR="008E0C21" w:rsidRPr="00340C42" w:rsidRDefault="008E0C21" w:rsidP="008E0C21">
      <w:pPr>
        <w:pStyle w:val="ListParagraph"/>
        <w:tabs>
          <w:tab w:val="left" w:pos="567"/>
        </w:tabs>
        <w:ind w:left="0"/>
        <w:jc w:val="both"/>
        <w:rPr>
          <w:sz w:val="24"/>
          <w:szCs w:val="24"/>
          <w:lang w:val="en-US"/>
        </w:rPr>
      </w:pPr>
      <w:r>
        <w:rPr>
          <w:rFonts w:eastAsiaTheme="minorEastAsia" w:cstheme="minorHAnsi"/>
          <w:sz w:val="24"/>
          <w:szCs w:val="24"/>
          <w:lang w:val="en-US"/>
        </w:rPr>
        <w:t xml:space="preserve">In the case of the </w:t>
      </w:r>
      <w:r w:rsidRPr="00664833">
        <w:rPr>
          <w:rFonts w:eastAsiaTheme="minorEastAsia" w:cstheme="minorHAnsi"/>
          <w:i/>
          <w:sz w:val="24"/>
          <w:szCs w:val="24"/>
          <w:lang w:val="en-US"/>
        </w:rPr>
        <w:t>M</w:t>
      </w:r>
      <w:r w:rsidRPr="00664833">
        <w:rPr>
          <w:rFonts w:eastAsiaTheme="minorEastAsia" w:cstheme="minorHAnsi"/>
          <w:sz w:val="24"/>
          <w:szCs w:val="24"/>
          <w:vertAlign w:val="subscript"/>
          <w:lang w:val="en-US"/>
        </w:rPr>
        <w:t>4,5</w:t>
      </w:r>
      <w:r>
        <w:rPr>
          <w:rFonts w:eastAsiaTheme="minorEastAsia" w:cstheme="minorHAnsi"/>
          <w:sz w:val="24"/>
          <w:szCs w:val="24"/>
          <w:lang w:val="en-US"/>
        </w:rPr>
        <w:t>-absorption edges it reads</w:t>
      </w:r>
    </w:p>
    <w:p w14:paraId="7379852A" w14:textId="77777777" w:rsidR="008E0C21" w:rsidRPr="00A4144B" w:rsidRDefault="008E0C21" w:rsidP="008E0C21">
      <w:pPr>
        <w:pStyle w:val="ListParagraph"/>
        <w:tabs>
          <w:tab w:val="left" w:pos="567"/>
        </w:tabs>
        <w:ind w:left="0"/>
        <w:jc w:val="both"/>
        <w:rPr>
          <w:rFonts w:eastAsiaTheme="minorEastAsia" w:cstheme="minorHAnsi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</m:oMath>
      </m:oMathPara>
    </w:p>
    <w:p w14:paraId="17F69917" w14:textId="77777777" w:rsidR="008E0C21" w:rsidRPr="00340C42" w:rsidRDefault="008E0C21" w:rsidP="008E0C21">
      <w:pPr>
        <w:pStyle w:val="ListParagraph"/>
        <w:ind w:left="0"/>
        <w:jc w:val="both"/>
        <w:rPr>
          <w:rFonts w:eastAsiaTheme="minorEastAsia" w:cstheme="minorHAnsi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2&lt;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l  </m:t>
                </m:r>
              </m:e>
            </m:acc>
            <m:r>
              <w:rPr>
                <w:rFonts w:ascii="Cambria Math" w:hAnsi="Cambria Math"/>
                <w:sz w:val="24"/>
                <w:szCs w:val="24"/>
                <w:lang w:val="en-US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</m:acc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&gt;  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3 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h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5f</m:t>
                </m:r>
              </m:sup>
            </m:sSubSup>
          </m:den>
        </m:f>
        <m:r>
          <w:rPr>
            <w:rFonts w:ascii="Cambria Math" w:hAnsi="Cambria Math"/>
            <w:sz w:val="24"/>
            <w:szCs w:val="24"/>
            <w:lang w:val="en-US"/>
          </w:rPr>
          <m:t>- ∆  = 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2 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B-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       </m:t>
        </m:r>
      </m:oMath>
      <w:r>
        <w:rPr>
          <w:rFonts w:eastAsiaTheme="minorEastAsia" w:cstheme="minorHAnsi"/>
          <w:sz w:val="24"/>
          <w:szCs w:val="24"/>
          <w:lang w:val="en-US"/>
        </w:rPr>
        <w:t xml:space="preserve">. The expectation value of the spin-orbit operator is, in turn, directly proportional to the </w:t>
      </w:r>
      <w:r w:rsidRPr="00340C42">
        <w:rPr>
          <w:rFonts w:eastAsiaTheme="minorEastAsia" w:cstheme="minorHAnsi"/>
          <w:sz w:val="24"/>
          <w:szCs w:val="24"/>
          <w:lang w:val="en-US"/>
        </w:rPr>
        <w:t xml:space="preserve">number of electrons in the individual </w:t>
      </w:r>
      <w:r>
        <w:rPr>
          <w:rFonts w:eastAsiaTheme="minorEastAsia" w:cstheme="minorHAnsi"/>
          <w:sz w:val="24"/>
          <w:szCs w:val="24"/>
          <w:lang w:val="en-US"/>
        </w:rPr>
        <w:t>sub-</w:t>
      </w:r>
      <w:r w:rsidRPr="00340C42">
        <w:rPr>
          <w:rFonts w:eastAsiaTheme="minorEastAsia" w:cstheme="minorHAnsi"/>
          <w:sz w:val="24"/>
          <w:szCs w:val="24"/>
          <w:lang w:val="en-US"/>
        </w:rPr>
        <w:t>shells corresponding to j = 7/2 and j = 5/2</w:t>
      </w:r>
      <w:r>
        <w:rPr>
          <w:rFonts w:eastAsiaTheme="minorEastAsia" w:cstheme="minorHAnsi"/>
          <w:sz w:val="24"/>
          <w:szCs w:val="24"/>
          <w:lang w:val="en-US"/>
        </w:rPr>
        <w:t xml:space="preserve"> : </w:t>
      </w:r>
      <m:oMath>
        <m:r>
          <w:rPr>
            <w:rFonts w:ascii="Cambria Math" w:eastAsiaTheme="minorEastAsia" w:hAnsi="Cambria Math" w:cstheme="minorHAnsi"/>
            <w:sz w:val="24"/>
            <w:szCs w:val="24"/>
            <w:lang w:val="en-US"/>
          </w:rPr>
          <m:t>&lt;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l  </m:t>
            </m:r>
          </m:e>
        </m:acc>
        <m:r>
          <w:rPr>
            <w:rFonts w:ascii="Cambria Math" w:hAnsi="Cambria Math"/>
            <w:sz w:val="24"/>
            <w:szCs w:val="24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</m:acc>
        <m:r>
          <w:rPr>
            <w:rFonts w:ascii="Cambria Math" w:hAnsi="Cambria Math"/>
            <w:sz w:val="24"/>
            <w:szCs w:val="24"/>
            <w:lang w:val="en-US"/>
          </w:rPr>
          <m:t xml:space="preserve">&gt; 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 xml:space="preserve"> 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5f7/2</m:t>
            </m:r>
          </m:sup>
        </m:sSubSup>
        <m:r>
          <w:rPr>
            <w:rFonts w:ascii="Cambria Math" w:hAnsi="Cambria Math"/>
            <w:sz w:val="24"/>
            <w:szCs w:val="24"/>
            <w:lang w:val="en-US"/>
          </w:rPr>
          <m:t xml:space="preserve"> -2  </m:t>
        </m:r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5f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5/2</m:t>
            </m:r>
          </m:sup>
        </m:sSubSup>
      </m:oMath>
      <w:r w:rsidRPr="00340C42">
        <w:rPr>
          <w:rFonts w:eastAsiaTheme="minorEastAsia" w:cstheme="minorHAnsi"/>
          <w:sz w:val="24"/>
          <w:szCs w:val="24"/>
          <w:lang w:val="en-US"/>
        </w:rPr>
        <w:t xml:space="preserve"> </w:t>
      </w:r>
      <w:r>
        <w:rPr>
          <w:rFonts w:eastAsiaTheme="minorEastAsia" w:cstheme="minorHAnsi"/>
          <w:sz w:val="24"/>
          <w:szCs w:val="24"/>
          <w:lang w:val="en-US"/>
        </w:rPr>
        <w:t>[7].</w:t>
      </w:r>
      <w:r w:rsidRPr="00340C42">
        <w:rPr>
          <w:rFonts w:eastAsiaTheme="minorEastAsia" w:cstheme="minorHAnsi"/>
          <w:sz w:val="24"/>
          <w:szCs w:val="24"/>
          <w:lang w:val="en-US"/>
        </w:rPr>
        <w:t xml:space="preserve"> Taking the value </w:t>
      </w:r>
      <m:oMath>
        <m:sSubSup>
          <m:sSub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theme="minorHAnsi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  <w:lang w:val="en-US"/>
              </w:rPr>
              <m:t>e</m:t>
            </m:r>
          </m:sub>
          <m:sup>
            <m:r>
              <w:rPr>
                <w:rFonts w:ascii="Cambria Math" w:eastAsiaTheme="minorEastAsia" w:hAnsi="Cambria Math" w:cstheme="minorHAnsi"/>
                <w:sz w:val="24"/>
                <w:szCs w:val="24"/>
                <w:lang w:val="en-US"/>
              </w:rPr>
              <m:t>5f</m:t>
            </m:r>
          </m:sup>
        </m:sSubSup>
      </m:oMath>
      <w:r w:rsidRPr="00340C42">
        <w:rPr>
          <w:rFonts w:eastAsiaTheme="minorEastAsia" w:cstheme="minorHAnsi"/>
          <w:sz w:val="24"/>
          <w:szCs w:val="24"/>
          <w:lang w:val="en-US"/>
        </w:rPr>
        <w:t xml:space="preserve">= 2.8 </w:t>
      </w:r>
      <w:r>
        <w:rPr>
          <w:rFonts w:eastAsiaTheme="minorEastAsia" w:cstheme="minorHAnsi"/>
          <w:sz w:val="24"/>
          <w:szCs w:val="24"/>
          <w:lang w:val="en-US"/>
        </w:rPr>
        <w:t>as a reference at ambient pressure we</w:t>
      </w:r>
      <w:r w:rsidRPr="00340C42">
        <w:rPr>
          <w:rFonts w:eastAsiaTheme="minorEastAsia" w:cstheme="minorHAnsi"/>
          <w:sz w:val="24"/>
          <w:szCs w:val="24"/>
          <w:lang w:val="en-US"/>
        </w:rPr>
        <w:t xml:space="preserve"> obtain </w:t>
      </w:r>
      <m:oMath>
        <m:r>
          <w:rPr>
            <w:rFonts w:ascii="Cambria Math" w:hAnsi="Cambria Math"/>
            <w:sz w:val="24"/>
            <w:szCs w:val="24"/>
            <w:lang w:val="en-US"/>
          </w:rPr>
          <m:t>&lt;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l  </m:t>
            </m:r>
          </m:e>
        </m:acc>
        <m:r>
          <w:rPr>
            <w:rFonts w:ascii="Cambria Math" w:hAnsi="Cambria Math"/>
            <w:sz w:val="24"/>
            <w:szCs w:val="24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</m:acc>
        <m:r>
          <w:rPr>
            <w:rFonts w:ascii="Cambria Math" w:hAnsi="Cambria Math"/>
            <w:sz w:val="24"/>
            <w:szCs w:val="24"/>
            <w:lang w:val="en-US"/>
          </w:rPr>
          <m:t xml:space="preserve">&gt;  </m:t>
        </m:r>
      </m:oMath>
      <w:r w:rsidRPr="00340C42">
        <w:rPr>
          <w:rFonts w:eastAsiaTheme="minorEastAsia" w:cstheme="minorHAnsi"/>
          <w:sz w:val="24"/>
          <w:szCs w:val="24"/>
          <w:lang w:val="en-US"/>
        </w:rPr>
        <w:t xml:space="preserve">= - 4.633 and the occupation numbers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5f5/2</m:t>
            </m:r>
          </m:sup>
        </m:sSubSup>
      </m:oMath>
      <w:r w:rsidRPr="00340C42">
        <w:rPr>
          <w:rFonts w:eastAsiaTheme="minorEastAsia" w:cstheme="minorHAnsi"/>
          <w:sz w:val="24"/>
          <w:szCs w:val="24"/>
          <w:lang w:val="en-US"/>
        </w:rPr>
        <w:t xml:space="preserve"> = 2.52 and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5f7/2</m:t>
            </m:r>
          </m:sup>
        </m:sSubSup>
      </m:oMath>
      <w:r w:rsidRPr="00340C42">
        <w:rPr>
          <w:rFonts w:eastAsiaTheme="minorEastAsia" w:cstheme="minorHAnsi"/>
          <w:sz w:val="24"/>
          <w:szCs w:val="24"/>
          <w:lang w:val="en-US"/>
        </w:rPr>
        <w:t xml:space="preserve"> = 0.28.</w:t>
      </w:r>
      <w:r>
        <w:rPr>
          <w:rFonts w:eastAsiaTheme="minorEastAsia" w:cstheme="minorHAnsi"/>
          <w:sz w:val="24"/>
          <w:szCs w:val="24"/>
          <w:lang w:val="en-US"/>
        </w:rPr>
        <w:t xml:space="preserve"> The pressure dependent results are summarized in Figure S5.  </w:t>
      </w:r>
      <w:r>
        <w:rPr>
          <w:rFonts w:ascii="Cambria" w:hAnsi="Cambria" w:cstheme="minorHAnsi"/>
          <w:lang w:val="en-US"/>
        </w:rPr>
        <w:t xml:space="preserve">Both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lang w:val="en-US"/>
              </w:rPr>
              <m:t>5f7/2</m:t>
            </m:r>
          </m:sup>
        </m:sSubSup>
      </m:oMath>
      <w:r>
        <w:rPr>
          <w:rFonts w:ascii="Cambria" w:hAnsi="Cambria" w:cstheme="minorHAnsi"/>
          <w:lang w:val="en-US"/>
        </w:rPr>
        <w:t xml:space="preserve"> and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lang w:val="en-US"/>
              </w:rPr>
              <m:t>5f5/2</m:t>
            </m:r>
          </m:sup>
        </m:sSubSup>
      </m:oMath>
      <w:r>
        <w:rPr>
          <w:rFonts w:ascii="Cambria" w:hAnsi="Cambria" w:cstheme="minorHAnsi"/>
          <w:lang w:val="en-US"/>
        </w:rPr>
        <w:t xml:space="preserve"> decrease with pressure in the paramagnetic phase. In the magnetically ordered phase </w:t>
      </w:r>
      <w:r>
        <w:rPr>
          <w:rFonts w:ascii="Cambria" w:eastAsiaTheme="minorEastAsia" w:hAnsi="Cambria" w:cstheme="minorHAnsi"/>
          <w:lang w:val="en-US"/>
        </w:rPr>
        <w:t xml:space="preserve">they remain </w:t>
      </w:r>
      <m:oMath>
        <m:r>
          <m:rPr>
            <m:sty m:val="p"/>
          </m:rPr>
          <w:rPr>
            <w:rFonts w:ascii="Cambria Math" w:hAnsi="Cambria Math"/>
            <w:lang w:val="en-US"/>
          </w:rPr>
          <m:t>nearly</m:t>
        </m:r>
      </m:oMath>
      <w:r w:rsidRPr="00D81FC3">
        <w:rPr>
          <w:rFonts w:ascii="Cambria" w:hAnsi="Cambria" w:cstheme="minorHAnsi"/>
          <w:lang w:val="en-US"/>
        </w:rPr>
        <w:t xml:space="preserve"> </w:t>
      </w:r>
      <w:r>
        <w:rPr>
          <w:rFonts w:ascii="Cambria" w:hAnsi="Cambria" w:cstheme="minorHAnsi"/>
          <w:lang w:val="en-US"/>
        </w:rPr>
        <w:t>constant. When UTe</w:t>
      </w:r>
      <w:r>
        <w:rPr>
          <w:rFonts w:ascii="Cambria" w:hAnsi="Cambria" w:cstheme="minorHAnsi"/>
          <w:vertAlign w:val="subscript"/>
          <w:lang w:val="en-US"/>
        </w:rPr>
        <w:t>2</w:t>
      </w:r>
      <w:r>
        <w:rPr>
          <w:rFonts w:ascii="Cambria" w:hAnsi="Cambria" w:cstheme="minorHAnsi"/>
          <w:lang w:val="en-US"/>
        </w:rPr>
        <w:t xml:space="preserve"> enters in the tetragonal phase the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  <m:sup>
            <m:r>
              <w:rPr>
                <w:rFonts w:ascii="Cambria Math" w:hAnsi="Cambria Math"/>
                <w:lang w:val="en-US"/>
              </w:rPr>
              <m:t>5f7/2</m:t>
            </m:r>
          </m:sup>
        </m:sSubSup>
      </m:oMath>
      <w:r>
        <w:rPr>
          <w:rFonts w:ascii="Cambria" w:eastAsiaTheme="minorEastAsia" w:hAnsi="Cambria" w:cstheme="minorHAnsi"/>
          <w:lang w:val="en-US"/>
        </w:rPr>
        <w:t xml:space="preserve">only </w:t>
      </w:r>
      <w:r>
        <w:rPr>
          <w:rFonts w:ascii="Cambria" w:hAnsi="Cambria" w:cstheme="minorHAnsi"/>
          <w:lang w:val="en-US"/>
        </w:rPr>
        <w:t>exhibits a drastic increase.</w:t>
      </w:r>
    </w:p>
    <w:p w14:paraId="6A5BD282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b/>
          <w:vertAlign w:val="subscript"/>
          <w:lang w:val="en-US"/>
        </w:rPr>
      </w:pPr>
    </w:p>
    <w:p w14:paraId="5FA7A62F" w14:textId="77777777" w:rsidR="008E0C21" w:rsidRPr="00D20E9E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  <w:r>
        <w:rPr>
          <w:rFonts w:cstheme="minorHAnsi"/>
          <w:noProof/>
          <w:lang w:val="en-GB" w:eastAsia="en-GB"/>
        </w:rPr>
        <w:drawing>
          <wp:inline distT="0" distB="0" distL="0" distR="0" wp14:anchorId="1A14445E" wp14:editId="168F851F">
            <wp:extent cx="4341495" cy="3322925"/>
            <wp:effectExtent l="0" t="0" r="1905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e2 Figure 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96" cy="33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3490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1FB049D6" w14:textId="77777777" w:rsidR="008E0C21" w:rsidRPr="00D20E9E" w:rsidRDefault="008E0C21" w:rsidP="008E0C21">
      <w:pPr>
        <w:tabs>
          <w:tab w:val="left" w:pos="426"/>
        </w:tabs>
        <w:jc w:val="both"/>
        <w:rPr>
          <w:rFonts w:cstheme="minorHAnsi"/>
          <w:vertAlign w:val="subscript"/>
          <w:lang w:val="en-US"/>
        </w:rPr>
      </w:pPr>
      <w:r>
        <w:rPr>
          <w:rFonts w:cstheme="minorHAnsi"/>
          <w:lang w:val="en-US"/>
        </w:rPr>
        <w:t xml:space="preserve">FIG. S4 Pressure dependence of the electron occupation of the </w:t>
      </w:r>
      <w:r>
        <w:rPr>
          <w:rFonts w:cstheme="minorHAnsi"/>
          <w:i/>
          <w:lang w:val="en-US"/>
        </w:rPr>
        <w:t>j</w:t>
      </w:r>
      <w:r>
        <w:rPr>
          <w:rFonts w:cstheme="minorHAnsi"/>
          <w:lang w:val="en-US"/>
        </w:rPr>
        <w:t xml:space="preserve"> = 5/2 and 7/2 subshells in UTe</w:t>
      </w:r>
      <w:r>
        <w:rPr>
          <w:rFonts w:cstheme="minorHAnsi"/>
          <w:vertAlign w:val="subscript"/>
          <w:lang w:val="en-US"/>
        </w:rPr>
        <w:t>2</w:t>
      </w:r>
    </w:p>
    <w:p w14:paraId="490D6232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217CEEA2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50DB87DB" w14:textId="77777777" w:rsidR="008E0C21" w:rsidRDefault="008E0C21" w:rsidP="008E0C21">
      <w:pPr>
        <w:tabs>
          <w:tab w:val="left" w:pos="426"/>
        </w:tabs>
        <w:rPr>
          <w:rFonts w:cstheme="minorHAnsi"/>
          <w:lang w:val="en-US"/>
        </w:rPr>
      </w:pPr>
      <w:r w:rsidRPr="00340C42" w:rsidDel="00D81FC3">
        <w:rPr>
          <w:rFonts w:cstheme="minorHAnsi"/>
          <w:lang w:val="en-US"/>
        </w:rPr>
        <w:t xml:space="preserve"> </w:t>
      </w: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1] Shick, A. B. et al. UTe</w:t>
      </w:r>
      <w:r>
        <w:rPr>
          <w:rFonts w:cstheme="minorHAnsi"/>
          <w:vertAlign w:val="subscript"/>
          <w:lang w:val="en-US"/>
        </w:rPr>
        <w:t>2</w:t>
      </w:r>
      <w:r>
        <w:rPr>
          <w:rFonts w:cstheme="minorHAnsi"/>
          <w:lang w:val="en-US"/>
        </w:rPr>
        <w:t xml:space="preserve"> a nearly j=</w:t>
      </w:r>
      <w:r w:rsidRPr="00E57E75">
        <w:rPr>
          <w:rFonts w:cstheme="minorHAnsi"/>
          <w:sz w:val="20"/>
          <w:szCs w:val="20"/>
          <w:lang w:val="en-US"/>
        </w:rPr>
        <w:t>5/2</w:t>
      </w:r>
      <w:r>
        <w:rPr>
          <w:rFonts w:cstheme="minorHAnsi"/>
          <w:lang w:val="en-US"/>
        </w:rPr>
        <w:t xml:space="preserve"> 5</w:t>
      </w:r>
      <w:r>
        <w:rPr>
          <w:rFonts w:cstheme="minorHAnsi"/>
          <w:i/>
          <w:lang w:val="en-US"/>
        </w:rPr>
        <w:t>f</w:t>
      </w:r>
      <w:r>
        <w:rPr>
          <w:rFonts w:cstheme="minorHAnsi"/>
          <w:vertAlign w:val="superscript"/>
          <w:lang w:val="en-US"/>
        </w:rPr>
        <w:t xml:space="preserve">3 </w:t>
      </w:r>
      <w:r>
        <w:rPr>
          <w:rFonts w:cstheme="minorHAnsi"/>
          <w:lang w:val="en-US"/>
        </w:rPr>
        <w:t xml:space="preserve">heavy- fermion metal, </w:t>
      </w:r>
      <w:r w:rsidRPr="00E57E75">
        <w:rPr>
          <w:rFonts w:cstheme="minorHAnsi"/>
          <w:i/>
          <w:lang w:val="en-US"/>
        </w:rPr>
        <w:t>Phys. Rev.</w:t>
      </w:r>
      <w:r>
        <w:rPr>
          <w:rFonts w:cstheme="minorHAnsi"/>
          <w:lang w:val="en-US"/>
        </w:rPr>
        <w:t xml:space="preserve"> </w:t>
      </w:r>
      <w:r w:rsidRPr="0035213E">
        <w:rPr>
          <w:rFonts w:cstheme="minorHAnsi"/>
          <w:b/>
          <w:lang w:val="en-US"/>
        </w:rPr>
        <w:t>B</w:t>
      </w:r>
      <w:r>
        <w:rPr>
          <w:rFonts w:cstheme="minorHAnsi"/>
          <w:b/>
          <w:lang w:val="en-US"/>
        </w:rPr>
        <w:t xml:space="preserve"> </w:t>
      </w:r>
      <w:r>
        <w:rPr>
          <w:rFonts w:cstheme="minorHAnsi"/>
          <w:lang w:val="en-US"/>
        </w:rPr>
        <w:t>103, 125136 (2021).</w:t>
      </w:r>
    </w:p>
    <w:p w14:paraId="10F7AF95" w14:textId="77777777" w:rsidR="008E0C21" w:rsidRDefault="008E0C21" w:rsidP="008E0C21">
      <w:pPr>
        <w:tabs>
          <w:tab w:val="left" w:pos="426"/>
        </w:tabs>
        <w:rPr>
          <w:rFonts w:cstheme="minorHAnsi"/>
          <w:lang w:val="en-US"/>
        </w:rPr>
      </w:pPr>
    </w:p>
    <w:p w14:paraId="0917A480" w14:textId="77777777" w:rsidR="008E0C21" w:rsidRPr="00D06B0B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 xml:space="preserve">2] Wilhelm, F. et al. Orbital and spin moments in the ferromagnetic superconductor URhGe by x-ray magnetic circular dichroism, Phys. Rev. B </w:t>
      </w:r>
      <w:r>
        <w:rPr>
          <w:rFonts w:cstheme="minorHAnsi"/>
          <w:b/>
          <w:lang w:val="en-US"/>
        </w:rPr>
        <w:t>95</w:t>
      </w:r>
      <w:r>
        <w:rPr>
          <w:rFonts w:cstheme="minorHAnsi"/>
          <w:lang w:val="en-US"/>
        </w:rPr>
        <w:t>, 235147 (2017).</w:t>
      </w:r>
    </w:p>
    <w:p w14:paraId="6B0E6CE8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2374F925" w14:textId="77777777" w:rsidR="008E0C21" w:rsidRDefault="008E0C21" w:rsidP="008E0C21">
      <w:pPr>
        <w:tabs>
          <w:tab w:val="left" w:pos="567"/>
        </w:tabs>
        <w:spacing w:line="360" w:lineRule="auto"/>
        <w:ind w:left="567" w:hanging="567"/>
        <w:jc w:val="both"/>
        <w:rPr>
          <w:rFonts w:cstheme="minorHAnsi"/>
          <w:lang w:val="en-US"/>
        </w:rPr>
      </w:pPr>
    </w:p>
    <w:p w14:paraId="5986B377" w14:textId="77777777" w:rsidR="008E0C21" w:rsidRDefault="008E0C21" w:rsidP="008E0C21">
      <w:pPr>
        <w:rPr>
          <w:rFonts w:cstheme="minorHAnsi"/>
          <w:lang w:val="en-US"/>
        </w:rPr>
      </w:pPr>
      <w:r w:rsidRPr="00340C42">
        <w:rPr>
          <w:rFonts w:cstheme="minorHAnsi"/>
          <w:lang w:val="en-US"/>
        </w:rPr>
        <w:t>[</w:t>
      </w:r>
      <w:r>
        <w:rPr>
          <w:rFonts w:cstheme="minorHAnsi"/>
          <w:lang w:val="en-US"/>
        </w:rPr>
        <w:t>3]</w:t>
      </w:r>
      <w:r w:rsidRPr="00D06B0B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Miyake, A. et al. Metamagnetic transition in heavy fermion superconductor</w:t>
      </w:r>
      <w:r w:rsidRPr="005E0E56">
        <w:rPr>
          <w:rFonts w:cstheme="minorHAnsi"/>
          <w:lang w:val="en-US"/>
        </w:rPr>
        <w:t xml:space="preserve"> UTe</w:t>
      </w:r>
      <w:r w:rsidRPr="005E0E56">
        <w:rPr>
          <w:rFonts w:cstheme="minorHAnsi"/>
          <w:vertAlign w:val="subscript"/>
          <w:lang w:val="en-US"/>
        </w:rPr>
        <w:t>2</w:t>
      </w:r>
      <w:r>
        <w:rPr>
          <w:rFonts w:cstheme="minorHAnsi"/>
          <w:lang w:val="en-US"/>
        </w:rPr>
        <w:t xml:space="preserve">, </w:t>
      </w:r>
      <w:r w:rsidRPr="005E0E56">
        <w:rPr>
          <w:rFonts w:cstheme="minorHAnsi"/>
          <w:i/>
          <w:lang w:val="en-US"/>
        </w:rPr>
        <w:t>J.</w:t>
      </w:r>
      <w:r>
        <w:rPr>
          <w:rFonts w:cstheme="minorHAnsi"/>
          <w:lang w:val="en-US"/>
        </w:rPr>
        <w:t xml:space="preserve"> </w:t>
      </w:r>
      <w:r w:rsidRPr="005E0E56">
        <w:rPr>
          <w:rFonts w:cstheme="minorHAnsi"/>
          <w:i/>
          <w:lang w:val="en-US"/>
        </w:rPr>
        <w:t>Phys. Soc. Jpn.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  <w:b/>
          <w:lang w:val="en-US"/>
        </w:rPr>
        <w:t>88</w:t>
      </w:r>
      <w:r>
        <w:rPr>
          <w:rFonts w:cstheme="minorHAnsi"/>
          <w:lang w:val="en-US"/>
        </w:rPr>
        <w:t>, 063706 (2019).</w:t>
      </w:r>
    </w:p>
    <w:p w14:paraId="1F9FD0D2" w14:textId="77777777" w:rsidR="008E0C21" w:rsidRDefault="008E0C21" w:rsidP="008E0C21">
      <w:pPr>
        <w:rPr>
          <w:rFonts w:cstheme="minorHAnsi"/>
          <w:lang w:val="en-US"/>
        </w:rPr>
      </w:pPr>
    </w:p>
    <w:p w14:paraId="511AD40A" w14:textId="77777777" w:rsidR="008E0C21" w:rsidRDefault="008E0C21" w:rsidP="008E0C21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[4] Aoki, D. et al. Field-induced superconductivity near the superconducting critical pressure in UTe</w:t>
      </w:r>
      <w:r>
        <w:rPr>
          <w:rFonts w:cstheme="minorHAnsi"/>
          <w:vertAlign w:val="subscript"/>
          <w:lang w:val="en-US"/>
        </w:rPr>
        <w:t>2</w:t>
      </w:r>
      <w:r>
        <w:rPr>
          <w:rFonts w:cstheme="minorHAnsi"/>
          <w:lang w:val="en-US"/>
        </w:rPr>
        <w:t xml:space="preserve">, </w:t>
      </w:r>
      <w:r w:rsidRPr="00077070">
        <w:rPr>
          <w:rFonts w:cstheme="minorHAnsi"/>
          <w:i/>
          <w:lang w:val="en-US"/>
        </w:rPr>
        <w:t>J. Phys. Soc. Jpn.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  <w:b/>
          <w:lang w:val="en-US"/>
        </w:rPr>
        <w:t>90</w:t>
      </w:r>
      <w:r>
        <w:rPr>
          <w:rFonts w:cstheme="minorHAnsi"/>
          <w:lang w:val="en-US"/>
        </w:rPr>
        <w:t>, 074705 (2021).</w:t>
      </w:r>
    </w:p>
    <w:p w14:paraId="0D4575FA" w14:textId="77777777" w:rsidR="008E0C21" w:rsidRDefault="008E0C21" w:rsidP="008E0C21">
      <w:pPr>
        <w:tabs>
          <w:tab w:val="left" w:pos="567"/>
        </w:tabs>
        <w:spacing w:line="360" w:lineRule="auto"/>
        <w:ind w:left="567" w:hanging="567"/>
        <w:jc w:val="both"/>
        <w:rPr>
          <w:rFonts w:cstheme="minorHAnsi"/>
          <w:lang w:val="en-US"/>
        </w:rPr>
      </w:pPr>
    </w:p>
    <w:p w14:paraId="3CCBB257" w14:textId="77777777" w:rsidR="008E0C21" w:rsidRDefault="008E0C21" w:rsidP="008E0C21">
      <w:pPr>
        <w:rPr>
          <w:rFonts w:cstheme="minorHAnsi"/>
          <w:lang w:val="en-US"/>
        </w:rPr>
      </w:pPr>
      <w:r w:rsidDel="00793E3B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[5] Li, D. et al. Magnetic properties under pressure in novel spin-triplet superconductor UTe</w:t>
      </w:r>
      <w:r>
        <w:rPr>
          <w:rFonts w:cstheme="minorHAnsi"/>
          <w:vertAlign w:val="subscript"/>
          <w:lang w:val="en-US"/>
        </w:rPr>
        <w:t>2</w:t>
      </w:r>
      <w:r>
        <w:rPr>
          <w:rFonts w:cstheme="minorHAnsi"/>
          <w:lang w:val="en-US"/>
        </w:rPr>
        <w:t xml:space="preserve">, </w:t>
      </w:r>
      <w:r w:rsidRPr="000A33EE">
        <w:rPr>
          <w:rFonts w:cstheme="minorHAnsi"/>
          <w:i/>
          <w:lang w:val="en-US"/>
        </w:rPr>
        <w:t>J. Phys. Soc. Jpn.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  <w:b/>
          <w:lang w:val="en-US"/>
        </w:rPr>
        <w:t xml:space="preserve">90, </w:t>
      </w:r>
      <w:r>
        <w:rPr>
          <w:rFonts w:cstheme="minorHAnsi"/>
          <w:lang w:val="en-US"/>
        </w:rPr>
        <w:t>073703 (2021).</w:t>
      </w:r>
    </w:p>
    <w:p w14:paraId="6D85881F" w14:textId="77777777" w:rsidR="008E0C21" w:rsidRDefault="008E0C21" w:rsidP="008E0C21">
      <w:pPr>
        <w:rPr>
          <w:rFonts w:cstheme="minorHAnsi"/>
          <w:lang w:val="en-US"/>
        </w:rPr>
      </w:pPr>
    </w:p>
    <w:p w14:paraId="36C40945" w14:textId="77777777" w:rsidR="008E0C21" w:rsidRDefault="008E0C21" w:rsidP="008E0C21">
      <w:pPr>
        <w:rPr>
          <w:rFonts w:ascii="Cambria" w:hAnsi="Cambria" w:cs="Times New Roman"/>
          <w:lang w:val="en-GB"/>
        </w:rPr>
      </w:pPr>
      <w:r>
        <w:rPr>
          <w:rFonts w:ascii="Cambria" w:hAnsi="Cambria" w:cstheme="minorHAnsi"/>
          <w:lang w:val="en-US"/>
        </w:rPr>
        <w:t>[6</w:t>
      </w:r>
      <w:r w:rsidRPr="00D23A9C">
        <w:rPr>
          <w:rFonts w:ascii="Cambria" w:hAnsi="Cambria" w:cstheme="minorHAnsi"/>
          <w:lang w:val="en-US"/>
        </w:rPr>
        <w:t xml:space="preserve">] </w:t>
      </w:r>
      <w:r w:rsidRPr="00D23A9C">
        <w:rPr>
          <w:rFonts w:ascii="Cambria" w:hAnsi="Cambria" w:cs="Times New Roman"/>
          <w:lang w:val="en-GB"/>
        </w:rPr>
        <w:t xml:space="preserve">van der Laan, G. &amp; Thole, B.T. X-ray-absorption sum rules in jj-coupled operators and ground state moments of actinide ions, </w:t>
      </w:r>
      <w:r w:rsidRPr="00D23A9C">
        <w:rPr>
          <w:rFonts w:ascii="Cambria" w:hAnsi="Cambria" w:cs="Times New Roman"/>
          <w:i/>
          <w:lang w:val="en-GB"/>
        </w:rPr>
        <w:t>Phys. Rev. B</w:t>
      </w:r>
      <w:r w:rsidRPr="00D23A9C">
        <w:rPr>
          <w:rFonts w:ascii="Cambria" w:hAnsi="Cambria" w:cs="Times New Roman"/>
          <w:lang w:val="en-GB"/>
        </w:rPr>
        <w:t xml:space="preserve"> </w:t>
      </w:r>
      <w:r w:rsidRPr="00D23A9C">
        <w:rPr>
          <w:rFonts w:ascii="Cambria" w:hAnsi="Cambria" w:cs="Times New Roman"/>
          <w:b/>
          <w:lang w:val="en-GB"/>
        </w:rPr>
        <w:t>53</w:t>
      </w:r>
      <w:r w:rsidRPr="00D23A9C">
        <w:rPr>
          <w:rFonts w:ascii="Cambria" w:hAnsi="Cambria" w:cs="Times New Roman"/>
          <w:lang w:val="en-GB"/>
        </w:rPr>
        <w:t>, 14458 (1996).</w:t>
      </w:r>
    </w:p>
    <w:p w14:paraId="19A46739" w14:textId="77777777" w:rsidR="008E0C21" w:rsidRDefault="008E0C21" w:rsidP="008E0C21">
      <w:pPr>
        <w:rPr>
          <w:rFonts w:ascii="Cambria" w:hAnsi="Cambria" w:cs="Times New Roman"/>
          <w:lang w:val="en-GB"/>
        </w:rPr>
      </w:pPr>
    </w:p>
    <w:p w14:paraId="5318B04D" w14:textId="77777777" w:rsidR="008E0C21" w:rsidRDefault="008E0C21" w:rsidP="008E0C21">
      <w:pPr>
        <w:rPr>
          <w:rFonts w:cstheme="minorHAnsi"/>
          <w:lang w:val="en-US"/>
        </w:rPr>
      </w:pPr>
      <w:r w:rsidRPr="00F06CF0">
        <w:rPr>
          <w:rFonts w:ascii="Cambria" w:hAnsi="Cambria" w:cstheme="minorHAnsi"/>
          <w:lang w:val="en-US"/>
        </w:rPr>
        <w:t xml:space="preserve">[7] </w:t>
      </w:r>
      <w:r w:rsidRPr="00F06CF0">
        <w:rPr>
          <w:rFonts w:ascii="Cambria" w:hAnsi="Cambria"/>
          <w:lang w:val="en-US"/>
        </w:rPr>
        <w:t xml:space="preserve">van der Laan, G. et al.  </w:t>
      </w:r>
      <w:r w:rsidRPr="001D13DA">
        <w:rPr>
          <w:rFonts w:ascii="Cambria" w:hAnsi="Cambria"/>
          <w:lang w:val="en-US"/>
        </w:rPr>
        <w:t>Applicability of the spin-orbit sum rule for actinide 5</w:t>
      </w:r>
      <w:r w:rsidRPr="001D13DA">
        <w:rPr>
          <w:rFonts w:ascii="Cambria" w:hAnsi="Cambria"/>
          <w:i/>
          <w:lang w:val="en-US"/>
        </w:rPr>
        <w:t xml:space="preserve">f </w:t>
      </w:r>
      <w:r w:rsidRPr="001D13DA">
        <w:rPr>
          <w:rFonts w:ascii="Cambria" w:hAnsi="Cambria"/>
          <w:lang w:val="en-US"/>
        </w:rPr>
        <w:t xml:space="preserve">states, </w:t>
      </w:r>
      <w:r w:rsidRPr="001D13DA">
        <w:rPr>
          <w:rFonts w:ascii="Cambria" w:hAnsi="Cambria"/>
          <w:i/>
          <w:lang w:val="en-US"/>
        </w:rPr>
        <w:t>Phys. Rev. Lett</w:t>
      </w:r>
      <w:r w:rsidRPr="001D13DA">
        <w:rPr>
          <w:rFonts w:ascii="Cambria" w:hAnsi="Cambria"/>
          <w:lang w:val="en-US"/>
        </w:rPr>
        <w:t xml:space="preserve">. </w:t>
      </w:r>
      <w:r w:rsidRPr="001D13DA">
        <w:rPr>
          <w:rFonts w:ascii="Cambria" w:hAnsi="Cambria"/>
          <w:b/>
          <w:lang w:val="en-US"/>
        </w:rPr>
        <w:t>93</w:t>
      </w:r>
      <w:r w:rsidRPr="001D13DA">
        <w:rPr>
          <w:rFonts w:ascii="Cambria" w:hAnsi="Cambria"/>
          <w:lang w:val="en-US"/>
        </w:rPr>
        <w:t>, 097401 (2004).</w:t>
      </w:r>
    </w:p>
    <w:p w14:paraId="75305575" w14:textId="77777777" w:rsidR="008E0C21" w:rsidRDefault="008E0C21" w:rsidP="008E0C21">
      <w:pPr>
        <w:tabs>
          <w:tab w:val="left" w:pos="567"/>
        </w:tabs>
        <w:spacing w:line="360" w:lineRule="auto"/>
        <w:ind w:left="567" w:hanging="567"/>
        <w:jc w:val="both"/>
        <w:rPr>
          <w:rFonts w:cstheme="minorHAnsi"/>
          <w:lang w:val="en-US"/>
        </w:rPr>
      </w:pPr>
    </w:p>
    <w:p w14:paraId="5A4B6163" w14:textId="77777777" w:rsidR="008E0C21" w:rsidRPr="000927C3" w:rsidRDefault="008E0C21" w:rsidP="008E0C21">
      <w:pPr>
        <w:tabs>
          <w:tab w:val="left" w:pos="567"/>
        </w:tabs>
        <w:spacing w:line="360" w:lineRule="auto"/>
        <w:ind w:left="567" w:hanging="567"/>
        <w:jc w:val="both"/>
        <w:rPr>
          <w:rFonts w:cstheme="minorHAnsi"/>
          <w:lang w:val="en-US"/>
        </w:rPr>
      </w:pPr>
    </w:p>
    <w:p w14:paraId="18E404C9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7E98431F" w14:textId="77777777" w:rsidR="008E0C21" w:rsidRDefault="008E0C21" w:rsidP="008E0C21">
      <w:pPr>
        <w:tabs>
          <w:tab w:val="left" w:pos="426"/>
        </w:tabs>
        <w:jc w:val="both"/>
        <w:rPr>
          <w:rFonts w:cstheme="minorHAnsi"/>
          <w:lang w:val="en-US"/>
        </w:rPr>
      </w:pPr>
    </w:p>
    <w:p w14:paraId="3253EDA1" w14:textId="77777777" w:rsidR="008E0C21" w:rsidRPr="00927BC5" w:rsidRDefault="008E0C21" w:rsidP="008E0C21">
      <w:pPr>
        <w:rPr>
          <w:lang w:val="en-US"/>
        </w:rPr>
      </w:pPr>
    </w:p>
    <w:p w14:paraId="58D00C95" w14:textId="77777777" w:rsidR="00C17CB5" w:rsidRPr="0029078E" w:rsidRDefault="00C17CB5" w:rsidP="0029078E">
      <w:pPr>
        <w:jc w:val="center"/>
        <w:rPr>
          <w:b/>
          <w:sz w:val="28"/>
          <w:szCs w:val="28"/>
        </w:rPr>
      </w:pPr>
    </w:p>
    <w:sectPr w:rsidR="00C17CB5" w:rsidRPr="0029078E" w:rsidSect="00C17C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A01A69" w16cid:durableId="2733173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78E"/>
    <w:rsid w:val="00255BB2"/>
    <w:rsid w:val="0029078E"/>
    <w:rsid w:val="00332D20"/>
    <w:rsid w:val="00532515"/>
    <w:rsid w:val="0077304A"/>
    <w:rsid w:val="008E0C21"/>
    <w:rsid w:val="00A701DC"/>
    <w:rsid w:val="00C17CB5"/>
    <w:rsid w:val="00F0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D95F38"/>
  <w14:defaultImageDpi w14:val="300"/>
  <w15:docId w15:val="{3A76DD07-5BCA-7F45-B58E-B4AF36D2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1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E0C21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E0C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C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C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0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0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SANCHEZ</dc:creator>
  <cp:keywords/>
  <dc:description/>
  <cp:lastModifiedBy>WILHELM Fabrice</cp:lastModifiedBy>
  <cp:revision>8</cp:revision>
  <dcterms:created xsi:type="dcterms:W3CDTF">2022-11-19T06:14:00Z</dcterms:created>
  <dcterms:modified xsi:type="dcterms:W3CDTF">2022-12-09T09:10:00Z</dcterms:modified>
</cp:coreProperties>
</file>