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C9B8D" w14:textId="77777777" w:rsidR="00410446" w:rsidRDefault="00410446" w:rsidP="00410446">
      <w:pPr>
        <w:spacing w:after="240"/>
        <w:jc w:val="left"/>
        <w:rPr>
          <w:rFonts w:asciiTheme="majorHAnsi" w:hAnsiTheme="majorHAnsi" w:cstheme="majorHAnsi"/>
          <w:b/>
        </w:rPr>
      </w:pPr>
      <w:r>
        <w:rPr>
          <w:rFonts w:asciiTheme="majorHAnsi" w:hAnsiTheme="majorHAnsi" w:cstheme="majorHAnsi"/>
          <w:b/>
        </w:rPr>
        <w:t xml:space="preserve">Appendix A Testing the significance of using constant </w:t>
      </w:r>
      <m:oMath>
        <m:sSub>
          <m:sSubPr>
            <m:ctrlPr>
              <w:rPr>
                <w:rFonts w:ascii="Cambria Math" w:hAnsi="Cambria Math" w:cstheme="majorHAnsi"/>
                <w:b/>
                <w:i/>
                <w:lang w:val="en-US"/>
              </w:rPr>
            </m:ctrlPr>
          </m:sSubPr>
          <m:e>
            <m:r>
              <m:rPr>
                <m:sty m:val="bi"/>
              </m:rPr>
              <w:rPr>
                <w:rFonts w:ascii="Cambria Math" w:hAnsi="Cambria Math" w:cstheme="majorHAnsi"/>
                <w:lang w:val="en-US"/>
              </w:rPr>
              <m:t>T</m:t>
            </m:r>
          </m:e>
          <m:sub>
            <m:r>
              <m:rPr>
                <m:sty m:val="bi"/>
              </m:rPr>
              <w:rPr>
                <w:rFonts w:ascii="Cambria Math" w:hAnsi="Cambria Math" w:cstheme="majorHAnsi"/>
                <w:lang w:val="en-US"/>
              </w:rPr>
              <m:t>m</m:t>
            </m:r>
          </m:sub>
        </m:sSub>
      </m:oMath>
      <w:r>
        <w:rPr>
          <w:rFonts w:asciiTheme="majorHAnsi" w:hAnsiTheme="majorHAnsi" w:cstheme="majorHAnsi"/>
          <w:b/>
          <w:lang w:val="en-US"/>
        </w:rPr>
        <w:t xml:space="preserve"> in the TIO</w:t>
      </w:r>
    </w:p>
    <w:p w14:paraId="22385C7F" w14:textId="77777777" w:rsidR="00410446" w:rsidRDefault="00410446" w:rsidP="00410446">
      <w:pPr>
        <w:spacing w:after="240"/>
      </w:pPr>
      <w:r>
        <w:t xml:space="preserve">We used a constant value of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for the conversion of WTC to PWV. Realistically,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varies through time and space and when there are no measurement data, a model such as GPT2w is generally used. However, the generation of the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model can be too time-consuming for all altimetry data in each footprint with the resources that are available during the time this research is conducted. Therefore, we decided to use the mean value from the GPT2w model instead and then calculate its significance to the converted PWV value. </w:t>
      </w:r>
      <w:r>
        <w:t xml:space="preserve">The variance of the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can be derived</w:t>
      </w:r>
      <w:r>
        <w:t xml:space="preserve"> from the GPT2w grid data. The grid data contains the parameters needed to create the time series of several variables, one of them being the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t>, such as the mean value, and the amplitudes of the periodic components (annual and semiannual). The amplitudes of the periodic components which consist of the sine and cosine can be used to derive the variance of the Tm using the formula for a variance of a sinusoidal wave and the variance of the sum of uncorrelated variables, which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2"/>
      </w:tblGrid>
      <w:tr w:rsidR="00410446" w14:paraId="5FEEA9AF" w14:textId="77777777" w:rsidTr="00287EFB">
        <w:tc>
          <w:tcPr>
            <w:tcW w:w="8359" w:type="dxa"/>
          </w:tcPr>
          <w:p w14:paraId="674139BE" w14:textId="77777777" w:rsidR="00410446" w:rsidRDefault="00410446" w:rsidP="00287EFB">
            <w:pPr>
              <w:spacing w:before="120" w:after="240"/>
              <w:jc w:val="left"/>
              <w:rPr>
                <w:rFonts w:asciiTheme="majorHAnsi" w:hAnsiTheme="majorHAnsi" w:cstheme="majorHAnsi"/>
                <w:lang w:val="en-US"/>
              </w:rPr>
            </w:pPr>
            <m:oMathPara>
              <m:oMath>
                <m:sSup>
                  <m:sSupPr>
                    <m:ctrlPr>
                      <w:rPr>
                        <w:rFonts w:ascii="Cambria Math" w:hAnsi="Cambria Math" w:cstheme="majorHAnsi"/>
                        <w:i/>
                      </w:rPr>
                    </m:ctrlPr>
                  </m:sSupPr>
                  <m:e>
                    <m:r>
                      <w:rPr>
                        <w:rFonts w:ascii="Cambria Math" w:hAnsi="Cambria Math" w:cstheme="majorHAnsi"/>
                      </w:rPr>
                      <m:t>σ</m:t>
                    </m:r>
                  </m:e>
                  <m:sup>
                    <m:r>
                      <w:rPr>
                        <w:rFonts w:ascii="Cambria Math" w:hAnsi="Cambria Math" w:cstheme="majorHAnsi"/>
                      </w:rPr>
                      <m:t>2</m:t>
                    </m:r>
                  </m:sup>
                </m:sSup>
                <m:r>
                  <w:rPr>
                    <w:rFonts w:ascii="Cambria Math" w:hAnsi="Cambria Math" w:cstheme="majorHAnsi"/>
                  </w:rPr>
                  <m:t>=</m:t>
                </m:r>
                <m:f>
                  <m:fPr>
                    <m:type m:val="lin"/>
                    <m:ctrlPr>
                      <w:rPr>
                        <w:rFonts w:ascii="Cambria Math" w:hAnsi="Cambria Math" w:cstheme="majorHAnsi"/>
                        <w:i/>
                      </w:rPr>
                    </m:ctrlPr>
                  </m:fPr>
                  <m:num>
                    <m:sSup>
                      <m:sSupPr>
                        <m:ctrlPr>
                          <w:rPr>
                            <w:rFonts w:ascii="Cambria Math" w:hAnsi="Cambria Math" w:cstheme="majorHAnsi"/>
                            <w:i/>
                          </w:rPr>
                        </m:ctrlPr>
                      </m:sSupPr>
                      <m:e>
                        <m:r>
                          <w:rPr>
                            <w:rFonts w:ascii="Cambria Math" w:hAnsi="Cambria Math" w:cstheme="majorHAnsi"/>
                          </w:rPr>
                          <m:t>A</m:t>
                        </m:r>
                      </m:e>
                      <m:sup>
                        <m:r>
                          <w:rPr>
                            <w:rFonts w:ascii="Cambria Math" w:hAnsi="Cambria Math" w:cstheme="majorHAnsi"/>
                          </w:rPr>
                          <m:t>2</m:t>
                        </m:r>
                      </m:sup>
                    </m:sSup>
                  </m:num>
                  <m:den>
                    <m:r>
                      <w:rPr>
                        <w:rFonts w:ascii="Cambria Math" w:hAnsi="Cambria Math" w:cstheme="majorHAnsi"/>
                      </w:rPr>
                      <m:t>2</m:t>
                    </m:r>
                  </m:den>
                </m:f>
                <m:r>
                  <w:rPr>
                    <w:rFonts w:ascii="Cambria Math" w:hAnsi="Cambria Math" w:cstheme="majorHAnsi"/>
                  </w:rPr>
                  <m:t xml:space="preserve">          </m:t>
                </m:r>
                <m:r>
                  <m:rPr>
                    <m:nor/>
                  </m:rPr>
                  <w:rPr>
                    <w:rFonts w:asciiTheme="majorHAnsi" w:hAnsiTheme="majorHAnsi" w:cstheme="majorHAnsi"/>
                  </w:rPr>
                  <m:t>and</m:t>
                </m:r>
                <m:r>
                  <w:rPr>
                    <w:rFonts w:ascii="Cambria Math" w:hAnsi="Cambria Math" w:cstheme="majorHAnsi"/>
                  </w:rPr>
                  <m:t xml:space="preserve">           </m:t>
                </m:r>
                <m:r>
                  <m:rPr>
                    <m:sty m:val="p"/>
                  </m:rPr>
                  <w:rPr>
                    <w:rFonts w:ascii="Cambria Math" w:hAnsi="Cambria Math" w:cstheme="majorHAnsi"/>
                  </w:rPr>
                  <m:t>Var</m:t>
                </m:r>
                <m:d>
                  <m:dPr>
                    <m:ctrlPr>
                      <w:rPr>
                        <w:rFonts w:ascii="Cambria Math" w:hAnsi="Cambria Math" w:cstheme="majorHAnsi"/>
                        <w:i/>
                      </w:rPr>
                    </m:ctrlPr>
                  </m:dPr>
                  <m:e>
                    <m:nary>
                      <m:naryPr>
                        <m:chr m:val="∑"/>
                        <m:limLoc m:val="undOvr"/>
                        <m:ctrlPr>
                          <w:rPr>
                            <w:rFonts w:ascii="Cambria Math" w:hAnsi="Cambria Math" w:cstheme="majorHAnsi"/>
                            <w:i/>
                          </w:rPr>
                        </m:ctrlPr>
                      </m:naryPr>
                      <m:sub>
                        <m:r>
                          <w:rPr>
                            <w:rFonts w:ascii="Cambria Math" w:hAnsi="Cambria Math" w:cstheme="majorHAnsi"/>
                          </w:rPr>
                          <m:t>i=1</m:t>
                        </m:r>
                      </m:sub>
                      <m:sup>
                        <m:r>
                          <w:rPr>
                            <w:rFonts w:ascii="Cambria Math" w:hAnsi="Cambria Math" w:cstheme="majorHAnsi"/>
                          </w:rPr>
                          <m:t>n</m:t>
                        </m:r>
                      </m:sup>
                      <m:e>
                        <m:sSub>
                          <m:sSubPr>
                            <m:ctrlPr>
                              <w:rPr>
                                <w:rFonts w:ascii="Cambria Math" w:hAnsi="Cambria Math" w:cstheme="majorHAnsi"/>
                                <w:i/>
                              </w:rPr>
                            </m:ctrlPr>
                          </m:sSubPr>
                          <m:e>
                            <m:r>
                              <w:rPr>
                                <w:rFonts w:ascii="Cambria Math" w:hAnsi="Cambria Math" w:cstheme="majorHAnsi"/>
                              </w:rPr>
                              <m:t>X</m:t>
                            </m:r>
                          </m:e>
                          <m:sub>
                            <m:r>
                              <w:rPr>
                                <w:rFonts w:ascii="Cambria Math" w:hAnsi="Cambria Math" w:cstheme="majorHAnsi"/>
                              </w:rPr>
                              <m:t>i</m:t>
                            </m:r>
                          </m:sub>
                        </m:sSub>
                      </m:e>
                    </m:nary>
                  </m:e>
                </m:d>
                <m:r>
                  <w:rPr>
                    <w:rFonts w:ascii="Cambria Math" w:hAnsi="Cambria Math" w:cstheme="majorHAnsi"/>
                  </w:rPr>
                  <m:t>=</m:t>
                </m:r>
                <m:nary>
                  <m:naryPr>
                    <m:chr m:val="∑"/>
                    <m:limLoc m:val="undOvr"/>
                    <m:ctrlPr>
                      <w:rPr>
                        <w:rFonts w:ascii="Cambria Math" w:hAnsi="Cambria Math" w:cstheme="majorHAnsi"/>
                        <w:i/>
                      </w:rPr>
                    </m:ctrlPr>
                  </m:naryPr>
                  <m:sub>
                    <m:r>
                      <w:rPr>
                        <w:rFonts w:ascii="Cambria Math" w:hAnsi="Cambria Math" w:cstheme="majorHAnsi"/>
                      </w:rPr>
                      <m:t>i=1</m:t>
                    </m:r>
                  </m:sub>
                  <m:sup>
                    <m:r>
                      <w:rPr>
                        <w:rFonts w:ascii="Cambria Math" w:hAnsi="Cambria Math" w:cstheme="majorHAnsi"/>
                      </w:rPr>
                      <m:t>n</m:t>
                    </m:r>
                  </m:sup>
                  <m:e>
                    <m:r>
                      <m:rPr>
                        <m:sty m:val="p"/>
                      </m:rPr>
                      <w:rPr>
                        <w:rFonts w:ascii="Cambria Math" w:hAnsi="Cambria Math" w:cstheme="majorHAnsi"/>
                      </w:rPr>
                      <m:t>Var</m:t>
                    </m:r>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X</m:t>
                        </m:r>
                      </m:e>
                      <m:sub>
                        <m:r>
                          <w:rPr>
                            <w:rFonts w:ascii="Cambria Math" w:hAnsi="Cambria Math" w:cstheme="majorHAnsi"/>
                          </w:rPr>
                          <m:t>i</m:t>
                        </m:r>
                      </m:sub>
                    </m:sSub>
                    <m:r>
                      <w:rPr>
                        <w:rFonts w:ascii="Cambria Math" w:hAnsi="Cambria Math" w:cstheme="majorHAnsi"/>
                      </w:rPr>
                      <m:t>)</m:t>
                    </m:r>
                  </m:e>
                </m:nary>
              </m:oMath>
            </m:oMathPara>
          </w:p>
        </w:tc>
        <w:tc>
          <w:tcPr>
            <w:tcW w:w="702" w:type="dxa"/>
          </w:tcPr>
          <w:p w14:paraId="4C512469" w14:textId="77777777" w:rsidR="00410446" w:rsidRDefault="00410446" w:rsidP="00287EFB">
            <w:pPr>
              <w:spacing w:before="120" w:after="240"/>
              <w:jc w:val="left"/>
              <w:rPr>
                <w:rFonts w:asciiTheme="majorHAnsi" w:hAnsiTheme="majorHAnsi" w:cstheme="majorHAnsi"/>
                <w:lang w:val="en-US"/>
              </w:rPr>
            </w:pPr>
            <w:r>
              <w:rPr>
                <w:rFonts w:asciiTheme="majorHAnsi" w:hAnsiTheme="majorHAnsi" w:cstheme="majorHAnsi"/>
                <w:lang w:val="en-US"/>
              </w:rPr>
              <w:t>(A1)</w:t>
            </w:r>
          </w:p>
        </w:tc>
      </w:tr>
    </w:tbl>
    <w:p w14:paraId="61F07ABC" w14:textId="77777777" w:rsidR="00410446" w:rsidRDefault="00410446" w:rsidP="00410446">
      <w:pPr>
        <w:spacing w:after="240"/>
        <w:jc w:val="left"/>
      </w:pPr>
    </w:p>
    <w:p w14:paraId="61A1682B" w14:textId="77777777" w:rsidR="00410446" w:rsidRDefault="00410446" w:rsidP="00410446">
      <w:pPr>
        <w:spacing w:after="240"/>
        <w:jc w:val="left"/>
      </w:pPr>
      <w:r>
        <w:t xml:space="preserve">respectively. </w:t>
      </w:r>
      <m:oMath>
        <m:r>
          <w:rPr>
            <w:rFonts w:ascii="Cambria Math" w:hAnsi="Cambria Math"/>
          </w:rPr>
          <m:t>A</m:t>
        </m:r>
      </m:oMath>
      <w:r>
        <w:t xml:space="preserve"> is the amplitude of a sinusoidal wave and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is the </w:t>
      </w:r>
      <m:oMath>
        <m:r>
          <w:rPr>
            <w:rFonts w:ascii="Cambria Math" w:hAnsi="Cambria Math"/>
          </w:rPr>
          <m:t>i</m:t>
        </m:r>
      </m:oMath>
      <w:r>
        <w:t xml:space="preserve">-th variable from a set of </w:t>
      </w:r>
      <m:oMath>
        <m:r>
          <w:rPr>
            <w:rFonts w:ascii="Cambria Math" w:hAnsi="Cambria Math"/>
          </w:rPr>
          <m:t>n</m:t>
        </m:r>
      </m:oMath>
      <w:r>
        <w:t xml:space="preserve"> uncorrelated variables. And thus the variance of the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t xml:space="preserve"> can be derived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2"/>
      </w:tblGrid>
      <w:tr w:rsidR="00410446" w14:paraId="55D357AD" w14:textId="77777777" w:rsidTr="00287EFB">
        <w:tc>
          <w:tcPr>
            <w:tcW w:w="8359" w:type="dxa"/>
          </w:tcPr>
          <w:p w14:paraId="08262CB7" w14:textId="77777777" w:rsidR="00410446" w:rsidRDefault="00410446" w:rsidP="00287EFB">
            <w:pPr>
              <w:spacing w:after="240"/>
              <w:jc w:val="left"/>
            </w:pPr>
            <m:oMathPara>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T</m:t>
                    </m:r>
                    <m:r>
                      <w:rPr>
                        <w:rFonts w:ascii="Cambria Math" w:hAnsi="Cambria Math"/>
                        <w:vertAlign w:val="subscript"/>
                      </w:rPr>
                      <m:t>m</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B</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2</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B</m:t>
                        </m:r>
                      </m:e>
                      <m:sub>
                        <m:r>
                          <w:rPr>
                            <w:rFonts w:ascii="Cambria Math" w:hAnsi="Cambria Math"/>
                          </w:rPr>
                          <m:t>2</m:t>
                        </m:r>
                      </m:sub>
                    </m:sSub>
                  </m:e>
                  <m:sup>
                    <m:r>
                      <w:rPr>
                        <w:rFonts w:ascii="Cambria Math" w:hAnsi="Cambria Math"/>
                      </w:rPr>
                      <m:t>2</m:t>
                    </m:r>
                  </m:sup>
                </m:sSup>
                <m:r>
                  <w:rPr>
                    <w:rFonts w:ascii="Cambria Math" w:hAnsi="Cambria Math"/>
                  </w:rPr>
                  <m:t>)/2</m:t>
                </m:r>
              </m:oMath>
            </m:oMathPara>
          </w:p>
        </w:tc>
        <w:tc>
          <w:tcPr>
            <w:tcW w:w="702" w:type="dxa"/>
          </w:tcPr>
          <w:p w14:paraId="3B8E1BF5" w14:textId="77777777" w:rsidR="00410446" w:rsidRDefault="00410446" w:rsidP="00287EFB">
            <w:pPr>
              <w:spacing w:before="120" w:after="240"/>
              <w:jc w:val="left"/>
              <w:rPr>
                <w:rFonts w:asciiTheme="majorHAnsi" w:hAnsiTheme="majorHAnsi" w:cstheme="majorHAnsi"/>
                <w:lang w:val="en-US"/>
              </w:rPr>
            </w:pPr>
            <w:r>
              <w:rPr>
                <w:rFonts w:asciiTheme="majorHAnsi" w:hAnsiTheme="majorHAnsi" w:cstheme="majorHAnsi"/>
                <w:lang w:val="en-US"/>
              </w:rPr>
              <w:t>(A2)</w:t>
            </w:r>
          </w:p>
        </w:tc>
      </w:tr>
    </w:tbl>
    <w:p w14:paraId="27D7613D" w14:textId="77777777" w:rsidR="00410446" w:rsidRDefault="00410446" w:rsidP="00410446">
      <w:pPr>
        <w:spacing w:after="240"/>
      </w:pPr>
      <w:r>
        <w:t xml:space="preserve">Where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xml:space="preserve"> are the amplitude of the sine and cosine part of the annual component and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 xml:space="preserve"> for the semiannual component. Note that the annual and semiannual components are uncorrelated because they are sinusoids of two different harmonic frequencies. The sine and cosine parts of each component are also uncorrelated as they are perfectly out of phase with each other.</w:t>
      </w:r>
    </w:p>
    <w:p w14:paraId="0CBA2F64" w14:textId="77777777" w:rsidR="00410446" w:rsidRDefault="00410446" w:rsidP="00410446">
      <w:pPr>
        <w:spacing w:after="240"/>
        <w:jc w:val="left"/>
      </w:pPr>
      <w:r>
        <w:rPr>
          <w:noProof/>
          <w:lang w:val="en-ID" w:eastAsia="en-ID"/>
        </w:rPr>
        <w:drawing>
          <wp:inline distT="0" distB="0" distL="0" distR="0" wp14:anchorId="5A6FA45B" wp14:editId="08011B17">
            <wp:extent cx="6372225" cy="1628775"/>
            <wp:effectExtent l="0" t="0" r="9525" b="9525"/>
            <wp:docPr id="1" name="Picture 1" descr="GPT2w_Tm mean and std_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PT2w_Tm mean and std_TI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372225" cy="1628775"/>
                    </a:xfrm>
                    <a:prstGeom prst="rect">
                      <a:avLst/>
                    </a:prstGeom>
                    <a:noFill/>
                    <a:ln>
                      <a:noFill/>
                    </a:ln>
                  </pic:spPr>
                </pic:pic>
              </a:graphicData>
            </a:graphic>
          </wp:inline>
        </w:drawing>
      </w:r>
    </w:p>
    <w:p w14:paraId="5DB8B4B7" w14:textId="77777777" w:rsidR="00410446" w:rsidRPr="00850224" w:rsidRDefault="00410446" w:rsidP="00410446">
      <w:pPr>
        <w:pStyle w:val="Caption"/>
        <w:spacing w:after="240"/>
        <w:jc w:val="left"/>
        <w:rPr>
          <w:b w:val="0"/>
          <w:sz w:val="20"/>
        </w:rPr>
      </w:pPr>
      <w:r w:rsidRPr="00850224">
        <w:rPr>
          <w:sz w:val="20"/>
        </w:rPr>
        <w:lastRenderedPageBreak/>
        <w:t>Figure 14</w:t>
      </w:r>
      <w:r w:rsidRPr="00850224">
        <w:rPr>
          <w:b w:val="0"/>
          <w:sz w:val="20"/>
        </w:rPr>
        <w:t xml:space="preserve"> Mean values (left) and the standard deviation (right) of </w:t>
      </w:r>
      <w:r w:rsidRPr="00850224">
        <w:rPr>
          <w:b w:val="0"/>
          <w:i/>
          <w:sz w:val="20"/>
        </w:rPr>
        <w:t>T</w:t>
      </w:r>
      <w:r w:rsidRPr="00850224">
        <w:rPr>
          <w:b w:val="0"/>
          <w:i/>
          <w:sz w:val="20"/>
          <w:vertAlign w:val="subscript"/>
        </w:rPr>
        <w:t>m</w:t>
      </w:r>
      <w:r w:rsidRPr="00850224">
        <w:rPr>
          <w:b w:val="0"/>
          <w:sz w:val="20"/>
        </w:rPr>
        <w:t xml:space="preserve"> from the GPT2w model in Kelvin </w:t>
      </w:r>
    </w:p>
    <w:p w14:paraId="11F9C2D3" w14:textId="77777777" w:rsidR="00410446" w:rsidRDefault="00410446" w:rsidP="00410446">
      <w:pPr>
        <w:spacing w:after="240"/>
      </w:pPr>
      <w:r>
        <w:t>The result</w:t>
      </w:r>
      <w:r>
        <w:rPr>
          <w:lang w:val="en-US"/>
        </w:rPr>
        <w:t>ing</w:t>
      </w:r>
      <w:r>
        <w:t xml:space="preserve"> standard deviation of the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along with the mean value over the TIO can be seen in Fig. 14. From these results, we can obtain the minimum and maximum values which are defined by the authors as the minimum mean minus 1.5 times the standard deviation and the maximum mean plus 1.5 times the standard deviation. The 1.5 scaling was used because based on experimentation on a few samples 1.5 standard deviations is a safe approximation for the minimum and maximum value. And so the minimum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value on the altimetry crossover points over the TIO was found to be 283.31 K and the maximum is 288.85 K. Next we calculated the PWV value using these two extreme ends of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and with the maximum value of TWD from the data which is 42 cm. Note that the maximum TWD value is used so we would not underestimate the approximate deviation. The PWV was found to be 68.36 mm for the maximum and 67.07 mm for the minimum. Since the chosen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in this study is the middle value between the minimum and maximum, this makes the approximate maximum PWV deviation one-half of the difference between the maximum and minimum which is 0.65 mm.</w:t>
      </w:r>
    </w:p>
    <w:p w14:paraId="35B3D32C" w14:textId="77777777" w:rsidR="00410446" w:rsidRDefault="00410446" w:rsidP="00410446">
      <w:pPr>
        <w:spacing w:after="240"/>
      </w:pPr>
      <w:r>
        <w:t xml:space="preserve">To see whether the 0.65 mm PWV deviation is significant or not, it is compared with the uncertainty of the PWV from the effect of the uncertainty of the TWD. Firstly, the TWD to PWV computation formula, Eq. (1), needs to be resolved. With the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t xml:space="preserve"> value already set to be the middle value (</w:t>
      </w:r>
      <w:r>
        <w:rPr>
          <w:lang w:val="en-US"/>
        </w:rPr>
        <w:t xml:space="preserve">286.08 K), the </w:t>
      </w:r>
      <m:oMath>
        <m:r>
          <w:rPr>
            <w:rFonts w:ascii="Cambria Math" w:hAnsi="Cambria Math" w:cstheme="majorHAnsi"/>
            <w:lang w:val="en-US"/>
          </w:rPr>
          <m:t>Π</m:t>
        </m:r>
      </m:oMath>
      <w:r>
        <w:t xml:space="preserve"> value can be calculated in Eq. (2). And substituting the calculated </w:t>
      </w:r>
      <m:oMath>
        <m:r>
          <w:rPr>
            <w:rFonts w:ascii="Cambria Math" w:hAnsi="Cambria Math" w:cstheme="majorHAnsi"/>
            <w:lang w:val="en-US"/>
          </w:rPr>
          <m:t>Π</m:t>
        </m:r>
      </m:oMath>
      <w:r>
        <w:t xml:space="preserve"> value in the Eq. (1), the formula became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2"/>
      </w:tblGrid>
      <w:tr w:rsidR="00410446" w14:paraId="5B62734E" w14:textId="77777777" w:rsidTr="00287EFB">
        <w:tc>
          <w:tcPr>
            <w:tcW w:w="8359" w:type="dxa"/>
          </w:tcPr>
          <w:p w14:paraId="4EB91381" w14:textId="77777777" w:rsidR="00410446" w:rsidRDefault="00410446" w:rsidP="00287EFB">
            <w:pPr>
              <w:spacing w:before="120" w:after="240"/>
              <w:jc w:val="left"/>
              <w:rPr>
                <w:rFonts w:asciiTheme="majorHAnsi" w:hAnsiTheme="majorHAnsi" w:cstheme="majorHAnsi"/>
                <w:lang w:val="en-US"/>
              </w:rPr>
            </w:pPr>
            <m:oMathPara>
              <m:oMath>
                <m:r>
                  <w:rPr>
                    <w:rFonts w:ascii="Cambria Math" w:hAnsi="Cambria Math" w:cstheme="majorHAnsi"/>
                    <w:lang w:val="en-US"/>
                  </w:rPr>
                  <m:t>PWV=0.16122* TWD</m:t>
                </m:r>
              </m:oMath>
            </m:oMathPara>
          </w:p>
        </w:tc>
        <w:tc>
          <w:tcPr>
            <w:tcW w:w="702" w:type="dxa"/>
          </w:tcPr>
          <w:p w14:paraId="2D2E1182" w14:textId="77777777" w:rsidR="00410446" w:rsidRDefault="00410446" w:rsidP="00287EFB">
            <w:pPr>
              <w:spacing w:after="240"/>
              <w:jc w:val="left"/>
              <w:rPr>
                <w:rFonts w:asciiTheme="majorHAnsi" w:hAnsiTheme="majorHAnsi" w:cstheme="majorHAnsi"/>
                <w:lang w:val="en-US"/>
              </w:rPr>
            </w:pPr>
            <w:r>
              <w:rPr>
                <w:rFonts w:asciiTheme="majorHAnsi" w:hAnsiTheme="majorHAnsi" w:cstheme="majorHAnsi"/>
                <w:lang w:val="en-US"/>
              </w:rPr>
              <w:t>(A3)</w:t>
            </w:r>
          </w:p>
        </w:tc>
      </w:tr>
    </w:tbl>
    <w:p w14:paraId="6AEE5153" w14:textId="77777777" w:rsidR="00410446" w:rsidRDefault="00410446" w:rsidP="00410446">
      <w:pPr>
        <w:spacing w:after="240"/>
        <w:rPr>
          <w:rFonts w:asciiTheme="majorHAnsi" w:hAnsiTheme="majorHAnsi" w:cstheme="majorHAnsi"/>
          <w:b/>
        </w:rPr>
      </w:pPr>
      <w:r>
        <w:rPr>
          <w:lang w:val="en-US"/>
        </w:rPr>
        <w:t xml:space="preserve">which is the TWD to PWV formula used in this study. Now, the effect of the uncertainty of the TWD on the PWV can be estimated. The TWD uncertainty is </w:t>
      </w:r>
      <w:r>
        <w:rPr>
          <w:rFonts w:asciiTheme="majorHAnsi" w:hAnsiTheme="majorHAnsi" w:cstheme="majorHAnsi"/>
        </w:rPr>
        <w:t>0.74 ± 0.15 cm</w:t>
      </w:r>
      <w:r>
        <w:rPr>
          <w:lang w:val="en-US"/>
        </w:rPr>
        <w:t xml:space="preserve"> for Jason-1 (Brown et al., 2004). Since the TWD to PWV conversion formula is just a simple scaling, the uncertainty of the PWV is simply the uncertainty of the TWD times </w:t>
      </w:r>
      <m:oMath>
        <m:r>
          <w:rPr>
            <w:rFonts w:ascii="Cambria Math" w:hAnsi="Cambria Math" w:cstheme="majorHAnsi"/>
            <w:lang w:val="en-US"/>
          </w:rPr>
          <m:t>Π</m:t>
        </m:r>
      </m:oMath>
      <w:r>
        <w:t xml:space="preserve"> as </w:t>
      </w:r>
      <w:r>
        <w:rPr>
          <w:lang w:val="en-US"/>
        </w:rPr>
        <w:t xml:space="preserve">the scaling factor which yields </w:t>
      </w:r>
      <w:r>
        <w:rPr>
          <w:rFonts w:asciiTheme="majorHAnsi" w:hAnsiTheme="majorHAnsi" w:cstheme="majorHAnsi"/>
        </w:rPr>
        <w:t>1.20 ± 0.24 mm. Now we can see that the 0.65 mm PWV deviation due to the use of constant</w:t>
      </w:r>
      <w:r>
        <w:rPr>
          <w:lang w:val="en-US"/>
        </w:rPr>
        <w:t xml:space="preserve"> </w:t>
      </w:r>
      <m:oMath>
        <m:sSub>
          <m:sSubPr>
            <m:ctrlPr>
              <w:rPr>
                <w:rFonts w:ascii="Cambria Math" w:hAnsi="Cambria Math" w:cstheme="majorHAnsi"/>
                <w:i/>
                <w:lang w:val="en-US"/>
              </w:rPr>
            </m:ctrlPr>
          </m:sSubPr>
          <m:e>
            <m:r>
              <w:rPr>
                <w:rFonts w:ascii="Cambria Math" w:hAnsi="Cambria Math" w:cstheme="majorHAnsi"/>
                <w:lang w:val="en-US"/>
              </w:rPr>
              <m:t>T</m:t>
            </m:r>
          </m:e>
          <m:sub>
            <m:r>
              <w:rPr>
                <w:rFonts w:ascii="Cambria Math" w:hAnsi="Cambria Math" w:cstheme="majorHAnsi"/>
                <w:lang w:val="en-US"/>
              </w:rPr>
              <m:t>m</m:t>
            </m:r>
          </m:sub>
        </m:sSub>
      </m:oMath>
      <w:r>
        <w:rPr>
          <w:lang w:val="en-US"/>
        </w:rPr>
        <w:t xml:space="preserve"> is almost twice lesser than the PWV uncertainty and hence can be considered insignificant.</w:t>
      </w:r>
    </w:p>
    <w:p w14:paraId="53B2BCC3" w14:textId="77777777" w:rsidR="00410446" w:rsidRDefault="00410446" w:rsidP="00410446">
      <w:pPr>
        <w:spacing w:after="240"/>
        <w:jc w:val="left"/>
        <w:rPr>
          <w:rFonts w:asciiTheme="majorHAnsi" w:hAnsiTheme="majorHAnsi" w:cstheme="majorHAnsi"/>
          <w:b/>
        </w:rPr>
      </w:pPr>
    </w:p>
    <w:p w14:paraId="0B0055FE" w14:textId="77777777" w:rsidR="00410446" w:rsidRDefault="00410446" w:rsidP="00410446">
      <w:pPr>
        <w:spacing w:after="240"/>
        <w:jc w:val="left"/>
        <w:rPr>
          <w:rFonts w:asciiTheme="majorHAnsi" w:hAnsiTheme="majorHAnsi" w:cstheme="majorHAnsi"/>
          <w:b/>
        </w:rPr>
      </w:pPr>
      <w:r>
        <w:rPr>
          <w:rFonts w:asciiTheme="majorHAnsi" w:hAnsiTheme="majorHAnsi" w:cstheme="majorHAnsi"/>
          <w:b/>
        </w:rPr>
        <w:t>Appendix B Teleconnection Map Generation Method</w:t>
      </w:r>
    </w:p>
    <w:p w14:paraId="26EF99E3" w14:textId="77777777" w:rsidR="00410446" w:rsidRDefault="00410446" w:rsidP="00410446">
      <w:pPr>
        <w:spacing w:after="240"/>
        <w:rPr>
          <w:rFonts w:asciiTheme="majorHAnsi" w:hAnsiTheme="majorHAnsi" w:cstheme="majorHAnsi"/>
        </w:rPr>
      </w:pPr>
      <w:r>
        <w:rPr>
          <w:rFonts w:asciiTheme="majorHAnsi" w:hAnsiTheme="majorHAnsi" w:cstheme="majorHAnsi"/>
        </w:rPr>
        <w:t>It was assumed that the PWVA over the Indian and Pacific is modulated by the IOD and ENSO. Though, the PWVA in a particular location could be affected by either of the two after (or before) a certain lag period. The lag period of each (IOD and ENSO) is determined by computing the multiple-correlation of the PWVA with DMI and ONI multiple times with varying lag periods for each of the two. The lag period is when the multiple-correlation value is maximum. The computation of the multiple-correlation value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2"/>
      </w:tblGrid>
      <w:tr w:rsidR="00410446" w14:paraId="3D9805F3" w14:textId="77777777" w:rsidTr="00287EFB">
        <w:trPr>
          <w:trHeight w:val="820"/>
        </w:trPr>
        <w:tc>
          <w:tcPr>
            <w:tcW w:w="8359" w:type="dxa"/>
          </w:tcPr>
          <w:p w14:paraId="50EF5E2C" w14:textId="77777777" w:rsidR="00410446" w:rsidRDefault="00410446" w:rsidP="00287EFB">
            <w:pPr>
              <w:spacing w:after="240"/>
              <w:jc w:val="left"/>
              <w:rPr>
                <w:rFonts w:asciiTheme="majorHAnsi" w:hAnsiTheme="majorHAnsi" w:cstheme="majorHAnsi"/>
              </w:rPr>
            </w:pPr>
            <m:oMathPara>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3.12</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r>
                  <w:rPr>
                    <w:rFonts w:ascii="Cambria Math" w:hAnsi="Cambria Math" w:cstheme="majorHAnsi"/>
                  </w:rPr>
                  <m:t>)=</m:t>
                </m:r>
                <m:rad>
                  <m:radPr>
                    <m:degHide m:val="1"/>
                    <m:ctrlPr>
                      <w:rPr>
                        <w:rFonts w:ascii="Cambria Math" w:hAnsi="Cambria Math" w:cstheme="majorHAnsi"/>
                        <w:i/>
                      </w:rPr>
                    </m:ctrlPr>
                  </m:radPr>
                  <m:deg/>
                  <m:e>
                    <m:f>
                      <m:fPr>
                        <m:ctrlPr>
                          <w:rPr>
                            <w:rFonts w:ascii="Cambria Math" w:hAnsi="Cambria Math" w:cstheme="majorHAnsi"/>
                            <w:i/>
                          </w:rPr>
                        </m:ctrlPr>
                      </m:fPr>
                      <m:num>
                        <m:sSup>
                          <m:sSupPr>
                            <m:ctrlPr>
                              <w:rPr>
                                <w:rFonts w:ascii="Cambria Math" w:hAnsi="Cambria Math" w:cstheme="majorHAnsi"/>
                                <w:i/>
                              </w:rPr>
                            </m:ctrlPr>
                          </m:sSupPr>
                          <m:e>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13</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r>
                              <w:rPr>
                                <w:rFonts w:ascii="Cambria Math" w:hAnsi="Cambria Math" w:cstheme="majorHAnsi"/>
                              </w:rPr>
                              <m:t>))</m:t>
                            </m:r>
                          </m:e>
                          <m:sup>
                            <m:r>
                              <w:rPr>
                                <w:rFonts w:ascii="Cambria Math" w:hAnsi="Cambria Math" w:cstheme="majorHAnsi"/>
                              </w:rPr>
                              <m:t>2</m:t>
                            </m:r>
                          </m:sup>
                        </m:sSup>
                        <m:r>
                          <w:rPr>
                            <w:rFonts w:ascii="Cambria Math" w:hAnsi="Cambria Math" w:cstheme="majorHAnsi"/>
                          </w:rPr>
                          <m:t>+</m:t>
                        </m:r>
                        <m:sSup>
                          <m:sSupPr>
                            <m:ctrlPr>
                              <w:rPr>
                                <w:rFonts w:ascii="Cambria Math" w:hAnsi="Cambria Math" w:cstheme="majorHAnsi"/>
                                <w:i/>
                              </w:rPr>
                            </m:ctrlPr>
                          </m:sSupPr>
                          <m:e>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23</m:t>
                                </m:r>
                              </m:sub>
                            </m:sSub>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r>
                              <w:rPr>
                                <w:rFonts w:ascii="Cambria Math" w:hAnsi="Cambria Math" w:cstheme="majorHAnsi"/>
                              </w:rPr>
                              <m:t>))</m:t>
                            </m:r>
                          </m:e>
                          <m:sup>
                            <m:r>
                              <w:rPr>
                                <w:rFonts w:ascii="Cambria Math" w:hAnsi="Cambria Math" w:cstheme="majorHAnsi"/>
                              </w:rPr>
                              <m:t>2</m:t>
                            </m:r>
                          </m:sup>
                        </m:sSup>
                        <m:r>
                          <w:rPr>
                            <w:rFonts w:ascii="Cambria Math" w:hAnsi="Cambria Math" w:cstheme="majorHAnsi"/>
                          </w:rPr>
                          <m:t>-2</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13</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23</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12</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r>
                          <w:rPr>
                            <w:rFonts w:ascii="Cambria Math" w:hAnsi="Cambria Math" w:cstheme="majorHAnsi"/>
                          </w:rPr>
                          <m:t>)</m:t>
                        </m:r>
                      </m:num>
                      <m:den>
                        <m:r>
                          <w:rPr>
                            <w:rFonts w:ascii="Cambria Math" w:hAnsi="Cambria Math" w:cstheme="majorHAnsi"/>
                          </w:rPr>
                          <m:t>1-</m:t>
                        </m:r>
                        <m:sSup>
                          <m:sSupPr>
                            <m:ctrlPr>
                              <w:rPr>
                                <w:rFonts w:ascii="Cambria Math" w:hAnsi="Cambria Math" w:cstheme="majorHAnsi"/>
                                <w:i/>
                              </w:rPr>
                            </m:ctrlPr>
                          </m:sSupPr>
                          <m:e>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12</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r>
                              <w:rPr>
                                <w:rFonts w:ascii="Cambria Math" w:hAnsi="Cambria Math" w:cstheme="majorHAnsi"/>
                              </w:rPr>
                              <m:t>))</m:t>
                            </m:r>
                          </m:e>
                          <m:sup>
                            <m:r>
                              <w:rPr>
                                <w:rFonts w:ascii="Cambria Math" w:hAnsi="Cambria Math" w:cstheme="majorHAnsi"/>
                              </w:rPr>
                              <m:t>2</m:t>
                            </m:r>
                          </m:sup>
                        </m:sSup>
                      </m:den>
                    </m:f>
                  </m:e>
                </m:rad>
              </m:oMath>
            </m:oMathPara>
          </w:p>
        </w:tc>
        <w:tc>
          <w:tcPr>
            <w:tcW w:w="702" w:type="dxa"/>
          </w:tcPr>
          <w:p w14:paraId="09FCAD7B" w14:textId="77777777" w:rsidR="00410446" w:rsidRDefault="00410446" w:rsidP="00287EFB">
            <w:pPr>
              <w:spacing w:after="240"/>
              <w:jc w:val="left"/>
              <w:rPr>
                <w:rFonts w:asciiTheme="majorHAnsi" w:hAnsiTheme="majorHAnsi" w:cstheme="majorHAnsi"/>
                <w:lang w:val="en-US"/>
              </w:rPr>
            </w:pPr>
            <w:r>
              <w:rPr>
                <w:rFonts w:asciiTheme="majorHAnsi" w:hAnsiTheme="majorHAnsi" w:cstheme="majorHAnsi"/>
                <w:lang w:val="en-US"/>
              </w:rPr>
              <w:t>(B1)</w:t>
            </w:r>
          </w:p>
        </w:tc>
      </w:tr>
    </w:tbl>
    <w:p w14:paraId="0C2912F2" w14:textId="77777777" w:rsidR="00410446" w:rsidRDefault="00410446" w:rsidP="00410446">
      <w:pPr>
        <w:spacing w:after="240"/>
        <w:rPr>
          <w:rFonts w:asciiTheme="majorHAnsi" w:hAnsiTheme="majorHAnsi" w:cstheme="majorHAnsi"/>
        </w:rPr>
      </w:pPr>
      <w:r>
        <w:rPr>
          <w:rFonts w:asciiTheme="majorHAnsi" w:hAnsiTheme="majorHAnsi" w:cstheme="majorHAnsi"/>
        </w:rPr>
        <w:t xml:space="preserve">where </w:t>
      </w:r>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3.12</m:t>
            </m:r>
          </m:sub>
        </m:sSub>
      </m:oMath>
      <w:r>
        <w:rPr>
          <w:rFonts w:asciiTheme="majorHAnsi" w:hAnsiTheme="majorHAnsi" w:cstheme="majorHAnsi"/>
        </w:rPr>
        <w:t xml:space="preserve"> is the multiple-correlation value of the PWVA with ONI and DMI, </w:t>
      </w:r>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13</m:t>
            </m:r>
          </m:sub>
        </m:sSub>
      </m:oMath>
      <w:r>
        <w:rPr>
          <w:rFonts w:asciiTheme="majorHAnsi" w:hAnsiTheme="majorHAnsi" w:cstheme="majorHAnsi"/>
        </w:rPr>
        <w:t xml:space="preserve"> is the normal Pearson correlation value between PWVA and ONI, </w:t>
      </w:r>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23</m:t>
            </m:r>
          </m:sub>
        </m:sSub>
      </m:oMath>
      <w:r>
        <w:rPr>
          <w:rFonts w:asciiTheme="majorHAnsi" w:hAnsiTheme="majorHAnsi" w:cstheme="majorHAnsi"/>
        </w:rPr>
        <w:t xml:space="preserve"> is between PWVA and DMI, </w:t>
      </w:r>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12</m:t>
            </m:r>
          </m:sub>
        </m:sSub>
      </m:oMath>
      <w:r>
        <w:rPr>
          <w:rFonts w:asciiTheme="majorHAnsi" w:hAnsiTheme="majorHAnsi" w:cstheme="majorHAnsi"/>
        </w:rPr>
        <w:t xml:space="preserve"> is between ONI and DMI, </w:t>
      </w:r>
      <m:oMath>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oMath>
      <w:r>
        <w:rPr>
          <w:rFonts w:asciiTheme="majorHAnsi" w:hAnsiTheme="majorHAnsi" w:cstheme="majorHAnsi"/>
        </w:rPr>
        <w:t xml:space="preserve"> and </w:t>
      </w:r>
      <m:oMath>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oMath>
      <w:r>
        <w:rPr>
          <w:rFonts w:asciiTheme="majorHAnsi" w:hAnsiTheme="majorHAnsi" w:cstheme="majorHAnsi"/>
        </w:rPr>
        <w:t xml:space="preserve"> is the lag period used to shift the time series of ONI and DMI respectively before computing the correlation value. The lag periods </w:t>
      </w:r>
      <w:r>
        <w:rPr>
          <w:rFonts w:asciiTheme="majorHAnsi" w:hAnsiTheme="majorHAnsi" w:cstheme="majorHAnsi"/>
          <w:lang w:val="en-US"/>
        </w:rPr>
        <w:t>vary</w:t>
      </w:r>
      <w:r>
        <w:rPr>
          <w:rFonts w:asciiTheme="majorHAnsi" w:hAnsiTheme="majorHAnsi" w:cstheme="majorHAnsi"/>
        </w:rPr>
        <w:t xml:space="preserve"> from -12 months to +12 months with 1-month step. 625 values of </w:t>
      </w:r>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3.12</m:t>
            </m:r>
          </m:sub>
        </m:sSub>
      </m:oMath>
      <w:r>
        <w:rPr>
          <w:rFonts w:asciiTheme="majorHAnsi" w:hAnsiTheme="majorHAnsi" w:cstheme="majorHAnsi"/>
        </w:rPr>
        <w:t xml:space="preserve"> are then computed with all variations of the two lag periods (25 times 25). The lag period estimated to be the actual lag of the ONI and DMI is when the </w:t>
      </w:r>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3.12</m:t>
            </m:r>
          </m:sub>
        </m:sSub>
      </m:oMath>
      <w:r>
        <w:rPr>
          <w:rFonts w:asciiTheme="majorHAnsi" w:hAnsiTheme="majorHAnsi" w:cstheme="majorHAnsi"/>
        </w:rPr>
        <w:t xml:space="preserve"> is at maximum and will further be denoted as </w:t>
      </w:r>
      <m:oMath>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e>
          <m:sup>
            <m:r>
              <w:rPr>
                <w:rFonts w:ascii="Cambria Math" w:hAnsi="Cambria Math" w:cstheme="majorHAnsi"/>
              </w:rPr>
              <m:t>max</m:t>
            </m:r>
          </m:sup>
        </m:sSup>
      </m:oMath>
      <w:r>
        <w:rPr>
          <w:rFonts w:asciiTheme="majorHAnsi" w:hAnsiTheme="majorHAnsi" w:cstheme="majorHAnsi"/>
        </w:rPr>
        <w:t xml:space="preserve"> and </w:t>
      </w:r>
      <m:oMath>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e>
          <m:sup>
            <m:r>
              <w:rPr>
                <w:rFonts w:ascii="Cambria Math" w:hAnsi="Cambria Math" w:cstheme="majorHAnsi"/>
              </w:rPr>
              <m:t>max</m:t>
            </m:r>
          </m:sup>
        </m:sSup>
      </m:oMath>
      <w:r>
        <w:rPr>
          <w:rFonts w:asciiTheme="majorHAnsi" w:hAnsiTheme="majorHAnsi" w:cstheme="majorHAnsi"/>
        </w:rPr>
        <w:t>, for the lag of ONI and DMI respectively.</w:t>
      </w:r>
    </w:p>
    <w:p w14:paraId="1EC89553" w14:textId="77777777" w:rsidR="00410446" w:rsidRDefault="00410446" w:rsidP="00410446">
      <w:pPr>
        <w:spacing w:after="240"/>
        <w:rPr>
          <w:rFonts w:asciiTheme="majorHAnsi" w:hAnsiTheme="majorHAnsi" w:cstheme="majorHAnsi"/>
        </w:rPr>
      </w:pPr>
      <w:r>
        <w:rPr>
          <w:rFonts w:asciiTheme="majorHAnsi" w:hAnsiTheme="majorHAnsi" w:cstheme="majorHAnsi"/>
        </w:rPr>
        <w:t>After the lag periods are acquired the partial correlation between ONI and PWVA without the effect of DMI can be computed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2"/>
      </w:tblGrid>
      <w:tr w:rsidR="00410446" w14:paraId="0FB4F57F" w14:textId="77777777" w:rsidTr="00287EFB">
        <w:trPr>
          <w:trHeight w:val="770"/>
        </w:trPr>
        <w:tc>
          <w:tcPr>
            <w:tcW w:w="8359" w:type="dxa"/>
          </w:tcPr>
          <w:p w14:paraId="1015489A" w14:textId="77777777" w:rsidR="00410446" w:rsidRDefault="00410446" w:rsidP="00287EFB">
            <w:pPr>
              <w:spacing w:after="240" w:line="240" w:lineRule="auto"/>
              <w:jc w:val="left"/>
              <w:rPr>
                <w:rFonts w:asciiTheme="majorHAnsi" w:hAnsiTheme="majorHAnsi" w:cstheme="majorHAnsi"/>
              </w:rPr>
            </w:pPr>
            <m:oMathPara>
              <m:oMath>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13.2</m:t>
                        </m:r>
                      </m:sub>
                    </m:sSub>
                  </m:e>
                  <m:sup>
                    <m:r>
                      <w:rPr>
                        <w:rFonts w:ascii="Cambria Math" w:hAnsi="Cambria Math" w:cstheme="majorHAnsi"/>
                      </w:rPr>
                      <m:t>max</m:t>
                    </m:r>
                  </m:sup>
                </m:sSup>
                <m:r>
                  <w:rPr>
                    <w:rFonts w:ascii="Cambria Math" w:hAnsi="Cambria Math" w:cstheme="majorHAnsi"/>
                  </w:rPr>
                  <m:t>=</m:t>
                </m:r>
                <m:f>
                  <m:fPr>
                    <m:ctrlPr>
                      <w:rPr>
                        <w:rFonts w:ascii="Cambria Math" w:hAnsi="Cambria Math" w:cstheme="majorHAnsi"/>
                        <w:i/>
                      </w:rPr>
                    </m:ctrlPr>
                  </m:fPr>
                  <m:num>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13</m:t>
                        </m:r>
                      </m:sub>
                    </m:sSub>
                    <m:d>
                      <m:dPr>
                        <m:ctrlPr>
                          <w:rPr>
                            <w:rFonts w:ascii="Cambria Math" w:hAnsi="Cambria Math" w:cstheme="majorHAnsi"/>
                            <w:i/>
                          </w:rPr>
                        </m:ctrlPr>
                      </m:dPr>
                      <m:e>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e>
                          <m:sup>
                            <m:r>
                              <w:rPr>
                                <w:rFonts w:ascii="Cambria Math" w:hAnsi="Cambria Math" w:cstheme="majorHAnsi"/>
                              </w:rPr>
                              <m:t>max</m:t>
                            </m:r>
                          </m:sup>
                        </m:sSup>
                      </m:e>
                    </m:d>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12</m:t>
                        </m:r>
                      </m:sub>
                    </m:sSub>
                    <m:r>
                      <w:rPr>
                        <w:rFonts w:ascii="Cambria Math" w:hAnsi="Cambria Math" w:cstheme="majorHAnsi"/>
                      </w:rPr>
                      <m:t>(</m:t>
                    </m:r>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e>
                      <m:sup>
                        <m:r>
                          <w:rPr>
                            <w:rFonts w:ascii="Cambria Math" w:hAnsi="Cambria Math" w:cstheme="majorHAnsi"/>
                          </w:rPr>
                          <m:t>max</m:t>
                        </m:r>
                      </m:sup>
                    </m:sSup>
                    <m:r>
                      <w:rPr>
                        <w:rFonts w:ascii="Cambria Math" w:hAnsi="Cambria Math" w:cstheme="majorHAnsi"/>
                      </w:rPr>
                      <m:t>,</m:t>
                    </m:r>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e>
                      <m:sup>
                        <m:r>
                          <w:rPr>
                            <w:rFonts w:ascii="Cambria Math" w:hAnsi="Cambria Math" w:cstheme="majorHAnsi"/>
                          </w:rPr>
                          <m:t>max</m:t>
                        </m:r>
                      </m:sup>
                    </m:s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23</m:t>
                        </m:r>
                      </m:sub>
                    </m:sSub>
                    <m:r>
                      <w:rPr>
                        <w:rFonts w:ascii="Cambria Math" w:hAnsi="Cambria Math" w:cstheme="majorHAnsi"/>
                      </w:rPr>
                      <m:t>(</m:t>
                    </m:r>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e>
                      <m:sup>
                        <m:r>
                          <w:rPr>
                            <w:rFonts w:ascii="Cambria Math" w:hAnsi="Cambria Math" w:cstheme="majorHAnsi"/>
                          </w:rPr>
                          <m:t>max</m:t>
                        </m:r>
                      </m:sup>
                    </m:sSup>
                    <m:r>
                      <w:rPr>
                        <w:rFonts w:ascii="Cambria Math" w:hAnsi="Cambria Math" w:cstheme="majorHAnsi"/>
                      </w:rPr>
                      <m:t>)</m:t>
                    </m:r>
                  </m:num>
                  <m:den>
                    <m:rad>
                      <m:radPr>
                        <m:degHide m:val="1"/>
                        <m:ctrlPr>
                          <w:rPr>
                            <w:rFonts w:ascii="Cambria Math" w:hAnsi="Cambria Math" w:cstheme="majorHAnsi"/>
                            <w:i/>
                          </w:rPr>
                        </m:ctrlPr>
                      </m:radPr>
                      <m:deg/>
                      <m:e>
                        <m:r>
                          <w:rPr>
                            <w:rFonts w:ascii="Cambria Math" w:hAnsi="Cambria Math" w:cstheme="majorHAnsi"/>
                          </w:rPr>
                          <m:t>1-</m:t>
                        </m:r>
                        <m:sSup>
                          <m:sSupPr>
                            <m:ctrlPr>
                              <w:rPr>
                                <w:rFonts w:ascii="Cambria Math" w:hAnsi="Cambria Math" w:cstheme="majorHAnsi"/>
                                <w:i/>
                              </w:rPr>
                            </m:ctrlPr>
                          </m:sSupPr>
                          <m:e>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12</m:t>
                                </m:r>
                              </m:sub>
                            </m:sSub>
                            <m:d>
                              <m:dPr>
                                <m:ctrlPr>
                                  <w:rPr>
                                    <w:rFonts w:ascii="Cambria Math" w:hAnsi="Cambria Math" w:cstheme="majorHAnsi"/>
                                    <w:i/>
                                  </w:rPr>
                                </m:ctrlPr>
                              </m:dPr>
                              <m:e>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e>
                                  <m:sup>
                                    <m:r>
                                      <w:rPr>
                                        <w:rFonts w:ascii="Cambria Math" w:hAnsi="Cambria Math" w:cstheme="majorHAnsi"/>
                                      </w:rPr>
                                      <m:t>max</m:t>
                                    </m:r>
                                  </m:sup>
                                </m:sSup>
                                <m:r>
                                  <w:rPr>
                                    <w:rFonts w:ascii="Cambria Math" w:hAnsi="Cambria Math" w:cstheme="majorHAnsi"/>
                                  </w:rPr>
                                  <m:t>,</m:t>
                                </m:r>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e>
                                  <m:sup>
                                    <m:r>
                                      <w:rPr>
                                        <w:rFonts w:ascii="Cambria Math" w:hAnsi="Cambria Math" w:cstheme="majorHAnsi"/>
                                      </w:rPr>
                                      <m:t>max</m:t>
                                    </m:r>
                                  </m:sup>
                                </m:sSup>
                              </m:e>
                            </m:d>
                            <m:r>
                              <w:rPr>
                                <w:rFonts w:ascii="Cambria Math" w:hAnsi="Cambria Math" w:cstheme="majorHAnsi"/>
                              </w:rPr>
                              <m:t>)</m:t>
                            </m:r>
                          </m:e>
                          <m:sup>
                            <m:r>
                              <w:rPr>
                                <w:rFonts w:ascii="Cambria Math" w:hAnsi="Cambria Math" w:cstheme="majorHAnsi"/>
                              </w:rPr>
                              <m:t>2</m:t>
                            </m:r>
                          </m:sup>
                        </m:sSup>
                      </m:e>
                    </m:rad>
                    <m:rad>
                      <m:radPr>
                        <m:degHide m:val="1"/>
                        <m:ctrlPr>
                          <w:rPr>
                            <w:rFonts w:ascii="Cambria Math" w:hAnsi="Cambria Math" w:cstheme="majorHAnsi"/>
                            <w:i/>
                          </w:rPr>
                        </m:ctrlPr>
                      </m:radPr>
                      <m:deg/>
                      <m:e>
                        <m:r>
                          <w:rPr>
                            <w:rFonts w:ascii="Cambria Math" w:hAnsi="Cambria Math" w:cstheme="majorHAnsi"/>
                          </w:rPr>
                          <m:t>1-</m:t>
                        </m:r>
                        <m:sSup>
                          <m:sSupPr>
                            <m:ctrlPr>
                              <w:rPr>
                                <w:rFonts w:ascii="Cambria Math" w:hAnsi="Cambria Math" w:cstheme="majorHAnsi"/>
                                <w:i/>
                              </w:rPr>
                            </m:ctrlPr>
                          </m:sSupPr>
                          <m:e>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23</m:t>
                                </m:r>
                              </m:sub>
                            </m:sSub>
                            <m:r>
                              <w:rPr>
                                <w:rFonts w:ascii="Cambria Math" w:hAnsi="Cambria Math" w:cstheme="majorHAnsi"/>
                              </w:rPr>
                              <m:t>(</m:t>
                            </m:r>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2</m:t>
                                    </m:r>
                                  </m:sub>
                                </m:sSub>
                              </m:e>
                              <m:sup>
                                <m:r>
                                  <w:rPr>
                                    <w:rFonts w:ascii="Cambria Math" w:hAnsi="Cambria Math" w:cstheme="majorHAnsi"/>
                                  </w:rPr>
                                  <m:t>max</m:t>
                                </m:r>
                              </m:sup>
                            </m:sSup>
                            <m:r>
                              <w:rPr>
                                <w:rFonts w:ascii="Cambria Math" w:hAnsi="Cambria Math" w:cstheme="majorHAnsi"/>
                              </w:rPr>
                              <m:t>))</m:t>
                            </m:r>
                          </m:e>
                          <m:sup>
                            <m:r>
                              <w:rPr>
                                <w:rFonts w:ascii="Cambria Math" w:hAnsi="Cambria Math" w:cstheme="majorHAnsi"/>
                              </w:rPr>
                              <m:t>2</m:t>
                            </m:r>
                          </m:sup>
                        </m:sSup>
                      </m:e>
                    </m:rad>
                  </m:den>
                </m:f>
                <m:r>
                  <w:rPr>
                    <w:rFonts w:ascii="Cambria Math" w:hAnsi="Cambria Math" w:cstheme="majorHAnsi"/>
                  </w:rPr>
                  <m:t xml:space="preserve"> .</m:t>
                </m:r>
              </m:oMath>
            </m:oMathPara>
          </w:p>
          <w:p w14:paraId="1B8EFF4F" w14:textId="77777777" w:rsidR="00410446" w:rsidRDefault="00410446" w:rsidP="00287EFB">
            <w:pPr>
              <w:spacing w:after="240" w:line="240" w:lineRule="auto"/>
              <w:jc w:val="left"/>
              <w:rPr>
                <w:rFonts w:asciiTheme="majorHAnsi" w:hAnsiTheme="majorHAnsi" w:cstheme="majorHAnsi"/>
              </w:rPr>
            </w:pPr>
          </w:p>
        </w:tc>
        <w:tc>
          <w:tcPr>
            <w:tcW w:w="702" w:type="dxa"/>
          </w:tcPr>
          <w:p w14:paraId="57E5387D" w14:textId="77777777" w:rsidR="00410446" w:rsidRDefault="00410446" w:rsidP="00287EFB">
            <w:pPr>
              <w:spacing w:after="240" w:line="240" w:lineRule="auto"/>
              <w:jc w:val="left"/>
              <w:rPr>
                <w:rFonts w:asciiTheme="majorHAnsi" w:hAnsiTheme="majorHAnsi" w:cstheme="majorHAnsi"/>
                <w:lang w:val="en-US"/>
              </w:rPr>
            </w:pPr>
            <w:r>
              <w:rPr>
                <w:rFonts w:asciiTheme="majorHAnsi" w:hAnsiTheme="majorHAnsi" w:cstheme="majorHAnsi"/>
                <w:lang w:val="en-US"/>
              </w:rPr>
              <w:t>(B2)</w:t>
            </w:r>
          </w:p>
        </w:tc>
      </w:tr>
    </w:tbl>
    <w:p w14:paraId="2C3AB3B3" w14:textId="77777777" w:rsidR="00410446" w:rsidRPr="00923E76" w:rsidRDefault="00410446" w:rsidP="00410446">
      <w:pPr>
        <w:spacing w:after="240"/>
        <w:rPr>
          <w:rFonts w:asciiTheme="majorHAnsi" w:hAnsiTheme="majorHAnsi" w:cstheme="majorHAnsi"/>
        </w:rPr>
      </w:pPr>
      <w:r>
        <w:rPr>
          <w:rFonts w:asciiTheme="majorHAnsi" w:hAnsiTheme="majorHAnsi" w:cstheme="majorHAnsi"/>
        </w:rPr>
        <w:t>This partial correlation value (</w:t>
      </w:r>
      <m:oMath>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13.2</m:t>
                </m:r>
              </m:sub>
            </m:sSub>
          </m:e>
          <m:sup>
            <m:r>
              <w:rPr>
                <w:rFonts w:ascii="Cambria Math" w:hAnsi="Cambria Math" w:cstheme="majorHAnsi"/>
              </w:rPr>
              <m:t>max</m:t>
            </m:r>
          </m:sup>
        </m:sSup>
      </m:oMath>
      <w:r>
        <w:rPr>
          <w:rFonts w:asciiTheme="majorHAnsi" w:hAnsiTheme="majorHAnsi" w:cstheme="majorHAnsi"/>
        </w:rPr>
        <w:t>) is what being displayed in the teleconnection map along with the lag period (</w:t>
      </w:r>
      <m:oMath>
        <m:sSup>
          <m:sSupPr>
            <m:ctrlPr>
              <w:rPr>
                <w:rFonts w:ascii="Cambria Math" w:hAnsi="Cambria Math" w:cstheme="majorHAnsi"/>
                <w:i/>
              </w:rPr>
            </m:ctrlPr>
          </m:sSupPr>
          <m:e>
            <m:sSub>
              <m:sSubPr>
                <m:ctrlPr>
                  <w:rPr>
                    <w:rFonts w:ascii="Cambria Math" w:hAnsi="Cambria Math" w:cstheme="majorHAnsi"/>
                    <w:i/>
                  </w:rPr>
                </m:ctrlPr>
              </m:sSubPr>
              <m:e>
                <m:r>
                  <w:rPr>
                    <w:rFonts w:ascii="Cambria Math" w:hAnsi="Cambria Math" w:cstheme="majorHAnsi"/>
                  </w:rPr>
                  <m:t>τ</m:t>
                </m:r>
              </m:e>
              <m:sub>
                <m:r>
                  <w:rPr>
                    <w:rFonts w:ascii="Cambria Math" w:hAnsi="Cambria Math" w:cstheme="majorHAnsi"/>
                  </w:rPr>
                  <m:t>1</m:t>
                </m:r>
              </m:sub>
            </m:sSub>
          </m:e>
          <m:sup>
            <m:r>
              <w:rPr>
                <w:rFonts w:ascii="Cambria Math" w:hAnsi="Cambria Math" w:cstheme="majorHAnsi"/>
              </w:rPr>
              <m:t>max</m:t>
            </m:r>
          </m:sup>
        </m:sSup>
      </m:oMath>
      <w:r>
        <w:rPr>
          <w:rFonts w:asciiTheme="majorHAnsi" w:hAnsiTheme="majorHAnsi" w:cstheme="majorHAnsi"/>
        </w:rPr>
        <w:t>). This Significance test is done on the final maximum partial correlation value by doing a Monte-Carlo simulation to the computation, more detail is in Appendix C.</w:t>
      </w:r>
    </w:p>
    <w:p w14:paraId="630C9418" w14:textId="77777777" w:rsidR="00410446" w:rsidRDefault="00410446" w:rsidP="00410446">
      <w:pPr>
        <w:spacing w:after="240"/>
        <w:jc w:val="left"/>
        <w:rPr>
          <w:rFonts w:asciiTheme="majorHAnsi" w:hAnsiTheme="majorHAnsi" w:cstheme="majorHAnsi"/>
          <w:b/>
        </w:rPr>
      </w:pPr>
    </w:p>
    <w:p w14:paraId="749A5427" w14:textId="77777777" w:rsidR="00410446" w:rsidRDefault="00410446" w:rsidP="00410446">
      <w:pPr>
        <w:spacing w:after="240"/>
        <w:jc w:val="left"/>
        <w:rPr>
          <w:rFonts w:asciiTheme="majorHAnsi" w:hAnsiTheme="majorHAnsi" w:cstheme="majorHAnsi"/>
          <w:b/>
        </w:rPr>
      </w:pPr>
      <w:r>
        <w:rPr>
          <w:rFonts w:asciiTheme="majorHAnsi" w:hAnsiTheme="majorHAnsi" w:cstheme="majorHAnsi"/>
          <w:b/>
        </w:rPr>
        <w:t>Appendix C Significance Test using Monte Carlo Simulation</w:t>
      </w:r>
    </w:p>
    <w:p w14:paraId="5F9B4A89" w14:textId="77777777" w:rsidR="00410446" w:rsidRDefault="00410446" w:rsidP="00410446">
      <w:pPr>
        <w:spacing w:after="240"/>
        <w:rPr>
          <w:rFonts w:asciiTheme="majorHAnsi" w:hAnsiTheme="majorHAnsi" w:cstheme="majorHAnsi"/>
        </w:rPr>
      </w:pPr>
      <w:r>
        <w:rPr>
          <w:rFonts w:asciiTheme="majorHAnsi" w:hAnsiTheme="majorHAnsi" w:cstheme="majorHAnsi"/>
        </w:rPr>
        <w:t>Monte-Carlo simulation is a method to find the probability distribution of an analysis result by simulating the generation of the analysis several times. Synthetic noise with known parameters is added to the input for each simulation as to simulate the random error. The chosen number of times that the simulation is conducted is 1000, simple convergence test was performed beforehand by computing the significance test ten times and to see that 1000 simulations was ample for the test result to be convergence.</w:t>
      </w:r>
    </w:p>
    <w:p w14:paraId="63875909" w14:textId="77777777" w:rsidR="00410446" w:rsidRDefault="00410446" w:rsidP="00410446">
      <w:pPr>
        <w:spacing w:after="240"/>
        <w:rPr>
          <w:rFonts w:asciiTheme="majorHAnsi" w:hAnsiTheme="majorHAnsi" w:cstheme="majorHAnsi"/>
        </w:rPr>
      </w:pPr>
      <w:r>
        <w:rPr>
          <w:rFonts w:asciiTheme="majorHAnsi" w:hAnsiTheme="majorHAnsi" w:cstheme="majorHAnsi"/>
        </w:rPr>
        <w:t>The synthetic noise used a normally distributed random error generated by MATLAB R2017A. The random error is adjusted to have the assumed standard error of the measurement, which is the RMSD generated in Section 3.1, as the standard deviation. 90% two-tailed significance test is conducted by taking the first 5</w:t>
      </w:r>
      <w:r>
        <w:rPr>
          <w:rFonts w:asciiTheme="majorHAnsi" w:hAnsiTheme="majorHAnsi" w:cstheme="majorHAnsi"/>
          <w:vertAlign w:val="superscript"/>
        </w:rPr>
        <w:t>th</w:t>
      </w:r>
      <w:r>
        <w:rPr>
          <w:rFonts w:asciiTheme="majorHAnsi" w:hAnsiTheme="majorHAnsi" w:cstheme="majorHAnsi"/>
        </w:rPr>
        <w:t xml:space="preserve"> percentile of the analysis results as the critical value. </w:t>
      </w:r>
      <w:r>
        <w:rPr>
          <w:rFonts w:asciiTheme="majorHAnsi" w:hAnsiTheme="majorHAnsi" w:cstheme="majorHAnsi"/>
        </w:rPr>
        <w:lastRenderedPageBreak/>
        <w:t xml:space="preserve">Though, since the original data has contain the random error already adding another synthetic random error would mean that the resulted distribution from the resulted Monte Carlo simulation were exaggerated. Therefore, an adjustment is made to narrow the distribution down and gets the assumed original distribution. This adjustment is done by dividing the standard deviation by </w:t>
      </w:r>
      <m:oMath>
        <m:r>
          <w:rPr>
            <w:rFonts w:ascii="Cambria Math" w:hAnsi="Cambria Math" w:cstheme="majorHAnsi"/>
          </w:rPr>
          <m:t>√</m:t>
        </m:r>
      </m:oMath>
      <w:r>
        <w:rPr>
          <w:rFonts w:asciiTheme="majorHAnsi" w:hAnsiTheme="majorHAnsi" w:cstheme="majorHAnsi"/>
        </w:rPr>
        <w:t xml:space="preserve">2 because it was assumed that the random error is doubled after adding the synthetic random error. Adding two similar normally distributed variables resulted in the variance to be doubled (Lemons, 2002) and so the standard deviation would be multiplied by </w:t>
      </w:r>
      <m:oMath>
        <m:r>
          <w:rPr>
            <w:rFonts w:ascii="Cambria Math" w:hAnsi="Cambria Math" w:cstheme="majorHAnsi"/>
          </w:rPr>
          <m:t>√</m:t>
        </m:r>
      </m:oMath>
      <w:r>
        <w:rPr>
          <w:rFonts w:asciiTheme="majorHAnsi" w:hAnsiTheme="majorHAnsi" w:cstheme="majorHAnsi"/>
        </w:rPr>
        <w:t>2. As an illustration for the reader, after the adjustment the first 5</w:t>
      </w:r>
      <w:r>
        <w:rPr>
          <w:rFonts w:asciiTheme="majorHAnsi" w:hAnsiTheme="majorHAnsi" w:cstheme="majorHAnsi"/>
          <w:vertAlign w:val="superscript"/>
        </w:rPr>
        <w:t>th</w:t>
      </w:r>
      <w:r>
        <w:rPr>
          <w:rFonts w:asciiTheme="majorHAnsi" w:hAnsiTheme="majorHAnsi" w:cstheme="majorHAnsi"/>
        </w:rPr>
        <w:t xml:space="preserve"> percentile is equivalent to the 12</w:t>
      </w:r>
      <w:r>
        <w:rPr>
          <w:rFonts w:asciiTheme="majorHAnsi" w:hAnsiTheme="majorHAnsi" w:cstheme="majorHAnsi"/>
          <w:vertAlign w:val="superscript"/>
        </w:rPr>
        <w:t>th</w:t>
      </w:r>
      <w:r>
        <w:rPr>
          <w:rFonts w:asciiTheme="majorHAnsi" w:hAnsiTheme="majorHAnsi" w:cstheme="majorHAnsi"/>
        </w:rPr>
        <w:t xml:space="preserve"> percentile of the original result. For the ENSO teleconnection map, the critical value was required to exceed 0.3 to be considered significant, and for the composite maps it should exceed 1.41 mm which is half of the standard error for the anomaly to be considered significant.</w:t>
      </w:r>
    </w:p>
    <w:p w14:paraId="78C29D8C" w14:textId="77777777" w:rsidR="00000F57" w:rsidRPr="00410446" w:rsidRDefault="00410446" w:rsidP="00410446"/>
    <w:sectPr w:rsidR="00000F57" w:rsidRPr="00410446">
      <w:footerReference w:type="default" r:id="rId5"/>
      <w:pgSz w:w="11907" w:h="13608"/>
      <w:pgMar w:top="567" w:right="936" w:bottom="1338" w:left="936" w:header="0" w:footer="737" w:gutter="0"/>
      <w:lnNumType w:countBy="5" w:distance="227"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7788171"/>
      <w:docPartObj>
        <w:docPartGallery w:val="AutoText"/>
      </w:docPartObj>
    </w:sdtPr>
    <w:sdtEndPr/>
    <w:sdtContent>
      <w:p w14:paraId="07A86AB9" w14:textId="77777777" w:rsidR="00AB2F26" w:rsidRDefault="00410446">
        <w:pPr>
          <w:pStyle w:val="Footer"/>
          <w:jc w:val="center"/>
        </w:pPr>
        <w:r>
          <w:fldChar w:fldCharType="begin"/>
        </w:r>
        <w:r>
          <w:instrText xml:space="preserve"> PAGE   \* MERGEFORMAT </w:instrText>
        </w:r>
        <w:r>
          <w:fldChar w:fldCharType="separate"/>
        </w:r>
        <w:r>
          <w:rPr>
            <w:noProof/>
          </w:rPr>
          <w:t>32</w:t>
        </w:r>
        <w:r>
          <w:fldChar w:fldCharType="end"/>
        </w:r>
      </w:p>
    </w:sdtContent>
  </w:sdt>
  <w:p w14:paraId="6312DCFF" w14:textId="77777777" w:rsidR="00AB2F26" w:rsidRDefault="0041044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46"/>
    <w:rsid w:val="0007695B"/>
    <w:rsid w:val="001223F1"/>
    <w:rsid w:val="003023F1"/>
    <w:rsid w:val="00410446"/>
    <w:rsid w:val="005615C6"/>
    <w:rsid w:val="005E078B"/>
    <w:rsid w:val="00781D71"/>
    <w:rsid w:val="007D4061"/>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9F20C"/>
  <w15:chartTrackingRefBased/>
  <w15:docId w15:val="{63B444D0-92E7-4270-AF2A-7A245CCE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446"/>
    <w:pPr>
      <w:spacing w:after="0" w:line="360" w:lineRule="auto"/>
      <w:jc w:val="both"/>
    </w:pPr>
    <w:rPr>
      <w:rFonts w:ascii="Times New Roman" w:eastAsia="Times New Roman" w:hAnsi="Times New Roman" w:cs="Times New Roman"/>
      <w:sz w:val="20"/>
      <w:szCs w:val="24"/>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10446"/>
    <w:pPr>
      <w:spacing w:after="200" w:line="240" w:lineRule="auto"/>
    </w:pPr>
    <w:rPr>
      <w:b/>
      <w:bCs/>
      <w:sz w:val="18"/>
      <w:szCs w:val="18"/>
    </w:rPr>
  </w:style>
  <w:style w:type="paragraph" w:styleId="Footer">
    <w:name w:val="footer"/>
    <w:basedOn w:val="Normal"/>
    <w:link w:val="FooterChar"/>
    <w:uiPriority w:val="99"/>
    <w:unhideWhenUsed/>
    <w:rsid w:val="00410446"/>
    <w:pPr>
      <w:tabs>
        <w:tab w:val="center" w:pos="4513"/>
        <w:tab w:val="right" w:pos="9026"/>
      </w:tabs>
      <w:spacing w:line="240" w:lineRule="auto"/>
    </w:pPr>
  </w:style>
  <w:style w:type="character" w:customStyle="1" w:styleId="FooterChar">
    <w:name w:val="Footer Char"/>
    <w:basedOn w:val="DefaultParagraphFont"/>
    <w:link w:val="Footer"/>
    <w:uiPriority w:val="99"/>
    <w:rsid w:val="00410446"/>
    <w:rPr>
      <w:rFonts w:ascii="Times New Roman" w:eastAsia="Times New Roman" w:hAnsi="Times New Roman" w:cs="Times New Roman"/>
      <w:sz w:val="20"/>
      <w:szCs w:val="24"/>
      <w:lang w:val="en-GB" w:eastAsia="de-DE"/>
    </w:rPr>
  </w:style>
  <w:style w:type="table" w:styleId="TableGrid">
    <w:name w:val="Table Grid"/>
    <w:basedOn w:val="TableNormal"/>
    <w:uiPriority w:val="59"/>
    <w:rsid w:val="00410446"/>
    <w:pPr>
      <w:spacing w:after="0" w:line="240" w:lineRule="auto"/>
    </w:pPr>
    <w:rPr>
      <w:rFonts w:ascii="Calibri" w:eastAsia="SimSun" w:hAnsi="Calibri"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10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1230</Words>
  <Characters>7012</Characters>
  <Application>Microsoft Office Word</Application>
  <DocSecurity>0</DocSecurity>
  <Lines>58</Lines>
  <Paragraphs>16</Paragraphs>
  <ScaleCrop>false</ScaleCrop>
  <Company>Springer Nature</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2022-12-13T10:34:00Z</dcterms:created>
  <dcterms:modified xsi:type="dcterms:W3CDTF">2022-12-13T10:35:00Z</dcterms:modified>
</cp:coreProperties>
</file>