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C5E0B4" w:themeColor="accent6" w:themeTint="66"/>
  <w:body>
    <w:p>
      <w:pPr>
        <w:pStyle w:val="19"/>
        <w:spacing w:line="480" w:lineRule="auto"/>
      </w:pPr>
      <w:bookmarkStart w:id="0" w:name="OLE_LINK27"/>
      <w:bookmarkStart w:id="1" w:name="OLE_LINK30"/>
      <w:bookmarkStart w:id="2" w:name="OLE_LINK24"/>
      <w:bookmarkStart w:id="3" w:name="OLE_LINK38"/>
      <w:bookmarkStart w:id="4" w:name="OLE_LINK66"/>
      <w:bookmarkStart w:id="5" w:name="OLE_LINK64"/>
      <w:bookmarkStart w:id="6" w:name="OLE_LINK65"/>
      <w:bookmarkStart w:id="7" w:name="OLE_LINK70"/>
      <w:bookmarkStart w:id="8" w:name="OLE_LINK67"/>
      <w:bookmarkStart w:id="9" w:name="OLE_LINK71"/>
      <w:bookmarkStart w:id="10" w:name="OLE_LINK61"/>
      <w:r>
        <w:t>Supplementary Material</w:t>
      </w:r>
    </w:p>
    <w:p>
      <w:pPr>
        <w:widowControl w:val="0"/>
        <w:spacing w:line="48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The Five-Pattern Personality Inventory (FPPI)</w:t>
      </w:r>
      <w:bookmarkEnd w:id="0"/>
      <w:bookmarkEnd w:id="1"/>
      <w:r>
        <w:rPr>
          <w:rFonts w:ascii="Times New Roman" w:hAnsi="Times New Roman" w:cs="Times New Roman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, a Chinese localized personality scale, relates to </w:t>
      </w:r>
      <w:bookmarkStart w:id="11" w:name="OLE_LINK121"/>
      <w:bookmarkStart w:id="12" w:name="OLE_LINK120"/>
      <w:r>
        <w:rPr>
          <w:rFonts w:ascii="Times New Roman" w:hAnsi="Times New Roman" w:cs="Times New Roman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topological properties </w:t>
      </w:r>
      <w:bookmarkEnd w:id="11"/>
      <w:bookmarkEnd w:id="12"/>
      <w:r>
        <w:rPr>
          <w:rFonts w:ascii="Times New Roman" w:hAnsi="Times New Roman" w:cs="Times New Roman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of resting-state brain networks</w:t>
      </w:r>
      <w:bookmarkEnd w:id="2"/>
      <w:bookmarkEnd w:id="3"/>
    </w:p>
    <w:p>
      <w:pPr>
        <w:widowControl w:val="0"/>
        <w:spacing w:line="480" w:lineRule="auto"/>
        <w:contextualSpacing/>
        <w:rPr>
          <w:rFonts w:ascii="Times New Roman" w:hAnsi="Times New Roman" w:cs="Times New Roman"/>
          <w:b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</w:p>
    <w:bookmarkEnd w:id="4"/>
    <w:bookmarkEnd w:id="5"/>
    <w:bookmarkEnd w:id="6"/>
    <w:bookmarkEnd w:id="7"/>
    <w:bookmarkEnd w:id="8"/>
    <w:bookmarkEnd w:id="9"/>
    <w:bookmarkEnd w:id="10"/>
    <w:p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Xiaozhen Li</w:t>
      </w:r>
      <w:r>
        <w:rPr>
          <w:rFonts w:ascii="Times New Roman" w:hAnsi="Times New Roman" w:cs="Times New Roman"/>
          <w:b/>
          <w:sz w:val="24"/>
          <w:vertAlign w:val="superscript"/>
        </w:rPr>
        <w:t>1,2,†</w:t>
      </w:r>
      <w:r>
        <w:rPr>
          <w:rFonts w:ascii="Times New Roman" w:hAnsi="Times New Roman" w:cs="Times New Roman"/>
          <w:b/>
          <w:sz w:val="24"/>
        </w:rPr>
        <w:t>, Yanfang Wang</w:t>
      </w:r>
      <w:r>
        <w:rPr>
          <w:rFonts w:ascii="Times New Roman" w:hAnsi="Times New Roman" w:cs="Times New Roman"/>
          <w:b/>
          <w:sz w:val="24"/>
          <w:vertAlign w:val="superscript"/>
        </w:rPr>
        <w:t>1,2,†</w:t>
      </w:r>
      <w:r>
        <w:rPr>
          <w:rFonts w:ascii="Times New Roman" w:hAnsi="Times New Roman" w:cs="Times New Roman"/>
          <w:b/>
          <w:sz w:val="24"/>
        </w:rPr>
        <w:t>, Hao Guo</w:t>
      </w:r>
      <w:r>
        <w:rPr>
          <w:rFonts w:ascii="Times New Roman" w:hAnsi="Times New Roman" w:cs="Times New Roman"/>
          <w:b/>
          <w:sz w:val="24"/>
          <w:vertAlign w:val="superscript"/>
        </w:rPr>
        <w:t>3,†</w:t>
      </w:r>
      <w:r>
        <w:rPr>
          <w:rFonts w:ascii="Times New Roman" w:hAnsi="Times New Roman" w:cs="Times New Roman"/>
          <w:b/>
          <w:sz w:val="24"/>
        </w:rPr>
        <w:t>, Jian Du</w:t>
      </w:r>
      <w:r>
        <w:rPr>
          <w:rFonts w:ascii="Times New Roman" w:hAnsi="Times New Roman" w:cs="Times New Roman"/>
          <w:b/>
          <w:sz w:val="24"/>
          <w:vertAlign w:val="superscript"/>
        </w:rPr>
        <w:t>4</w:t>
      </w:r>
      <w:r>
        <w:rPr>
          <w:rFonts w:ascii="Times New Roman" w:hAnsi="Times New Roman" w:cs="Times New Roman"/>
          <w:b/>
          <w:sz w:val="24"/>
        </w:rPr>
        <w:t>, Hao Wang</w:t>
      </w:r>
      <w:r>
        <w:rPr>
          <w:rFonts w:ascii="Times New Roman" w:hAnsi="Times New Roman" w:cs="Times New Roman"/>
          <w:b/>
          <w:sz w:val="24"/>
          <w:vertAlign w:val="superscript"/>
        </w:rPr>
        <w:t>4</w:t>
      </w:r>
      <w:r>
        <w:rPr>
          <w:rFonts w:ascii="Times New Roman" w:hAnsi="Times New Roman" w:cs="Times New Roman"/>
          <w:b/>
          <w:sz w:val="24"/>
        </w:rPr>
        <w:t>, Junjie Wang</w:t>
      </w:r>
      <w:r>
        <w:rPr>
          <w:rFonts w:ascii="Times New Roman" w:hAnsi="Times New Roman" w:cs="Times New Roman"/>
          <w:b/>
          <w:sz w:val="24"/>
          <w:vertAlign w:val="superscript"/>
        </w:rPr>
        <w:t>2</w:t>
      </w:r>
      <w:r>
        <w:rPr>
          <w:rFonts w:ascii="Times New Roman" w:hAnsi="Times New Roman" w:cs="Times New Roman"/>
          <w:b/>
          <w:sz w:val="24"/>
        </w:rPr>
        <w:t>, Yao Li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, Jing Li</w:t>
      </w:r>
      <w:r>
        <w:rPr>
          <w:rFonts w:ascii="Times New Roman" w:hAnsi="Times New Roman" w:cs="Times New Roman"/>
          <w:b/>
          <w:sz w:val="24"/>
          <w:vertAlign w:val="superscript"/>
        </w:rPr>
        <w:t>2</w:t>
      </w:r>
      <w:r>
        <w:rPr>
          <w:rFonts w:ascii="Times New Roman" w:hAnsi="Times New Roman" w:cs="Times New Roman"/>
          <w:b/>
          <w:sz w:val="24"/>
        </w:rPr>
        <w:t>,</w:t>
      </w:r>
      <w:r>
        <w:rPr>
          <w:rFonts w:hint="eastAsia" w:ascii="Times New Roman" w:hAnsi="Times New Roman" w:cs="Times New Roman"/>
          <w:b/>
          <w:sz w:val="24"/>
        </w:rPr>
        <w:t xml:space="preserve"> </w:t>
      </w:r>
      <w:bookmarkStart w:id="16" w:name="_GoBack"/>
      <w:bookmarkEnd w:id="16"/>
      <w:r>
        <w:rPr>
          <w:rFonts w:ascii="Times New Roman" w:hAnsi="Times New Roman" w:cs="Times New Roman"/>
          <w:b/>
          <w:sz w:val="24"/>
        </w:rPr>
        <w:t>Chao Sun</w:t>
      </w:r>
      <w:r>
        <w:rPr>
          <w:rFonts w:ascii="Times New Roman" w:hAnsi="Times New Roman" w:cs="Times New Roman"/>
          <w:b/>
          <w:sz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</w:rPr>
        <w:t>, Qiuli Yang</w:t>
      </w:r>
      <w:r>
        <w:rPr>
          <w:rFonts w:ascii="Times New Roman" w:hAnsi="Times New Roman" w:cs="Times New Roman"/>
          <w:b/>
          <w:sz w:val="24"/>
          <w:vertAlign w:val="superscript"/>
        </w:rPr>
        <w:t>4*</w:t>
      </w:r>
      <w:r>
        <w:rPr>
          <w:rFonts w:ascii="Times New Roman" w:hAnsi="Times New Roman" w:cs="Times New Roman"/>
          <w:b/>
          <w:sz w:val="24"/>
        </w:rPr>
        <w:t>, Yong Xu</w:t>
      </w:r>
      <w:r>
        <w:rPr>
          <w:rFonts w:ascii="Times New Roman" w:hAnsi="Times New Roman" w:cs="Times New Roman"/>
          <w:b/>
          <w:sz w:val="24"/>
          <w:vertAlign w:val="superscript"/>
        </w:rPr>
        <w:t>1,2,*</w:t>
      </w:r>
    </w:p>
    <w:p>
      <w:pPr>
        <w:autoSpaceDE w:val="0"/>
        <w:autoSpaceDN w:val="0"/>
        <w:spacing w:line="480" w:lineRule="auto"/>
        <w:contextualSpacing/>
        <w:jc w:val="both"/>
        <w:rPr>
          <w:rFonts w:ascii="Times New Roman" w:hAnsi="Times New Roman" w:cs="Times New Roman"/>
          <w:sz w:val="24"/>
          <w:vertAlign w:val="superscript"/>
        </w:rPr>
      </w:pPr>
    </w:p>
    <w:p>
      <w:pPr>
        <w:autoSpaceDE w:val="0"/>
        <w:autoSpaceDN w:val="0"/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  <w:vertAlign w:val="superscript"/>
        </w:rPr>
        <w:t>*</w:t>
      </w:r>
      <w:r>
        <w:rPr>
          <w:rFonts w:ascii="Times New Roman" w:hAnsi="Times New Roman" w:cs="Times New Roman"/>
          <w:b/>
          <w:sz w:val="24"/>
        </w:rPr>
        <w:t>Correspondence to:</w:t>
      </w:r>
    </w:p>
    <w:p>
      <w:pPr>
        <w:autoSpaceDE w:val="0"/>
        <w:autoSpaceDN w:val="0"/>
        <w:spacing w:line="480" w:lineRule="auto"/>
        <w:contextualSpacing/>
        <w:jc w:val="both"/>
        <w:rPr>
          <w:rFonts w:ascii="Times New Roman" w:hAnsi="Times New Roman" w:cs="Times New Roman"/>
          <w:sz w:val="24"/>
        </w:rPr>
      </w:pPr>
    </w:p>
    <w:p>
      <w:pPr>
        <w:autoSpaceDE w:val="0"/>
        <w:autoSpaceDN w:val="0"/>
        <w:spacing w:line="480" w:lineRule="auto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Yong Xu</w:t>
      </w:r>
      <w:bookmarkStart w:id="13" w:name="OLE_LINK13"/>
      <w:bookmarkStart w:id="14" w:name="OLE_LINK12"/>
      <w:bookmarkStart w:id="15" w:name="OLE_LINK16"/>
      <w:r>
        <w:rPr>
          <w:rFonts w:ascii="Times New Roman" w:hAnsi="Times New Roman" w:cs="Times New Roman"/>
          <w:sz w:val="24"/>
        </w:rPr>
        <w:t xml:space="preserve">: </w:t>
      </w:r>
      <w:r>
        <w:fldChar w:fldCharType="begin"/>
      </w:r>
      <w:r>
        <w:instrText xml:space="preserve"> HYPERLINK "mailto:xuyongsmu@vip.163.com" </w:instrText>
      </w:r>
      <w:r>
        <w:fldChar w:fldCharType="separate"/>
      </w:r>
      <w:r>
        <w:rPr>
          <w:rStyle w:val="8"/>
          <w:rFonts w:ascii="Times New Roman" w:hAnsi="Times New Roman" w:cs="Times New Roman"/>
          <w:sz w:val="24"/>
        </w:rPr>
        <w:t>xuyongsmu@vip.163.com</w:t>
      </w:r>
      <w:r>
        <w:rPr>
          <w:rStyle w:val="8"/>
          <w:rFonts w:ascii="Times New Roman" w:hAnsi="Times New Roman" w:cs="Times New Roman"/>
          <w:sz w:val="24"/>
        </w:rPr>
        <w:fldChar w:fldCharType="end"/>
      </w:r>
      <w:bookmarkEnd w:id="13"/>
      <w:bookmarkEnd w:id="14"/>
      <w:bookmarkEnd w:id="15"/>
    </w:p>
    <w:p>
      <w:pPr>
        <w:autoSpaceDE w:val="0"/>
        <w:autoSpaceDN w:val="0"/>
        <w:spacing w:line="480" w:lineRule="auto"/>
        <w:contextualSpacing/>
        <w:jc w:val="both"/>
        <w:rPr>
          <w:rFonts w:ascii="Times New Roman" w:hAnsi="Times New Roman" w:cs="Times New Roman"/>
          <w:sz w:val="24"/>
        </w:rPr>
      </w:pPr>
    </w:p>
    <w:p>
      <w:pPr>
        <w:autoSpaceDE w:val="0"/>
        <w:autoSpaceDN w:val="0"/>
        <w:spacing w:line="480" w:lineRule="auto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Qiuli Yang: </w:t>
      </w:r>
      <w:r>
        <w:fldChar w:fldCharType="begin"/>
      </w:r>
      <w:r>
        <w:instrText xml:space="preserve"> HYPERLINK "mailto:yql126@126.com" </w:instrText>
      </w:r>
      <w:r>
        <w:fldChar w:fldCharType="separate"/>
      </w:r>
      <w:r>
        <w:rPr>
          <w:rStyle w:val="8"/>
          <w:rFonts w:ascii="Times New Roman" w:hAnsi="Times New Roman" w:cs="Times New Roman"/>
          <w:sz w:val="24"/>
        </w:rPr>
        <w:t>yql126@126.com</w:t>
      </w:r>
      <w:r>
        <w:rPr>
          <w:rStyle w:val="8"/>
          <w:rFonts w:ascii="Times New Roman" w:hAnsi="Times New Roman" w:cs="Times New Roman"/>
          <w:sz w:val="24"/>
        </w:rPr>
        <w:fldChar w:fldCharType="end"/>
      </w:r>
    </w:p>
    <w:p>
      <w:pPr>
        <w:spacing w:line="480" w:lineRule="auto"/>
        <w:jc w:val="both"/>
        <w:rPr>
          <w:rStyle w:val="8"/>
          <w:rFonts w:ascii="Times New Roman" w:hAnsi="Times New Roman" w:cs="Times New Roman"/>
          <w:sz w:val="24"/>
        </w:rPr>
      </w:pPr>
    </w:p>
    <w:p>
      <w:pPr>
        <w:spacing w:line="480" w:lineRule="auto"/>
        <w:contextualSpacing/>
        <w:rPr>
          <w:rFonts w:ascii="Times New Roman" w:hAnsi="Times New Roman" w:cs="Times New Roman"/>
          <w:b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1. Mathematical Definitions of Nodal Metrics</w:t>
      </w:r>
    </w:p>
    <w:p>
      <w:pPr>
        <w:autoSpaceDE w:val="0"/>
        <w:autoSpaceDN w:val="0"/>
        <w:adjustRightInd w:val="0"/>
        <w:spacing w:line="480" w:lineRule="auto"/>
        <w:contextualSpacing/>
        <w:jc w:val="both"/>
        <w:rPr>
          <w:rFonts w:ascii="Times New Roman" w:hAnsi="Times New Roman" w:cs="Times New Roman"/>
          <w:kern w:val="2"/>
          <w:sz w:val="24"/>
        </w:rPr>
      </w:pPr>
      <w:r>
        <w:rPr>
          <w:rFonts w:ascii="Times New Roman" w:hAnsi="Times New Roman" w:cs="Times New Roman"/>
          <w:kern w:val="2"/>
          <w:sz w:val="24"/>
        </w:rPr>
        <w:t>Unless otherwise mentioned, all formulas introduced below are based on G = (N,K), a network G with N nodes and K edges. Formally, the degree of node i is defined as:</w:t>
      </w:r>
    </w:p>
    <w:p>
      <w:pPr>
        <w:shd w:val="clear" w:color="auto" w:fill="FFFFFF"/>
        <w:spacing w:line="480" w:lineRule="auto"/>
        <w:contextualSpacing/>
        <w:jc w:val="both"/>
        <w:rPr>
          <w:rFonts w:ascii="Times New Roman" w:hAnsi="Times New Roman" w:cs="Times New Roman"/>
          <w:kern w:val="2"/>
          <w:sz w:val="24"/>
        </w:rPr>
      </w:pPr>
      <w:r>
        <w:rPr>
          <w:rFonts w:ascii="Times New Roman" w:hAnsi="Times New Roman" w:cs="Times New Roman"/>
          <w:kern w:val="2"/>
          <w:sz w:val="24"/>
        </w:rPr>
        <w:t xml:space="preserve">      </w:t>
      </w:r>
      <m:oMath>
        <m:sSub>
          <m:sSubPr>
            <m:ctrlPr>
              <w:rPr>
                <w:rFonts w:ascii="Cambria Math" w:hAnsi="Cambria Math" w:cs="Times New Roman"/>
                <w:kern w:val="2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kern w:val="2"/>
                <w:sz w:val="24"/>
              </w:rPr>
              <m:t xml:space="preserve"> K</m:t>
            </m:r>
            <m:ctrlPr>
              <w:rPr>
                <w:rFonts w:ascii="Cambria Math" w:hAnsi="Cambria Math" w:cs="Times New Roman"/>
                <w:kern w:val="2"/>
                <w:sz w:val="24"/>
              </w:rPr>
            </m:ctrlP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2"/>
                <w:sz w:val="24"/>
              </w:rPr>
              <m:t>i</m:t>
            </m:r>
            <m:ctrlPr>
              <w:rPr>
                <w:rFonts w:ascii="Cambria Math" w:hAnsi="Cambria Math" w:cs="Times New Roman"/>
                <w:kern w:val="2"/>
                <w:sz w:val="24"/>
              </w:rPr>
            </m:ctrlPr>
          </m:sub>
        </m:sSub>
        <m:r>
          <m:rPr>
            <m:sty m:val="p"/>
          </m:rPr>
          <w:rPr>
            <w:rFonts w:ascii="Cambria Math" w:hAnsi="Cambria Math" w:cs="Times New Roman"/>
            <w:kern w:val="2"/>
            <w:sz w:val="24"/>
          </w:rPr>
          <m:t>=</m:t>
        </m:r>
        <m:nary>
          <m:naryPr>
            <m:chr m:val="∑"/>
            <m:limLoc m:val="undOvr"/>
            <m:supHide m:val="1"/>
            <m:ctrlPr>
              <w:rPr>
                <w:rFonts w:ascii="Cambria Math" w:hAnsi="Cambria Math" w:cs="Times New Roman"/>
                <w:kern w:val="2"/>
                <w:sz w:val="24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 w:cs="Times New Roman"/>
                <w:kern w:val="2"/>
                <w:sz w:val="24"/>
              </w:rPr>
              <m:t>j∈G</m:t>
            </m:r>
            <m:ctrlPr>
              <w:rPr>
                <w:rFonts w:ascii="Cambria Math" w:hAnsi="Cambria Math" w:cs="Times New Roman"/>
                <w:kern w:val="2"/>
                <w:sz w:val="24"/>
              </w:rPr>
            </m:ctrlPr>
          </m:sub>
          <m:sup>
            <m:ctrlPr>
              <w:rPr>
                <w:rFonts w:ascii="Cambria Math" w:hAnsi="Cambria Math" w:cs="Times New Roman"/>
                <w:kern w:val="2"/>
                <w:sz w:val="24"/>
              </w:rPr>
            </m:ctrlPr>
          </m:sup>
          <m:e>
            <m:sSub>
              <m:sSubPr>
                <m:ctrlPr>
                  <w:rPr>
                    <w:rFonts w:ascii="Cambria Math" w:hAnsi="Cambria Math" w:cs="Times New Roman"/>
                    <w:kern w:val="2"/>
                    <w:sz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kern w:val="2"/>
                    <w:sz w:val="24"/>
                  </w:rPr>
                  <m:t>a</m:t>
                </m:r>
                <m:ctrlPr>
                  <w:rPr>
                    <w:rFonts w:ascii="Cambria Math" w:hAnsi="Cambria Math" w:cs="Times New Roman"/>
                    <w:kern w:val="2"/>
                    <w:sz w:val="24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kern w:val="2"/>
                    <w:sz w:val="24"/>
                  </w:rPr>
                  <m:t>ij</m:t>
                </m:r>
                <m:ctrlPr>
                  <w:rPr>
                    <w:rFonts w:ascii="Cambria Math" w:hAnsi="Cambria Math" w:cs="Times New Roman"/>
                    <w:kern w:val="2"/>
                    <w:sz w:val="24"/>
                  </w:rPr>
                </m:ctrlPr>
              </m:sub>
            </m:sSub>
            <m:ctrlPr>
              <w:rPr>
                <w:rFonts w:ascii="Cambria Math" w:hAnsi="Cambria Math" w:cs="Times New Roman"/>
                <w:kern w:val="2"/>
                <w:sz w:val="24"/>
              </w:rPr>
            </m:ctrlPr>
          </m:e>
        </m:nary>
      </m:oMath>
      <w:r>
        <w:rPr>
          <w:rFonts w:ascii="Times New Roman" w:hAnsi="Times New Roman" w:cs="Times New Roman"/>
          <w:kern w:val="2"/>
          <w:sz w:val="24"/>
        </w:rPr>
        <w:t xml:space="preserve">                              (1)</w:t>
      </w:r>
    </w:p>
    <w:p>
      <w:pPr>
        <w:shd w:val="clear" w:color="auto" w:fill="FFFFFF"/>
        <w:spacing w:line="480" w:lineRule="auto"/>
        <w:contextualSpacing/>
        <w:jc w:val="both"/>
        <w:rPr>
          <w:rFonts w:ascii="Times New Roman" w:hAnsi="Times New Roman" w:cs="Times New Roman"/>
          <w:kern w:val="2"/>
          <w:sz w:val="24"/>
        </w:rPr>
      </w:pPr>
      <w:r>
        <w:rPr>
          <w:rFonts w:ascii="Times New Roman" w:hAnsi="Times New Roman" w:cs="Times New Roman"/>
          <w:kern w:val="2"/>
          <w:sz w:val="24"/>
        </w:rPr>
        <w:t>where aij is the element (i,j) in the network. Degree is a simple measurement of connectivity of a node with the rest of nodes in a network.</w:t>
      </w:r>
    </w:p>
    <w:p>
      <w:pPr>
        <w:shd w:val="clear" w:color="auto" w:fill="FFFFFF"/>
        <w:spacing w:line="480" w:lineRule="auto"/>
        <w:contextualSpacing/>
        <w:jc w:val="both"/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spacing w:line="480" w:lineRule="auto"/>
        <w:contextualSpacing/>
        <w:jc w:val="both"/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 xml:space="preserve">The betweenness centrality of node is measured as </w:t>
      </w: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instrText xml:space="preserve"> ADDIN EN.CITE &lt;EndNote&gt;&lt;Cite&gt;&lt;Author&gt;Freeman&lt;/Author&gt;&lt;Year&gt;1977&lt;/Year&gt;&lt;RecNum&gt;366&lt;/RecNum&gt;&lt;DisplayText&gt;[1]&lt;/DisplayText&gt;&lt;record&gt;&lt;rec-number&gt;366&lt;/rec-number&gt;&lt;foreign-keys&gt;&lt;key app="EN" db-id="vddrxv22fzp028edze6x5e2r9v0fvf5tvep2" timestamp="1534211635"&gt;366&lt;/key&gt;&lt;/foreign-keys&gt;&lt;ref-type name="Journal Article"&gt;17&lt;/ref-type&gt;&lt;contributors&gt;&lt;authors&gt;&lt;author&gt;Freeman, Linton C&lt;/author&gt;&lt;/authors&gt;&lt;/contributors&gt;&lt;titles&gt;&lt;title&gt;A set of measures of centrality based on betweenness&lt;/title&gt;&lt;secondary-title&gt;Sociometry&lt;/secondary-title&gt;&lt;/titles&gt;&lt;periodical&gt;&lt;full-title&gt;Sociometry&lt;/full-title&gt;&lt;/periodical&gt;&lt;pages&gt;35-41&lt;/pages&gt;&lt;volume&gt;40&lt;/volume&gt;&lt;number&gt;1&lt;/number&gt;&lt;dates&gt;&lt;year&gt;1977&lt;/year&gt;&lt;/dates&gt;&lt;urls&gt;&lt;/urls&gt;&lt;/record&gt;&lt;/Cite&gt;&lt;/EndNote&gt;</w:instrText>
      </w: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[1]</w:t>
      </w: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:</w:t>
      </w:r>
    </w:p>
    <w:p>
      <w:pPr>
        <w:shd w:val="clear" w:color="auto" w:fill="FFFFFF"/>
        <w:spacing w:line="480" w:lineRule="auto"/>
        <w:contextualSpacing/>
        <w:jc w:val="both"/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 xml:space="preserve">   </w:t>
      </w:r>
      <m:oMath>
        <m:sSub>
          <m:sSubPr>
            <m:ctrl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m:t>BC</m:t>
            </m:r>
            <m:ctrl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m:t>i</m:t>
            </m:r>
            <m:ctrl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kern w:val="2"/>
            <w:sz w:val="24"/>
            <w14:textFill>
              <w14:solidFill>
                <w14:schemeClr w14:val="tx1"/>
              </w14:solidFill>
            </w14:textFill>
          </w:rPr>
          <m:t>=</m:t>
        </m:r>
        <m:nary>
          <m:naryPr>
            <m:chr m:val="∑"/>
            <m:limLoc m:val="undOvr"/>
            <m:supHide m:val="1"/>
            <m:ctrl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m:t>m≠i≠n∈G</m:t>
            </m:r>
            <m:ctrl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ub>
          <m:sup>
            <m:ctrl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up>
          <m:e>
            <m:f>
              <m:fPr>
                <m:ctrlPr>
                  <w:rPr>
                    <w:rFonts w:ascii="Cambria Math" w:hAnsi="Cambria Math" w:cs="Times New Roman"/>
                    <w:color w:val="000000" w:themeColor="text1"/>
                    <w:kern w:val="2"/>
                    <w:sz w:val="24"/>
                    <w14:textFill>
                      <w14:solidFill>
                        <w14:schemeClr w14:val="tx1"/>
                      </w14:solidFill>
                    </w14:textFill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color w:val="000000" w:themeColor="text1"/>
                        <w:kern w:val="2"/>
                        <w:sz w:val="24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kern w:val="2"/>
                        <w:sz w:val="24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σ</m:t>
                    </m:r>
                    <m:ctrlPr>
                      <w:rPr>
                        <w:rFonts w:ascii="Cambria Math" w:hAnsi="Cambria Math" w:cs="Times New Roman"/>
                        <w:color w:val="000000" w:themeColor="text1"/>
                        <w:kern w:val="2"/>
                        <w:sz w:val="24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kern w:val="2"/>
                        <w:sz w:val="24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mn</m:t>
                    </m:r>
                    <m:ctrlPr>
                      <w:rPr>
                        <w:rFonts w:ascii="Cambria Math" w:hAnsi="Cambria Math" w:cs="Times New Roman"/>
                        <w:color w:val="000000" w:themeColor="text1"/>
                        <w:kern w:val="2"/>
                        <w:sz w:val="24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kern w:val="2"/>
                    <w:sz w:val="24"/>
                    <w14:textFill>
                      <w14:solidFill>
                        <w14:schemeClr w14:val="tx1"/>
                      </w14:solidFill>
                    </w14:textFill>
                  </w:rPr>
                  <m:t>(i)</m:t>
                </m:r>
                <m:ctrlPr>
                  <w:rPr>
                    <w:rFonts w:ascii="Cambria Math" w:hAnsi="Cambria Math" w:cs="Times New Roman"/>
                    <w:color w:val="000000" w:themeColor="text1"/>
                    <w:kern w:val="2"/>
                    <w:sz w:val="24"/>
                    <w14:textFill>
                      <w14:solidFill>
                        <w14:schemeClr w14:val="tx1"/>
                      </w14:solidFill>
                    </w14:textFill>
                  </w:rPr>
                </m:ctrlPr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color w:val="000000" w:themeColor="text1"/>
                        <w:kern w:val="2"/>
                        <w:sz w:val="24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kern w:val="2"/>
                        <w:sz w:val="24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σ</m:t>
                    </m:r>
                    <m:ctrlPr>
                      <w:rPr>
                        <w:rFonts w:ascii="Cambria Math" w:hAnsi="Cambria Math" w:cs="Times New Roman"/>
                        <w:color w:val="000000" w:themeColor="text1"/>
                        <w:kern w:val="2"/>
                        <w:sz w:val="24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kern w:val="2"/>
                        <w:sz w:val="24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mn</m:t>
                    </m:r>
                    <m:ctrlPr>
                      <w:rPr>
                        <w:rFonts w:ascii="Cambria Math" w:hAnsi="Cambria Math" w:cs="Times New Roman"/>
                        <w:color w:val="000000" w:themeColor="text1"/>
                        <w:kern w:val="2"/>
                        <w:sz w:val="24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sub>
                </m:sSub>
                <m:ctrlPr>
                  <w:rPr>
                    <w:rFonts w:ascii="Cambria Math" w:hAnsi="Cambria Math" w:cs="Times New Roman"/>
                    <w:color w:val="000000" w:themeColor="text1"/>
                    <w:kern w:val="2"/>
                    <w:sz w:val="24"/>
                    <w14:textFill>
                      <w14:solidFill>
                        <w14:schemeClr w14:val="tx1"/>
                      </w14:solidFill>
                    </w14:textFill>
                  </w:rPr>
                </m:ctrlPr>
              </m:den>
            </m:f>
            <m:ctrl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e>
        </m:nary>
      </m:oMath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 xml:space="preserve">                          (2)</w:t>
      </w:r>
    </w:p>
    <w:p>
      <w:pPr>
        <w:shd w:val="clear" w:color="auto" w:fill="FFFFFF"/>
        <w:spacing w:line="480" w:lineRule="auto"/>
        <w:contextualSpacing/>
        <w:jc w:val="both"/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where σmn is the total number of shortest paths (paths with the shortest path length) from node m to node n, and σmn(i) is the number of shortest paths from node m to node n that pass through the node i. Betweenness centrality of a node captures the influence of the node over information flow between all the other nodes in the network.</w:t>
      </w:r>
    </w:p>
    <w:p>
      <w:pPr>
        <w:shd w:val="clear" w:color="auto" w:fill="FFFFFF"/>
        <w:spacing w:line="480" w:lineRule="auto"/>
        <w:contextualSpacing/>
        <w:jc w:val="both"/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spacing w:line="480" w:lineRule="auto"/>
        <w:contextualSpacing/>
        <w:jc w:val="both"/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 xml:space="preserve">The Clustering coefficient of node is measured as </w:t>
      </w: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instrText xml:space="preserve"> ADDIN EN.CITE &lt;EndNote&gt;&lt;Cite&gt;&lt;Author&gt;Mp&lt;/Author&gt;&lt;Year&gt;2009&lt;/Year&gt;&lt;RecNum&gt;410&lt;/RecNum&gt;&lt;DisplayText&gt;[2]&lt;/DisplayText&gt;&lt;record&gt;&lt;rec-number&gt;410&lt;/rec-number&gt;&lt;foreign-keys&gt;&lt;key app="EN" db-id="vddrxv22fzp028edze6x5e2r9v0fvf5tvep2" timestamp="1536722814"&gt;410&lt;/key&gt;&lt;/foreign-keys&gt;&lt;ref-type name="Journal Article"&gt;17&lt;/ref-type&gt;&lt;contributors&gt;&lt;authors&gt;&lt;author&gt;Mp, Van Den Heuvel&lt;/author&gt;&lt;author&gt;Stam, C. J.&lt;/author&gt;&lt;author&gt;Kahn, R. S.&lt;/author&gt;&lt;author&gt;Hulshoff Pol, H. E.&lt;/author&gt;&lt;/authors&gt;&lt;/contributors&gt;&lt;titles&gt;&lt;title&gt;Efficiency of functional brain networks and intellectual performance&lt;/title&gt;&lt;secondary-title&gt;Journal of Neuroscience&lt;/secondary-title&gt;&lt;/titles&gt;&lt;periodical&gt;&lt;full-title&gt;Journal of Neuroscience&lt;/full-title&gt;&lt;/periodical&gt;&lt;pages&gt;7619-7624&lt;/pages&gt;&lt;volume&gt;29&lt;/volume&gt;&lt;number&gt;23&lt;/number&gt;&lt;keywords&gt;&lt;keyword&gt;Humans&lt;/keyword&gt;&lt;keyword&gt;Brain&lt;/keyword&gt;&lt;keyword&gt;Neural Pathways&lt;/keyword&gt;&lt;keyword&gt;Magnetic Resonance Imaging&lt;/keyword&gt;&lt;keyword&gt;Cluster Analysis&lt;/keyword&gt;&lt;keyword&gt;Linear Models&lt;/keyword&gt;&lt;keyword&gt;Intelligence&lt;/keyword&gt;&lt;keyword&gt;Intelligence Tests&lt;/keyword&gt;&lt;keyword&gt;Adult&lt;/keyword&gt;&lt;keyword&gt;Female&lt;/keyword&gt;&lt;/keywords&gt;&lt;dates&gt;&lt;year&gt;2009&lt;/year&gt;&lt;/dates&gt;&lt;urls&gt;&lt;/urls&gt;&lt;/record&gt;&lt;/Cite&gt;&lt;/EndNote&gt;</w:instrText>
      </w: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[2]</w:t>
      </w: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:</w:t>
      </w:r>
    </w:p>
    <w:p>
      <w:pPr>
        <w:shd w:val="clear" w:color="auto" w:fill="FFFFFF"/>
        <w:spacing w:line="480" w:lineRule="auto"/>
        <w:contextualSpacing/>
        <w:jc w:val="both"/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 xml:space="preserve">   </w:t>
      </w:r>
      <m:oMath>
        <m:sSub>
          <m:sSubPr>
            <m:ctrl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m:t>C</m:t>
            </m:r>
            <m:ctrl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m:t>i</m:t>
            </m:r>
            <m:ctrl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kern w:val="2"/>
            <w:sz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hAnsi="Cambria Math" w:eastAsia="宋体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eastAsia="宋体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m:t>ei</m:t>
            </m:r>
            <m:ctrlPr>
              <w:rPr>
                <w:rFonts w:ascii="Cambria Math" w:hAnsi="Cambria Math" w:eastAsia="宋体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num>
          <m:den>
            <m:r>
              <m:rPr>
                <m:sty m:val="p"/>
              </m:rPr>
              <w:rPr>
                <w:rFonts w:ascii="Cambria Math" w:hAnsi="Cambria Math" w:eastAsia="宋体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m:t>Ki(Ki−1)/2</m:t>
            </m:r>
            <m:ctrlPr>
              <w:rPr>
                <w:rFonts w:ascii="Cambria Math" w:hAnsi="Cambria Math" w:eastAsia="宋体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den>
        </m:f>
      </m:oMath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 xml:space="preserve">                                (3)</w:t>
      </w:r>
    </w:p>
    <w:p>
      <w:pPr>
        <w:shd w:val="clear" w:color="auto" w:fill="FFFFFF"/>
        <w:spacing w:line="480" w:lineRule="auto"/>
        <w:contextualSpacing/>
        <w:jc w:val="both"/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where ei is the number of edges in the subgraph G. The clustering coefﬁcient of the network C is the mean of C</w:t>
      </w:r>
      <w:r>
        <w:rPr>
          <w:rFonts w:ascii="Times New Roman" w:hAnsi="Times New Roman" w:cs="Times New Roman"/>
          <w:color w:val="000000" w:themeColor="text1"/>
          <w:kern w:val="2"/>
          <w:sz w:val="24"/>
          <w:vertAlign w:val="subscript"/>
          <w14:textFill>
            <w14:solidFill>
              <w14:schemeClr w14:val="tx1"/>
            </w14:solidFill>
          </w14:textFill>
        </w:rPr>
        <w:t>i</w:t>
      </w: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 xml:space="preserve"> of all the nodes in the network.</w:t>
      </w:r>
    </w:p>
    <w:p>
      <w:pPr>
        <w:shd w:val="clear" w:color="auto" w:fill="FFFFFF"/>
        <w:spacing w:line="480" w:lineRule="auto"/>
        <w:contextualSpacing/>
        <w:jc w:val="both"/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spacing w:line="480" w:lineRule="auto"/>
        <w:contextualSpacing/>
        <w:jc w:val="both"/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 xml:space="preserve">The Minimum path length is measured as </w:t>
      </w: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instrText xml:space="preserve"> ADDIN EN.CITE &lt;EndNote&gt;&lt;Cite&gt;&lt;Author&gt;Wang&lt;/Author&gt;&lt;Year&gt;2010&lt;/Year&gt;&lt;RecNum&gt;411&lt;/RecNum&gt;&lt;DisplayText&gt;[3]&lt;/DisplayText&gt;&lt;record&gt;&lt;rec-number&gt;411&lt;/rec-number&gt;&lt;foreign-keys&gt;&lt;key app="EN" db-id="vddrxv22fzp028edze6x5e2r9v0fvf5tvep2" timestamp="1536722814"&gt;411&lt;/key&gt;&lt;/foreign-keys&gt;&lt;ref-type name="Journal Article"&gt;17&lt;/ref-type&gt;&lt;contributors&gt;&lt;authors&gt;&lt;author&gt;Wang, Jinhui&lt;/author&gt;&lt;author&gt;Zuo, Xinian&lt;/author&gt;&lt;author&gt;He, Yong&lt;/author&gt;&lt;/authors&gt;&lt;/contributors&gt;&lt;titles&gt;&lt;title&gt;Graph-Based Network Analysis of Resting-State Functional MRI&lt;/title&gt;&lt;secondary-title&gt;Frontiers in Systems Neuroscience&lt;/secondary-title&gt;&lt;/titles&gt;&lt;periodical&gt;&lt;full-title&gt;Frontiers in Systems Neuroscience&lt;/full-title&gt;&lt;/periodical&gt;&lt;pages&gt;16&lt;/pages&gt;&lt;volume&gt;4&lt;/volume&gt;&lt;number&gt;16&lt;/number&gt;&lt;keywords&gt;&lt;keyword&gt;resting-state&lt;/keyword&gt;&lt;keyword&gt;functional connectivity&lt;/keyword&gt;&lt;keyword&gt;human connectome&lt;/keyword&gt;&lt;keyword&gt;small-world&lt;/keyword&gt;&lt;keyword&gt;functional MRI&lt;/keyword&gt;&lt;keyword&gt;graph theory&lt;/keyword&gt;&lt;keyword&gt;brain&lt;/keyword&gt;&lt;keyword&gt;network&lt;/keyword&gt;&lt;/keywords&gt;&lt;dates&gt;&lt;year&gt;2010&lt;/year&gt;&lt;/dates&gt;&lt;urls&gt;&lt;/urls&gt;&lt;/record&gt;&lt;/Cite&gt;&lt;/EndNote&gt;</w:instrText>
      </w: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[3]</w:t>
      </w: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:</w:t>
      </w:r>
    </w:p>
    <w:p>
      <w:pPr>
        <w:shd w:val="clear" w:color="auto" w:fill="FFFFFF"/>
        <w:spacing w:line="480" w:lineRule="auto"/>
        <w:ind w:firstLine="240" w:firstLineChars="100"/>
        <w:contextualSpacing/>
        <w:jc w:val="both"/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  <m:oMath>
        <m:sSub>
          <m:sSubPr>
            <m:ctrl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m:t>L</m:t>
            </m:r>
            <m:ctrl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m:t>i</m:t>
            </m:r>
            <m:ctrl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kern w:val="2"/>
            <w:sz w:val="24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m:t>1</m:t>
            </m:r>
            <m:ctrl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num>
          <m:den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m:t>N−1</m:t>
            </m:r>
            <m:ctrl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den>
        </m:f>
        <m:nary>
          <m:naryPr>
            <m:chr m:val="∑"/>
            <m:limLoc m:val="undOvr"/>
            <m:supHide m:val="1"/>
            <m:ctrl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m:t>i≠j∈G</m:t>
            </m:r>
            <m:ctrl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ub>
          <m:sup>
            <m:ctrl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up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m:t>min</m:t>
            </m:r>
            <m:d>
              <m:dPr>
                <m:begChr m:val="{"/>
                <m:endChr m:val="}"/>
                <m:ctrlPr>
                  <w:rPr>
                    <w:rFonts w:ascii="Cambria Math" w:hAnsi="Cambria Math" w:cs="Times New Roman"/>
                    <w:color w:val="000000" w:themeColor="text1"/>
                    <w:kern w:val="2"/>
                    <w:sz w:val="24"/>
                    <w14:textFill>
                      <w14:solidFill>
                        <w14:schemeClr w14:val="tx1"/>
                      </w14:solidFill>
                    </w14:textFill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color w:val="000000" w:themeColor="text1"/>
                        <w:kern w:val="2"/>
                        <w:sz w:val="24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kern w:val="2"/>
                        <w:sz w:val="24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L</m:t>
                    </m:r>
                    <m:ctrlPr>
                      <w:rPr>
                        <w:rFonts w:ascii="Cambria Math" w:hAnsi="Cambria Math" w:cs="Times New Roman"/>
                        <w:color w:val="000000" w:themeColor="text1"/>
                        <w:kern w:val="2"/>
                        <w:sz w:val="24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kern w:val="2"/>
                        <w:sz w:val="24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i,j</m:t>
                    </m:r>
                    <m:ctrlPr>
                      <w:rPr>
                        <w:rFonts w:ascii="Cambria Math" w:hAnsi="Cambria Math" w:cs="Times New Roman"/>
                        <w:color w:val="000000" w:themeColor="text1"/>
                        <w:kern w:val="2"/>
                        <w:sz w:val="24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sub>
                </m:sSub>
                <m:ctrlPr>
                  <w:rPr>
                    <w:rFonts w:ascii="Cambria Math" w:hAnsi="Cambria Math" w:cs="Times New Roman"/>
                    <w:color w:val="000000" w:themeColor="text1"/>
                    <w:kern w:val="2"/>
                    <w:sz w:val="24"/>
                    <w14:textFill>
                      <w14:solidFill>
                        <w14:schemeClr w14:val="tx1"/>
                      </w14:solidFill>
                    </w14:textFill>
                  </w:rPr>
                </m:ctrlPr>
              </m:e>
            </m:d>
            <m:ctrlPr>
              <w:rPr>
                <w:rFonts w:ascii="Cambria Math" w:hAnsi="Cambria Math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e>
        </m:nary>
      </m:oMath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 xml:space="preserve">                       (4)</w:t>
      </w:r>
    </w:p>
    <w:p>
      <w:pPr>
        <w:shd w:val="clear" w:color="auto" w:fill="FFFFFF"/>
        <w:spacing w:line="480" w:lineRule="auto"/>
        <w:contextualSpacing/>
        <w:jc w:val="both"/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where min {L</w:t>
      </w:r>
      <w:r>
        <w:rPr>
          <w:rFonts w:ascii="Times New Roman" w:hAnsi="Times New Roman" w:cs="Times New Roman"/>
          <w:color w:val="000000" w:themeColor="text1"/>
          <w:kern w:val="2"/>
          <w:sz w:val="24"/>
          <w:vertAlign w:val="subscript"/>
          <w14:textFill>
            <w14:solidFill>
              <w14:schemeClr w14:val="tx1"/>
            </w14:solidFill>
          </w14:textFill>
        </w:rPr>
        <w:t>i,j</w:t>
      </w: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} is the shortest absolute path length between node i and node j,and the absolute path length is the number of edges included in the path connecting two nodes. The characteristic path length L is the mean of L</w:t>
      </w:r>
      <w:r>
        <w:rPr>
          <w:rFonts w:ascii="Times New Roman" w:hAnsi="Times New Roman" w:cs="Times New Roman"/>
          <w:color w:val="000000" w:themeColor="text1"/>
          <w:kern w:val="2"/>
          <w:sz w:val="24"/>
          <w:vertAlign w:val="subscript"/>
          <w14:textFill>
            <w14:solidFill>
              <w14:schemeClr w14:val="tx1"/>
            </w14:solidFill>
          </w14:textFill>
        </w:rPr>
        <w:t>i</w:t>
      </w: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 xml:space="preserve"> of all the nodes in the network.</w:t>
      </w:r>
    </w:p>
    <w:p>
      <w:pPr>
        <w:spacing w:line="480" w:lineRule="auto"/>
        <w:contextualSpacing/>
        <w:jc w:val="both"/>
        <w:rPr>
          <w:rFonts w:ascii="Times New Roman" w:hAnsi="Times New Roman" w:cs="Times New Roman"/>
          <w:sz w:val="24"/>
        </w:rPr>
      </w:pPr>
    </w:p>
    <w:p>
      <w:pPr>
        <w:shd w:val="clear" w:color="auto" w:fill="FFFFFF"/>
        <w:spacing w:line="48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rand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and L</w:t>
      </w:r>
      <w:r>
        <w:rPr>
          <w:rFonts w:ascii="Times New Roman" w:hAnsi="Times New Roman" w:cs="Times New Roman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rand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were calculated as the averaged clustering coefﬁcient and characteristic path length of a set of 100 random networks with the same degree distribution as that of the examined functional connectivity network 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instrText xml:space="preserve"> ADDIN EN.CITE &lt;EndNote&gt;&lt;Cite&gt;&lt;Author&gt;Mp&lt;/Author&gt;&lt;Year&gt;2009&lt;/Year&gt;&lt;RecNum&gt;393&lt;/RecNum&gt;&lt;DisplayText&gt;[2]&lt;/DisplayText&gt;&lt;record&gt;&lt;rec-number&gt;393&lt;/rec-number&gt;&lt;foreign-keys&gt;&lt;key app="EN" db-id="vddrxv22fzp028edze6x5e2r9v0fvf5tvep2" timestamp="1535336509"&gt;393&lt;/key&gt;&lt;/foreign-keys&gt;&lt;ref-type name="Journal Article"&gt;17&lt;/ref-type&gt;&lt;contributors&gt;&lt;authors&gt;&lt;author&gt;Mp, Van Den Heuvel&lt;/author&gt;&lt;author&gt;Stam, C. J.&lt;/author&gt;&lt;author&gt;Kahn, R. S.&lt;/author&gt;&lt;author&gt;Hulshoff Pol, H. E.&lt;/author&gt;&lt;/authors&gt;&lt;/contributors&gt;&lt;titles&gt;&lt;title&gt;Efficiency of functional brain networks and intellectual performance&lt;/title&gt;&lt;secondary-title&gt;Journal of Neuroscience&lt;/secondary-title&gt;&lt;/titles&gt;&lt;periodical&gt;&lt;full-title&gt;Journal of Neuroscience&lt;/full-title&gt;&lt;/periodical&gt;&lt;pages&gt;7619-7624&lt;/pages&gt;&lt;volume&gt;29&lt;/volume&gt;&lt;number&gt;23&lt;/number&gt;&lt;keywords&gt;&lt;keyword&gt;Humans&lt;/keyword&gt;&lt;keyword&gt;Brain&lt;/keyword&gt;&lt;keyword&gt;Neural Pathways&lt;/keyword&gt;&lt;keyword&gt;Magnetic Resonance Imaging&lt;/keyword&gt;&lt;keyword&gt;Cluster Analysis&lt;/keyword&gt;&lt;keyword&gt;Linear Models&lt;/keyword&gt;&lt;keyword&gt;Intelligence&lt;/keyword&gt;&lt;keyword&gt;Intelligence Tests&lt;/keyword&gt;&lt;keyword&gt;Adult&lt;/keyword&gt;&lt;keyword&gt;Female&lt;/keyword&gt;&lt;/keywords&gt;&lt;dates&gt;&lt;year&gt;2009&lt;/year&gt;&lt;/dates&gt;&lt;urls&gt;&lt;/urls&gt;&lt;/record&gt;&lt;/Cite&gt;&lt;/EndNote&gt;</w:instrTex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[2]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. The random networks were generated based on a Markov-chain algorithm.</w:t>
      </w:r>
    </w:p>
    <w:p>
      <w:pPr>
        <w:shd w:val="clear" w:color="auto" w:fill="FFFFFF"/>
        <w:spacing w:line="480" w:lineRule="auto"/>
        <w:contextualSpacing/>
        <w:jc w:val="both"/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 xml:space="preserve">2. Associations between the ShaoYin scores </w:t>
      </w:r>
      <w:r>
        <w:rPr>
          <w:rFonts w:ascii="Times New Roman" w:hAnsi="Times New Roman" w:cs="Times New Roman"/>
          <w:b/>
          <w:bCs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 xml:space="preserve">and </w:t>
      </w:r>
      <w:r>
        <w:rPr>
          <w:rFonts w:ascii="Times New Roman" w:hAnsi="Times New Roman" w:cs="Times New Roman"/>
          <w:b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global</w:t>
      </w:r>
      <w:r>
        <w:rPr>
          <w:rFonts w:ascii="Times New Roman" w:hAnsi="Times New Roman" w:cs="Times New Roman"/>
          <w:b/>
          <w:bCs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 xml:space="preserve"> network metrics</w:t>
      </w:r>
    </w:p>
    <w:tbl>
      <w:tblPr>
        <w:tblStyle w:val="11"/>
        <w:tblW w:w="699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1650"/>
        <w:gridCol w:w="1222"/>
        <w:gridCol w:w="1119"/>
        <w:gridCol w:w="974"/>
        <w:gridCol w:w="150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530" w:type="dxa"/>
            <w:tcBorders>
              <w:top w:val="single" w:color="000000" w:sz="8" w:space="0"/>
              <w:bottom w:val="single" w:color="000000" w:sz="8" w:space="0"/>
            </w:tcBorders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tcBorders>
              <w:top w:val="single" w:color="000000" w:sz="8" w:space="0"/>
              <w:bottom w:val="single" w:color="000000" w:sz="8" w:space="0"/>
            </w:tcBorders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w:t>Personality dimension</w:t>
            </w:r>
          </w:p>
        </w:tc>
        <w:tc>
          <w:tcPr>
            <w:tcW w:w="1222" w:type="dxa"/>
            <w:tcBorders>
              <w:top w:val="single" w:color="000000" w:sz="8" w:space="0"/>
              <w:bottom w:val="single" w:color="000000" w:sz="8" w:space="0"/>
            </w:tcBorders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w:t>Global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metrics</w:t>
            </w:r>
          </w:p>
        </w:tc>
        <w:tc>
          <w:tcPr>
            <w:tcW w:w="1119" w:type="dxa"/>
            <w:tcBorders>
              <w:top w:val="single" w:color="000000" w:sz="8" w:space="0"/>
              <w:bottom w:val="single" w:color="000000" w:sz="8" w:space="0"/>
            </w:tcBorders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w:t>Sparsity</w:t>
            </w:r>
          </w:p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974" w:type="dxa"/>
            <w:tcBorders>
              <w:top w:val="single" w:color="000000" w:sz="8" w:space="0"/>
              <w:bottom w:val="single" w:color="000000" w:sz="8" w:space="0"/>
            </w:tcBorders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502" w:type="dxa"/>
            <w:tcBorders>
              <w:top w:val="single" w:color="000000" w:sz="8" w:space="0"/>
              <w:bottom w:val="single" w:color="000000" w:sz="8" w:space="0"/>
            </w:tcBorders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w:t>Adjusted</w:t>
            </w:r>
            <w: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p-value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530" w:type="dxa"/>
            <w:tcBorders>
              <w:top w:val="single" w:color="000000" w:sz="8" w:space="0"/>
            </w:tcBorders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50" w:type="dxa"/>
            <w:tcBorders>
              <w:top w:val="single" w:color="000000" w:sz="8" w:space="0"/>
            </w:tcBorders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w:t>Shao Yin</w:t>
            </w:r>
          </w:p>
        </w:tc>
        <w:tc>
          <w:tcPr>
            <w:tcW w:w="1222" w:type="dxa"/>
            <w:tcBorders>
              <w:top w:val="single" w:color="000000" w:sz="8" w:space="0"/>
            </w:tcBorders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</w:rPr>
              <w:t>γ</w:t>
            </w:r>
          </w:p>
        </w:tc>
        <w:tc>
          <w:tcPr>
            <w:tcW w:w="1119" w:type="dxa"/>
            <w:tcBorders>
              <w:top w:val="single" w:color="000000" w:sz="8" w:space="0"/>
            </w:tcBorders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974" w:type="dxa"/>
            <w:tcBorders>
              <w:top w:val="single" w:color="000000" w:sz="8" w:space="0"/>
            </w:tcBorders>
            <w:vAlign w:val="center"/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w:t>0.209</w:t>
            </w:r>
          </w:p>
        </w:tc>
        <w:tc>
          <w:tcPr>
            <w:tcW w:w="1502" w:type="dxa"/>
            <w:tcBorders>
              <w:top w:val="single" w:color="000000" w:sz="8" w:space="0"/>
            </w:tcBorders>
            <w:vAlign w:val="center"/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w:t>0.044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7" w:hRule="atLeast"/>
          <w:jc w:val="center"/>
        </w:trPr>
        <w:tc>
          <w:tcPr>
            <w:tcW w:w="530" w:type="dxa"/>
            <w:tcBorders>
              <w:bottom w:val="nil"/>
            </w:tcBorders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50" w:type="dxa"/>
            <w:tcBorders>
              <w:bottom w:val="nil"/>
            </w:tcBorders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tcBorders>
              <w:bottom w:val="nil"/>
            </w:tcBorders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</w:rPr>
              <w:t>γ</w:t>
            </w:r>
          </w:p>
        </w:tc>
        <w:tc>
          <w:tcPr>
            <w:tcW w:w="1119" w:type="dxa"/>
            <w:tcBorders>
              <w:bottom w:val="nil"/>
            </w:tcBorders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974" w:type="dxa"/>
            <w:tcBorders>
              <w:bottom w:val="nil"/>
            </w:tcBorders>
            <w:vAlign w:val="center"/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w:t>0.199</w:t>
            </w:r>
          </w:p>
        </w:tc>
        <w:tc>
          <w:tcPr>
            <w:tcW w:w="1502" w:type="dxa"/>
            <w:tcBorders>
              <w:bottom w:val="nil"/>
            </w:tcBorders>
            <w:vAlign w:val="center"/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w:t>0.044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530" w:type="dxa"/>
            <w:tcBorders>
              <w:top w:val="nil"/>
              <w:bottom w:val="single" w:color="auto" w:sz="4" w:space="0"/>
            </w:tcBorders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50" w:type="dxa"/>
            <w:tcBorders>
              <w:top w:val="nil"/>
              <w:bottom w:val="single" w:color="auto" w:sz="4" w:space="0"/>
            </w:tcBorders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2" w:type="dxa"/>
            <w:tcBorders>
              <w:top w:val="nil"/>
              <w:bottom w:val="single" w:color="auto" w:sz="4" w:space="0"/>
            </w:tcBorders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</w:rPr>
              <w:t>γ</w:t>
            </w:r>
          </w:p>
        </w:tc>
        <w:tc>
          <w:tcPr>
            <w:tcW w:w="1119" w:type="dxa"/>
            <w:tcBorders>
              <w:top w:val="nil"/>
              <w:bottom w:val="single" w:color="auto" w:sz="4" w:space="0"/>
            </w:tcBorders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97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w:t>0.197</w:t>
            </w:r>
          </w:p>
        </w:tc>
        <w:tc>
          <w:tcPr>
            <w:tcW w:w="1502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14:textFill>
                  <w14:solidFill>
                    <w14:schemeClr w14:val="tx1"/>
                  </w14:solidFill>
                </w14:textFill>
              </w:rPr>
              <w:t>0.044</w:t>
            </w:r>
          </w:p>
        </w:tc>
      </w:tr>
    </w:tbl>
    <w:p>
      <w:pPr>
        <w:shd w:val="clear" w:color="auto" w:fill="FFFFFF"/>
        <w:spacing w:line="480" w:lineRule="auto"/>
        <w:contextualSpacing/>
        <w:jc w:val="both"/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Abbreviations: γ represents normalized cluster coefficient.</w:t>
      </w:r>
    </w:p>
    <w:p>
      <w:pPr>
        <w:shd w:val="clear" w:color="auto" w:fill="FFFFFF"/>
        <w:spacing w:line="480" w:lineRule="auto"/>
        <w:contextualSpacing/>
        <w:jc w:val="both"/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spacing w:line="48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3. Small-wordness in different sparsities</w:t>
      </w:r>
    </w:p>
    <w:p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3675" cy="4088765"/>
            <wp:effectExtent l="0" t="0" r="3175" b="6985"/>
            <wp:docPr id="1" name="图片 2" descr="small-wworldn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small-wworldness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08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480" w:lineRule="auto"/>
        <w:contextualSpacing/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Abbreviations: σ represents small-wordness. The sparsity was computed over the range of 0.05 ≤ T ≤ 0.40 (interval=0.01).</w:t>
      </w:r>
    </w:p>
    <w:p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References</w:t>
      </w:r>
    </w:p>
    <w:p>
      <w:pPr>
        <w:pStyle w:val="14"/>
        <w:spacing w:line="480" w:lineRule="auto"/>
        <w:ind w:left="720" w:hanging="7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宋体" w:cs="Times New Roman"/>
          <w:kern w:val="2"/>
          <w:sz w:val="24"/>
        </w:rPr>
        <w:fldChar w:fldCharType="begin"/>
      </w:r>
      <w:r>
        <w:rPr>
          <w:rFonts w:ascii="Times New Roman" w:hAnsi="Times New Roman" w:eastAsia="宋体" w:cs="Times New Roman"/>
          <w:kern w:val="2"/>
          <w:sz w:val="24"/>
        </w:rPr>
        <w:instrText xml:space="preserve"> ADDIN EN.REFLIST </w:instrText>
      </w:r>
      <w:r>
        <w:rPr>
          <w:rFonts w:ascii="Times New Roman" w:hAnsi="Times New Roman" w:eastAsia="宋体" w:cs="Times New Roman"/>
          <w:kern w:val="2"/>
          <w:sz w:val="24"/>
        </w:rPr>
        <w:fldChar w:fldCharType="separate"/>
      </w:r>
      <w:r>
        <w:rPr>
          <w:rFonts w:ascii="Times New Roman" w:hAnsi="Times New Roman" w:cs="Times New Roman"/>
          <w:sz w:val="24"/>
        </w:rPr>
        <w:t>1.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Freeman, L.C., A set of measures of centrality based on betweenness. Sociometry, 1977. 40(1): p. 35-41.</w:t>
      </w:r>
    </w:p>
    <w:p>
      <w:pPr>
        <w:pStyle w:val="14"/>
        <w:spacing w:line="480" w:lineRule="auto"/>
        <w:ind w:left="720" w:hanging="7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Mp, V.D.H., C.J. Stam, R.S. Kahn, and H.E. Hulshoff Pol, Efficiency of functional brain networks and intellectual performance. Journal of Neuroscience, 2009. 29(23): p. 7619-7624.</w:t>
      </w:r>
    </w:p>
    <w:p>
      <w:pPr>
        <w:pStyle w:val="14"/>
        <w:spacing w:line="480" w:lineRule="auto"/>
        <w:ind w:left="720" w:hanging="7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Wang, J., X. Zuo, and Y. He, Graph-Based Network Analysis of Resting-State Functional MRI. Frontiers in Systems Neuroscience, 2010. 4(16): p. 16.</w:t>
      </w:r>
    </w:p>
    <w:p>
      <w:pPr>
        <w:widowControl w:val="0"/>
        <w:spacing w:line="480" w:lineRule="auto"/>
        <w:ind w:left="360" w:hanging="360" w:hangingChars="15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宋体" w:cs="Times New Roman"/>
          <w:kern w:val="2"/>
          <w:sz w:val="24"/>
        </w:rPr>
        <w:fldChar w:fldCharType="end"/>
      </w:r>
    </w:p>
    <w:sectPr>
      <w:headerReference r:id="rId4" w:type="first"/>
      <w:footerReference r:id="rId7" w:type="first"/>
      <w:footerReference r:id="rId5" w:type="default"/>
      <w:headerReference r:id="rId3" w:type="even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TimesNewRomanPS-BoldMT">
    <w:altName w:val="苹方-简"/>
    <w:panose1 w:val="020B0604020202020204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F3HKwEwIAABMEAAAOAAAAZHJz&#10;L2Uyb0RvYy54bWytU02O0zAU3iNxB8t7mrSIUVU1HZUZFSFVzEgFsXYdu7Fk+1m226QcAG7Aig17&#10;ztVz8OwkHQSsEBvni9//9z4vbzujyUn4oMBWdDopKRGWQ63soaIf3m9ezCkJkdmaabCiomcR6O3q&#10;+bNl6xZiBg3oWniCSWxYtK6iTYxuURSBN8KwMAEnLBoleMMi/vpDUXvWYnaji1lZ3hQt+Np54CIE&#10;vL3vjXSV80speHyQMohIdEWxt5hPn899OovVki0OnrlG8aEN9g9dGKYsFr2mumeRkaNXf6QyinsI&#10;IOOEgylASsVFngGnmZa/TbNrmBN5FiQnuCtN4f+l5e9Oj56ouqIzSiwzuKLL1y+Xbz8u3z+TWaKn&#10;dWGBXjuHfrF7DR2uebwPeJmm7qQ36YvzELQj0ecruaKLhKeg+Ww+L9HE0Tb+YP7iKdz5EN8IMCSB&#10;inrcXiaVnbYh9q6jS6pmYaO0zhvUlrQVvXn5qswBVwsm1xZrpCH6ZhOK3b4bJttDfcbBPPTKCI5v&#10;FBbfshAfmUcpYMMo7/iAh9SARWBAlDTgP/3tPvnjhtBKSYvSqqhF7VOi31rcXFLhCPwI9iOwR3MH&#10;qNUpPhvHM8QAH/UIpQfzETW/TjXQxCzHShWNI7yLvbzxzXCxXmeno/Pq0PQBqDvH4tbuHE9lEpHB&#10;rY8RycwcJ4J6VgbeUHl5S8MrSdL+9T97Pb3l1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BdxysBMCAAAT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 Copy chinese medicin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684B9D"/>
    <w:rsid w:val="00071356"/>
    <w:rsid w:val="001445C1"/>
    <w:rsid w:val="00145044"/>
    <w:rsid w:val="002A536B"/>
    <w:rsid w:val="002B0E59"/>
    <w:rsid w:val="002E6645"/>
    <w:rsid w:val="002F1DDA"/>
    <w:rsid w:val="00302E01"/>
    <w:rsid w:val="00333028"/>
    <w:rsid w:val="00344CD6"/>
    <w:rsid w:val="003C3F81"/>
    <w:rsid w:val="004F0DC3"/>
    <w:rsid w:val="00511BA1"/>
    <w:rsid w:val="00550652"/>
    <w:rsid w:val="005F076A"/>
    <w:rsid w:val="006307A8"/>
    <w:rsid w:val="00654F19"/>
    <w:rsid w:val="00680E37"/>
    <w:rsid w:val="006832E8"/>
    <w:rsid w:val="00684B9D"/>
    <w:rsid w:val="0070201A"/>
    <w:rsid w:val="0072758F"/>
    <w:rsid w:val="0072787B"/>
    <w:rsid w:val="008923C7"/>
    <w:rsid w:val="008C3B18"/>
    <w:rsid w:val="0095484D"/>
    <w:rsid w:val="009815F5"/>
    <w:rsid w:val="00A26445"/>
    <w:rsid w:val="00A307DD"/>
    <w:rsid w:val="00A56B09"/>
    <w:rsid w:val="00A66927"/>
    <w:rsid w:val="00AC35EF"/>
    <w:rsid w:val="00B06ECB"/>
    <w:rsid w:val="00B2434F"/>
    <w:rsid w:val="00B321A4"/>
    <w:rsid w:val="00B32710"/>
    <w:rsid w:val="00BA030D"/>
    <w:rsid w:val="00BC330B"/>
    <w:rsid w:val="00BD20A8"/>
    <w:rsid w:val="00C124D9"/>
    <w:rsid w:val="00C64266"/>
    <w:rsid w:val="00CD40EA"/>
    <w:rsid w:val="00CE19F5"/>
    <w:rsid w:val="00D432F9"/>
    <w:rsid w:val="00D77CC2"/>
    <w:rsid w:val="00DF2770"/>
    <w:rsid w:val="00E00F6F"/>
    <w:rsid w:val="00E20856"/>
    <w:rsid w:val="00E517A3"/>
    <w:rsid w:val="00E90D10"/>
    <w:rsid w:val="00EC43A7"/>
    <w:rsid w:val="00EF1567"/>
    <w:rsid w:val="00F26A2D"/>
    <w:rsid w:val="00FC0BF9"/>
    <w:rsid w:val="00FC108B"/>
    <w:rsid w:val="00FC7E7F"/>
    <w:rsid w:val="1DF8004D"/>
    <w:rsid w:val="36F71C49"/>
    <w:rsid w:val="3F6F34E6"/>
    <w:rsid w:val="5BFF446D"/>
    <w:rsid w:val="67DFBED3"/>
    <w:rsid w:val="F5FE4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60" w:lineRule="exact"/>
    </w:pPr>
    <w:rPr>
      <w:rFonts w:asciiTheme="minorHAnsi" w:hAnsiTheme="minorHAnsi" w:eastAsiaTheme="minorEastAsia" w:cstheme="minorBidi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1"/>
    <w:unhideWhenUsed/>
    <w:qFormat/>
    <w:uiPriority w:val="99"/>
  </w:style>
  <w:style w:type="paragraph" w:styleId="3">
    <w:name w:val="Balloon Text"/>
    <w:basedOn w:val="1"/>
    <w:link w:val="22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5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Title"/>
    <w:basedOn w:val="1"/>
    <w:next w:val="1"/>
    <w:link w:val="20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styleId="8">
    <w:name w:val="Hyperlink"/>
    <w:unhideWhenUsed/>
    <w:qFormat/>
    <w:uiPriority w:val="0"/>
    <w:rPr>
      <w:color w:val="0000FF"/>
      <w:u w:val="single"/>
    </w:rPr>
  </w:style>
  <w:style w:type="character" w:styleId="9">
    <w:name w:val="annotation reference"/>
    <w:basedOn w:val="7"/>
    <w:unhideWhenUsed/>
    <w:qFormat/>
    <w:uiPriority w:val="99"/>
    <w:rPr>
      <w:sz w:val="21"/>
      <w:szCs w:val="21"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EndNote Bibliography Title"/>
    <w:basedOn w:val="1"/>
    <w:link w:val="13"/>
    <w:qFormat/>
    <w:uiPriority w:val="0"/>
    <w:pPr>
      <w:jc w:val="center"/>
    </w:pPr>
    <w:rPr>
      <w:rFonts w:ascii="Calibri" w:hAnsi="Calibri" w:cs="Calibri"/>
      <w:sz w:val="20"/>
    </w:rPr>
  </w:style>
  <w:style w:type="character" w:customStyle="1" w:styleId="13">
    <w:name w:val="EndNote Bibliography Title Char"/>
    <w:basedOn w:val="7"/>
    <w:link w:val="12"/>
    <w:qFormat/>
    <w:uiPriority w:val="0"/>
    <w:rPr>
      <w:rFonts w:ascii="Calibri" w:hAnsi="Calibri" w:cs="Calibri"/>
      <w:szCs w:val="24"/>
    </w:rPr>
  </w:style>
  <w:style w:type="paragraph" w:customStyle="1" w:styleId="14">
    <w:name w:val="EndNote Bibliography"/>
    <w:basedOn w:val="1"/>
    <w:link w:val="15"/>
    <w:qFormat/>
    <w:uiPriority w:val="0"/>
    <w:pPr>
      <w:spacing w:line="240" w:lineRule="exact"/>
    </w:pPr>
    <w:rPr>
      <w:rFonts w:ascii="Calibri" w:hAnsi="Calibri" w:cs="Calibri"/>
      <w:sz w:val="20"/>
    </w:rPr>
  </w:style>
  <w:style w:type="character" w:customStyle="1" w:styleId="15">
    <w:name w:val="EndNote Bibliography Char"/>
    <w:basedOn w:val="7"/>
    <w:link w:val="14"/>
    <w:qFormat/>
    <w:uiPriority w:val="0"/>
    <w:rPr>
      <w:rFonts w:ascii="Calibri" w:hAnsi="Calibri" w:cs="Calibri"/>
      <w:szCs w:val="24"/>
    </w:rPr>
  </w:style>
  <w:style w:type="character" w:customStyle="1" w:styleId="16">
    <w:name w:val="Placeholder Text"/>
    <w:basedOn w:val="7"/>
    <w:semiHidden/>
    <w:qFormat/>
    <w:uiPriority w:val="99"/>
    <w:rPr>
      <w:color w:val="808080"/>
    </w:rPr>
  </w:style>
  <w:style w:type="character" w:customStyle="1" w:styleId="17">
    <w:name w:val="页眉 字符"/>
    <w:basedOn w:val="7"/>
    <w:link w:val="5"/>
    <w:qFormat/>
    <w:uiPriority w:val="99"/>
    <w:rPr>
      <w:kern w:val="0"/>
      <w:sz w:val="18"/>
      <w:szCs w:val="18"/>
    </w:rPr>
  </w:style>
  <w:style w:type="character" w:customStyle="1" w:styleId="18">
    <w:name w:val="页脚 字符"/>
    <w:basedOn w:val="7"/>
    <w:link w:val="4"/>
    <w:qFormat/>
    <w:uiPriority w:val="99"/>
    <w:rPr>
      <w:kern w:val="0"/>
      <w:sz w:val="18"/>
      <w:szCs w:val="18"/>
    </w:rPr>
  </w:style>
  <w:style w:type="paragraph" w:customStyle="1" w:styleId="19">
    <w:name w:val="Supplementary Material"/>
    <w:basedOn w:val="6"/>
    <w:next w:val="6"/>
    <w:qFormat/>
    <w:uiPriority w:val="0"/>
    <w:pPr>
      <w:suppressLineNumbers/>
      <w:spacing w:after="120" w:line="240" w:lineRule="auto"/>
      <w:outlineLvl w:val="9"/>
    </w:pPr>
    <w:rPr>
      <w:rFonts w:ascii="Times New Roman" w:hAnsi="Times New Roman" w:cs="Times New Roman" w:eastAsiaTheme="minorEastAsia"/>
      <w:bCs w:val="0"/>
      <w:i/>
      <w:lang w:eastAsia="en-US"/>
    </w:rPr>
  </w:style>
  <w:style w:type="character" w:customStyle="1" w:styleId="20">
    <w:name w:val="标题 字符"/>
    <w:basedOn w:val="7"/>
    <w:link w:val="6"/>
    <w:qFormat/>
    <w:uiPriority w:val="10"/>
    <w:rPr>
      <w:rFonts w:eastAsia="宋体" w:asciiTheme="majorHAnsi" w:hAnsiTheme="majorHAnsi" w:cstheme="majorBidi"/>
      <w:b/>
      <w:bCs/>
      <w:kern w:val="0"/>
      <w:sz w:val="32"/>
      <w:szCs w:val="32"/>
    </w:rPr>
  </w:style>
  <w:style w:type="character" w:customStyle="1" w:styleId="21">
    <w:name w:val="批注文字 字符"/>
    <w:basedOn w:val="7"/>
    <w:link w:val="2"/>
    <w:qFormat/>
    <w:uiPriority w:val="99"/>
    <w:rPr>
      <w:kern w:val="0"/>
      <w:szCs w:val="24"/>
    </w:rPr>
  </w:style>
  <w:style w:type="character" w:customStyle="1" w:styleId="22">
    <w:name w:val="批注框文本 字符"/>
    <w:basedOn w:val="7"/>
    <w:link w:val="3"/>
    <w:semiHidden/>
    <w:qFormat/>
    <w:uiPriority w:val="99"/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datathink</Company>
  <Pages>4</Pages>
  <Words>1108</Words>
  <Characters>6316</Characters>
  <Lines>52</Lines>
  <Paragraphs>14</Paragraphs>
  <ScaleCrop>false</ScaleCrop>
  <LinksUpToDate>false</LinksUpToDate>
  <CharactersWithSpaces>7410</CharactersWithSpaces>
  <Application>WPS Office_1.9.1.2994_F1E327BC-269C-435d-A152-05C5408002CA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2018-09-13T03:28:00Z</dcterms:created>
  <dc:creator>Administrator</dc:creator>
  <cp:lastModifiedBy>lixiaozhen</cp:lastModifiedBy>
  <cp:lastPrinted>2018-12-22T07:08:00Z</cp:lastPrinted>
  <dcterms:modified xsi:type="dcterms:W3CDTF">2020-04-24T20:37:16Z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2052-1.9.1.2994</vt:lpwstr>
  </property>
</Properties>
</file>