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4E61DF" w14:textId="77777777" w:rsidR="00CA0EF9" w:rsidRPr="00FA20B8" w:rsidRDefault="00FA20B8">
      <w:pPr>
        <w:rPr>
          <w:b/>
          <w:bCs/>
          <w:lang w:val="en-US"/>
        </w:rPr>
      </w:pPr>
      <w:r w:rsidRPr="00FA20B8">
        <w:rPr>
          <w:b/>
          <w:bCs/>
          <w:lang w:val="en-US"/>
        </w:rPr>
        <w:t xml:space="preserve">Table 5: Predictors of survival in patients with AKI-D, ESRD, and entire cohort </w:t>
      </w:r>
    </w:p>
    <w:p w14:paraId="440D9123" w14:textId="77777777" w:rsidR="00FA20B8" w:rsidRDefault="00FA20B8">
      <w:pPr>
        <w:rPr>
          <w:lang w:val="en-US"/>
        </w:rPr>
      </w:pPr>
    </w:p>
    <w:p w14:paraId="5785BF8F" w14:textId="77777777" w:rsidR="00FA20B8" w:rsidRDefault="00FA20B8">
      <w:pPr>
        <w:rPr>
          <w:lang w:val="en-US"/>
        </w:rPr>
      </w:pPr>
    </w:p>
    <w:tbl>
      <w:tblPr>
        <w:tblW w:w="94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709"/>
        <w:gridCol w:w="708"/>
        <w:gridCol w:w="993"/>
        <w:gridCol w:w="992"/>
        <w:gridCol w:w="850"/>
        <w:gridCol w:w="993"/>
        <w:gridCol w:w="1134"/>
        <w:gridCol w:w="1134"/>
      </w:tblGrid>
      <w:tr w:rsidR="00FA20B8" w:rsidRPr="00BA079A" w14:paraId="05A7681E" w14:textId="77777777" w:rsidTr="0064647E">
        <w:trPr>
          <w:cantSplit/>
          <w:trHeight w:val="340"/>
        </w:trPr>
        <w:tc>
          <w:tcPr>
            <w:tcW w:w="9493" w:type="dxa"/>
            <w:gridSpan w:val="9"/>
            <w:shd w:val="clear" w:color="auto" w:fill="808080" w:themeFill="background1" w:themeFillShade="80"/>
            <w:vAlign w:val="center"/>
          </w:tcPr>
          <w:p w14:paraId="4112B49B" w14:textId="77777777" w:rsidR="00FA20B8" w:rsidRPr="00BA079A" w:rsidRDefault="00FA20B8" w:rsidP="0064647E">
            <w:pPr>
              <w:ind w:left="60" w:right="60"/>
              <w:jc w:val="center"/>
              <w:rPr>
                <w:rFonts w:ascii="Times" w:hAnsi="Times" w:cs="Arial"/>
                <w:color w:val="FFFFFF" w:themeColor="background1"/>
                <w:szCs w:val="22"/>
              </w:rPr>
            </w:pPr>
            <w:r w:rsidRPr="00BA079A">
              <w:rPr>
                <w:rFonts w:ascii="Times" w:hAnsi="Times" w:cs="Arial"/>
                <w:b/>
                <w:bCs/>
                <w:color w:val="FFFFFF" w:themeColor="background1"/>
                <w:sz w:val="22"/>
                <w:szCs w:val="22"/>
              </w:rPr>
              <w:t>Predictors of survival</w:t>
            </w:r>
          </w:p>
        </w:tc>
      </w:tr>
      <w:tr w:rsidR="00FA20B8" w:rsidRPr="00BA079A" w14:paraId="7541DDC4" w14:textId="77777777" w:rsidTr="0064647E">
        <w:trPr>
          <w:cantSplit/>
          <w:trHeight w:val="678"/>
        </w:trPr>
        <w:tc>
          <w:tcPr>
            <w:tcW w:w="1980" w:type="dxa"/>
            <w:shd w:val="clear" w:color="auto" w:fill="FFFFFF"/>
            <w:vAlign w:val="bottom"/>
          </w:tcPr>
          <w:p w14:paraId="0251F728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709" w:type="dxa"/>
            <w:shd w:val="clear" w:color="auto" w:fill="FFFFFF"/>
            <w:vAlign w:val="bottom"/>
          </w:tcPr>
          <w:p w14:paraId="1D836C1C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rFonts w:ascii="Times" w:hAnsi="Times" w:cs="Arial"/>
                <w:sz w:val="22"/>
                <w:szCs w:val="22"/>
              </w:rPr>
              <w:t>B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55D738F4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rFonts w:ascii="Times" w:hAnsi="Times" w:cs="Arial"/>
                <w:sz w:val="22"/>
                <w:szCs w:val="22"/>
              </w:rPr>
              <w:t>S.E.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3CB0BDC2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rFonts w:ascii="Times" w:hAnsi="Times" w:cs="Arial"/>
                <w:sz w:val="22"/>
                <w:szCs w:val="22"/>
              </w:rPr>
              <w:t>Wald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636CA280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rFonts w:ascii="Times" w:hAnsi="Times" w:cs="Arial"/>
                <w:sz w:val="22"/>
                <w:szCs w:val="22"/>
              </w:rPr>
              <w:t>df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59A2FF56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rFonts w:ascii="Times" w:hAnsi="Times" w:cs="Arial"/>
                <w:sz w:val="22"/>
                <w:szCs w:val="22"/>
              </w:rPr>
              <w:t>Sig.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5D2A633A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rFonts w:ascii="Times" w:hAnsi="Times" w:cs="Arial"/>
                <w:sz w:val="22"/>
                <w:szCs w:val="22"/>
              </w:rPr>
              <w:t>Exp(B)</w:t>
            </w:r>
          </w:p>
        </w:tc>
        <w:tc>
          <w:tcPr>
            <w:tcW w:w="2268" w:type="dxa"/>
            <w:gridSpan w:val="2"/>
            <w:shd w:val="clear" w:color="auto" w:fill="FFFFFF"/>
            <w:vAlign w:val="bottom"/>
          </w:tcPr>
          <w:p w14:paraId="3E2D91DF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rFonts w:ascii="Times" w:hAnsi="Times" w:cs="Arial"/>
                <w:sz w:val="22"/>
                <w:szCs w:val="22"/>
              </w:rPr>
              <w:t xml:space="preserve">95% </w:t>
            </w:r>
            <w:proofErr w:type="spellStart"/>
            <w:r w:rsidRPr="00BA079A">
              <w:rPr>
                <w:rFonts w:ascii="Times" w:hAnsi="Times" w:cs="Arial"/>
                <w:sz w:val="22"/>
                <w:szCs w:val="22"/>
              </w:rPr>
              <w:t>C.I.for</w:t>
            </w:r>
            <w:proofErr w:type="spellEnd"/>
            <w:r w:rsidRPr="00BA079A">
              <w:rPr>
                <w:rFonts w:ascii="Times" w:hAnsi="Times" w:cs="Arial"/>
                <w:sz w:val="22"/>
                <w:szCs w:val="22"/>
              </w:rPr>
              <w:t xml:space="preserve"> EXP(B)</w:t>
            </w:r>
          </w:p>
        </w:tc>
      </w:tr>
      <w:tr w:rsidR="00FA20B8" w:rsidRPr="00BA079A" w14:paraId="6EB9B61F" w14:textId="77777777" w:rsidTr="0064647E">
        <w:trPr>
          <w:cantSplit/>
          <w:trHeight w:val="328"/>
        </w:trPr>
        <w:tc>
          <w:tcPr>
            <w:tcW w:w="1980" w:type="dxa"/>
            <w:shd w:val="clear" w:color="auto" w:fill="FFFFFF"/>
          </w:tcPr>
          <w:p w14:paraId="7AE5AC86" w14:textId="77777777" w:rsidR="00FA20B8" w:rsidRPr="00BA079A" w:rsidRDefault="00FA20B8" w:rsidP="0064647E">
            <w:pPr>
              <w:ind w:left="60" w:right="60"/>
              <w:rPr>
                <w:rFonts w:ascii="Times" w:hAnsi="Times" w:cs="Arial"/>
                <w:szCs w:val="22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818887D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40390E55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67E7B46F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F01F332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14:paraId="48DB9C15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2BFFA015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08ACFFED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rFonts w:ascii="Times" w:hAnsi="Times" w:cs="Arial"/>
                <w:sz w:val="22"/>
                <w:szCs w:val="22"/>
              </w:rPr>
              <w:t>Upper</w:t>
            </w:r>
          </w:p>
        </w:tc>
        <w:tc>
          <w:tcPr>
            <w:tcW w:w="1134" w:type="dxa"/>
            <w:vAlign w:val="center"/>
          </w:tcPr>
          <w:p w14:paraId="6FE2E6B6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rFonts w:ascii="Times" w:hAnsi="Times" w:cs="Arial"/>
                <w:sz w:val="22"/>
                <w:szCs w:val="22"/>
              </w:rPr>
              <w:t>Lower</w:t>
            </w:r>
          </w:p>
        </w:tc>
      </w:tr>
      <w:tr w:rsidR="00FA20B8" w:rsidRPr="00BA079A" w14:paraId="61D21965" w14:textId="77777777" w:rsidTr="0064647E">
        <w:trPr>
          <w:cantSplit/>
          <w:trHeight w:val="340"/>
        </w:trPr>
        <w:tc>
          <w:tcPr>
            <w:tcW w:w="9493" w:type="dxa"/>
            <w:gridSpan w:val="9"/>
            <w:shd w:val="clear" w:color="auto" w:fill="D9D9D9" w:themeFill="background1" w:themeFillShade="D9"/>
            <w:vAlign w:val="center"/>
          </w:tcPr>
          <w:p w14:paraId="658CB394" w14:textId="77777777" w:rsidR="00FA20B8" w:rsidRPr="00BA079A" w:rsidRDefault="00FA20B8" w:rsidP="0064647E">
            <w:pPr>
              <w:ind w:left="60" w:right="60"/>
              <w:jc w:val="center"/>
              <w:rPr>
                <w:rFonts w:ascii="Times" w:hAnsi="Times" w:cs="Arial"/>
                <w:color w:val="000000" w:themeColor="text1"/>
                <w:szCs w:val="22"/>
              </w:rPr>
            </w:pPr>
            <w:r w:rsidRPr="00BA079A">
              <w:rPr>
                <w:rFonts w:ascii="Times" w:hAnsi="Times" w:cs="Arial"/>
                <w:b/>
                <w:bCs/>
                <w:color w:val="000000" w:themeColor="text1"/>
                <w:sz w:val="22"/>
                <w:szCs w:val="22"/>
              </w:rPr>
              <w:t>Predictors of survival in AKI-D</w:t>
            </w:r>
          </w:p>
        </w:tc>
      </w:tr>
      <w:tr w:rsidR="00FA20B8" w:rsidRPr="00BA079A" w14:paraId="65927A4B" w14:textId="77777777" w:rsidTr="0064647E">
        <w:trPr>
          <w:cantSplit/>
          <w:trHeight w:val="328"/>
        </w:trPr>
        <w:tc>
          <w:tcPr>
            <w:tcW w:w="1980" w:type="dxa"/>
            <w:shd w:val="clear" w:color="auto" w:fill="FFFFFF"/>
          </w:tcPr>
          <w:p w14:paraId="54250F5B" w14:textId="77777777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2CCB03D4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14:paraId="035EB9D4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640BBD60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16CF108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14:paraId="3B677BA0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0BFE7A0D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3C9CFECB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E782D1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</w:p>
        </w:tc>
      </w:tr>
      <w:tr w:rsidR="00FA20B8" w:rsidRPr="00BA079A" w14:paraId="1890C46A" w14:textId="77777777" w:rsidTr="0064647E">
        <w:trPr>
          <w:cantSplit/>
          <w:trHeight w:val="328"/>
        </w:trPr>
        <w:tc>
          <w:tcPr>
            <w:tcW w:w="1980" w:type="dxa"/>
            <w:shd w:val="clear" w:color="auto" w:fill="FFFFFF"/>
          </w:tcPr>
          <w:p w14:paraId="3F6A7E84" w14:textId="77777777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Shock at admission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3845DAD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2.652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80A99E1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0.928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9BE1319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8.159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BEF6F10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B848F82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Pr="00BA079A">
              <w:rPr>
                <w:sz w:val="22"/>
                <w:szCs w:val="22"/>
              </w:rPr>
              <w:t>.004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78227C5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0.071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73C9D96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0.011</w:t>
            </w:r>
          </w:p>
        </w:tc>
        <w:tc>
          <w:tcPr>
            <w:tcW w:w="1134" w:type="dxa"/>
            <w:vAlign w:val="center"/>
          </w:tcPr>
          <w:p w14:paraId="4B76686C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0.435</w:t>
            </w:r>
          </w:p>
        </w:tc>
      </w:tr>
      <w:tr w:rsidR="00FA20B8" w:rsidRPr="00BA079A" w14:paraId="4EACD87B" w14:textId="77777777" w:rsidTr="0064647E">
        <w:trPr>
          <w:cantSplit/>
          <w:trHeight w:val="328"/>
        </w:trPr>
        <w:tc>
          <w:tcPr>
            <w:tcW w:w="1980" w:type="dxa"/>
            <w:shd w:val="clear" w:color="auto" w:fill="FFFFFF"/>
          </w:tcPr>
          <w:p w14:paraId="04CBCD6F" w14:textId="77777777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Inotrope requirement during stay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994D446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2.771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7DA036B3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0.633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65F76DA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19.164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75F4C8F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E08C8BD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Pr="00BA079A">
              <w:rPr>
                <w:sz w:val="22"/>
                <w:szCs w:val="22"/>
              </w:rPr>
              <w:t>.000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209DCBD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15.969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F6635F1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4.619</w:t>
            </w:r>
          </w:p>
        </w:tc>
        <w:tc>
          <w:tcPr>
            <w:tcW w:w="1134" w:type="dxa"/>
            <w:vAlign w:val="center"/>
          </w:tcPr>
          <w:p w14:paraId="0F30655A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55.205</w:t>
            </w:r>
          </w:p>
        </w:tc>
      </w:tr>
      <w:tr w:rsidR="00FA20B8" w:rsidRPr="00BA079A" w14:paraId="1E24152C" w14:textId="77777777" w:rsidTr="0064647E">
        <w:trPr>
          <w:cantSplit/>
          <w:trHeight w:val="328"/>
        </w:trPr>
        <w:tc>
          <w:tcPr>
            <w:tcW w:w="1980" w:type="dxa"/>
            <w:shd w:val="clear" w:color="auto" w:fill="FFFFFF"/>
          </w:tcPr>
          <w:p w14:paraId="57F9B5A8" w14:textId="77777777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CNS involvement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1BAD91B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1.717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1827A9F1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0.591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4AF40D1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8.440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2566998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181DB3A1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Pr="00BA079A">
              <w:rPr>
                <w:sz w:val="22"/>
                <w:szCs w:val="22"/>
              </w:rPr>
              <w:t>.004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680DEEF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5.566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8F5608C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1.748</w:t>
            </w:r>
          </w:p>
        </w:tc>
        <w:tc>
          <w:tcPr>
            <w:tcW w:w="1134" w:type="dxa"/>
            <w:vAlign w:val="center"/>
          </w:tcPr>
          <w:p w14:paraId="5885C003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17.723</w:t>
            </w:r>
          </w:p>
        </w:tc>
      </w:tr>
      <w:tr w:rsidR="00FA20B8" w:rsidRPr="00BA079A" w14:paraId="4B81E9B7" w14:textId="77777777" w:rsidTr="0064647E">
        <w:trPr>
          <w:cantSplit/>
          <w:trHeight w:val="340"/>
        </w:trPr>
        <w:tc>
          <w:tcPr>
            <w:tcW w:w="9493" w:type="dxa"/>
            <w:gridSpan w:val="9"/>
            <w:shd w:val="clear" w:color="auto" w:fill="D9D9D9" w:themeFill="background1" w:themeFillShade="D9"/>
            <w:vAlign w:val="center"/>
          </w:tcPr>
          <w:p w14:paraId="694D09E8" w14:textId="77777777" w:rsidR="00FA20B8" w:rsidRPr="00BA079A" w:rsidRDefault="00FA20B8" w:rsidP="0064647E">
            <w:pPr>
              <w:ind w:left="60" w:right="60"/>
              <w:jc w:val="center"/>
              <w:rPr>
                <w:rFonts w:ascii="Times" w:hAnsi="Times" w:cs="Arial"/>
                <w:color w:val="000000" w:themeColor="text1"/>
                <w:szCs w:val="22"/>
              </w:rPr>
            </w:pPr>
            <w:r w:rsidRPr="00BA079A">
              <w:rPr>
                <w:rFonts w:ascii="Times" w:hAnsi="Times" w:cs="Arial"/>
                <w:b/>
                <w:bCs/>
                <w:color w:val="000000" w:themeColor="text1"/>
                <w:sz w:val="22"/>
                <w:szCs w:val="22"/>
              </w:rPr>
              <w:t>Predictors of survival in ESRD</w:t>
            </w:r>
          </w:p>
        </w:tc>
      </w:tr>
      <w:tr w:rsidR="00FA20B8" w:rsidRPr="00BA079A" w14:paraId="1C9157F7" w14:textId="77777777" w:rsidTr="0064647E">
        <w:trPr>
          <w:cantSplit/>
          <w:trHeight w:val="32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EFE28D" w14:textId="77777777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Shock at admission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D32997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2.293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EF750D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1.152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6A3C7B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3.960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9EFC78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4873DE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0.047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91D12E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9.907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12C122" w14:textId="77777777" w:rsidR="00FA20B8" w:rsidRPr="00BA079A" w:rsidRDefault="00FA20B8" w:rsidP="0064647E">
            <w:pPr>
              <w:jc w:val="right"/>
              <w:rPr>
                <w:rFonts w:ascii="Times" w:hAnsi="Times" w:cs="Times New Roman"/>
                <w:szCs w:val="22"/>
              </w:rPr>
            </w:pPr>
            <w:r w:rsidRPr="00BA079A">
              <w:rPr>
                <w:sz w:val="22"/>
                <w:szCs w:val="22"/>
              </w:rPr>
              <w:t>1.035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7ECB8" w14:textId="77777777" w:rsidR="00FA20B8" w:rsidRPr="00BA079A" w:rsidRDefault="00FA20B8" w:rsidP="0064647E">
            <w:pPr>
              <w:jc w:val="right"/>
              <w:rPr>
                <w:rFonts w:ascii="Times" w:hAnsi="Times" w:cs="Times New Roman"/>
                <w:szCs w:val="22"/>
              </w:rPr>
            </w:pPr>
            <w:r w:rsidRPr="00BA079A">
              <w:rPr>
                <w:sz w:val="22"/>
                <w:szCs w:val="22"/>
              </w:rPr>
              <w:t>94.826</w:t>
            </w:r>
          </w:p>
        </w:tc>
      </w:tr>
      <w:tr w:rsidR="00FA20B8" w:rsidRPr="00BA079A" w14:paraId="4A9D307E" w14:textId="77777777" w:rsidTr="0064647E">
        <w:trPr>
          <w:cantSplit/>
          <w:trHeight w:val="2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E861CB" w14:textId="77777777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Inotrope requirement during stay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FC7208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1.845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AF42C0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0.804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A068D0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5.261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E1BBB9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EB589C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Pr="00BA079A">
              <w:rPr>
                <w:sz w:val="22"/>
                <w:szCs w:val="22"/>
              </w:rPr>
              <w:t>.022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B33F8C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6.327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99D25F" w14:textId="77777777" w:rsidR="00FA20B8" w:rsidRPr="00BA079A" w:rsidRDefault="00FA20B8" w:rsidP="0064647E">
            <w:pPr>
              <w:jc w:val="right"/>
              <w:rPr>
                <w:rFonts w:ascii="Times" w:hAnsi="Times" w:cs="Times New Roman"/>
                <w:szCs w:val="22"/>
              </w:rPr>
            </w:pPr>
            <w:r w:rsidRPr="00BA079A">
              <w:rPr>
                <w:sz w:val="22"/>
                <w:szCs w:val="22"/>
              </w:rPr>
              <w:t>1.308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871A9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30.608</w:t>
            </w:r>
          </w:p>
        </w:tc>
      </w:tr>
      <w:tr w:rsidR="00FA20B8" w:rsidRPr="00BA079A" w14:paraId="48403EDA" w14:textId="77777777" w:rsidTr="0064647E">
        <w:trPr>
          <w:cantSplit/>
          <w:trHeight w:val="32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5A3249" w14:textId="77777777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CNS involvement at presentation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47CC33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3.013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71846A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1.085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F19FB6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7.708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88F4B6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20E407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Pr="00BA079A">
              <w:rPr>
                <w:sz w:val="22"/>
                <w:szCs w:val="22"/>
              </w:rPr>
              <w:t>.005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D8A867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20.350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C13250" w14:textId="77777777" w:rsidR="00FA20B8" w:rsidRPr="00BA079A" w:rsidRDefault="00FA20B8" w:rsidP="0064647E">
            <w:pPr>
              <w:jc w:val="right"/>
              <w:rPr>
                <w:rFonts w:ascii="Times" w:hAnsi="Times" w:cs="Times New Roman"/>
                <w:szCs w:val="22"/>
              </w:rPr>
            </w:pPr>
            <w:r w:rsidRPr="00BA079A">
              <w:rPr>
                <w:sz w:val="22"/>
                <w:szCs w:val="22"/>
              </w:rPr>
              <w:t>2.425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3F810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170.741</w:t>
            </w:r>
          </w:p>
        </w:tc>
      </w:tr>
      <w:tr w:rsidR="00FA20B8" w:rsidRPr="00BA079A" w14:paraId="3D451831" w14:textId="77777777" w:rsidTr="0064647E">
        <w:trPr>
          <w:cantSplit/>
          <w:trHeight w:val="32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B7FE25" w14:textId="25952FBC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Severe COVID</w:t>
            </w:r>
            <w:r w:rsidR="005C1040">
              <w:rPr>
                <w:sz w:val="22"/>
                <w:szCs w:val="22"/>
              </w:rPr>
              <w:t>-19 staging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9DC030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1.920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E2B6BF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0.725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8997E6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7.020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953C94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41D46D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Pr="00BA079A">
              <w:rPr>
                <w:sz w:val="22"/>
                <w:szCs w:val="22"/>
              </w:rPr>
              <w:t>.008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7F518F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</w:rPr>
              <w:t>6.824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68AD72" w14:textId="77777777" w:rsidR="00FA20B8" w:rsidRPr="00BA079A" w:rsidRDefault="00FA20B8" w:rsidP="0064647E">
            <w:pPr>
              <w:jc w:val="right"/>
              <w:rPr>
                <w:rFonts w:ascii="Times" w:hAnsi="Times" w:cs="Times New Roman"/>
                <w:szCs w:val="22"/>
              </w:rPr>
            </w:pPr>
            <w:r w:rsidRPr="00BA079A">
              <w:rPr>
                <w:sz w:val="22"/>
                <w:szCs w:val="22"/>
              </w:rPr>
              <w:t>1.648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2C7BA" w14:textId="77777777" w:rsidR="00FA20B8" w:rsidRPr="00BA079A" w:rsidRDefault="00FA20B8" w:rsidP="0064647E">
            <w:pPr>
              <w:jc w:val="right"/>
              <w:rPr>
                <w:rFonts w:ascii="Times" w:hAnsi="Times" w:cs="Times New Roman"/>
                <w:szCs w:val="22"/>
              </w:rPr>
            </w:pPr>
            <w:r w:rsidRPr="00BA079A">
              <w:rPr>
                <w:sz w:val="22"/>
                <w:szCs w:val="22"/>
              </w:rPr>
              <w:t>28.248</w:t>
            </w:r>
          </w:p>
        </w:tc>
      </w:tr>
      <w:tr w:rsidR="00FA20B8" w:rsidRPr="00BA079A" w14:paraId="753D9B51" w14:textId="77777777" w:rsidTr="0064647E">
        <w:trPr>
          <w:cantSplit/>
          <w:trHeight w:val="113"/>
        </w:trPr>
        <w:tc>
          <w:tcPr>
            <w:tcW w:w="9493" w:type="dxa"/>
            <w:gridSpan w:val="9"/>
            <w:shd w:val="clear" w:color="auto" w:fill="D9D9D9" w:themeFill="background1" w:themeFillShade="D9"/>
          </w:tcPr>
          <w:p w14:paraId="1EBDDFC0" w14:textId="77777777" w:rsidR="00FA20B8" w:rsidRPr="00BA079A" w:rsidRDefault="00FA20B8" w:rsidP="0064647E">
            <w:pPr>
              <w:rPr>
                <w:rFonts w:ascii="Times" w:hAnsi="Times" w:cs="Arial"/>
                <w:szCs w:val="22"/>
              </w:rPr>
            </w:pPr>
            <w:r w:rsidRPr="00BA079A">
              <w:rPr>
                <w:rFonts w:ascii="Times" w:hAnsi="Times" w:cs="Arial"/>
                <w:b/>
                <w:bCs/>
                <w:color w:val="000000" w:themeColor="text1"/>
                <w:sz w:val="22"/>
                <w:szCs w:val="22"/>
              </w:rPr>
              <w:t xml:space="preserve">                                                          Predictors of survival in </w:t>
            </w:r>
            <w:r>
              <w:rPr>
                <w:rFonts w:ascii="Times" w:hAnsi="Times" w:cs="Arial"/>
                <w:b/>
                <w:bCs/>
                <w:color w:val="000000" w:themeColor="text1"/>
                <w:sz w:val="22"/>
                <w:szCs w:val="22"/>
              </w:rPr>
              <w:t>entire cohort</w:t>
            </w:r>
          </w:p>
        </w:tc>
      </w:tr>
      <w:tr w:rsidR="00FA20B8" w:rsidRPr="00BA079A" w14:paraId="2CD07BF9" w14:textId="77777777" w:rsidTr="0064647E">
        <w:trPr>
          <w:cantSplit/>
          <w:trHeight w:val="32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C7912" w14:textId="77777777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Breathlessness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D911D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1.485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4DCC1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0.456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59C12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10.624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15514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9A160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>
              <w:rPr>
                <w:sz w:val="22"/>
                <w:szCs w:val="22"/>
                <w:lang w:val="en-GB"/>
              </w:rPr>
              <w:t>0</w:t>
            </w:r>
            <w:r w:rsidRPr="00BA079A">
              <w:rPr>
                <w:sz w:val="22"/>
                <w:szCs w:val="22"/>
                <w:lang w:val="en-GB"/>
              </w:rPr>
              <w:t>.001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0DA28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4.415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E1B28" w14:textId="77777777" w:rsidR="00FA20B8" w:rsidRPr="00BA079A" w:rsidRDefault="00FA20B8" w:rsidP="0064647E">
            <w:pPr>
              <w:jc w:val="right"/>
              <w:rPr>
                <w:rFonts w:ascii="Times" w:hAnsi="Times" w:cs="Times New Roman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1.808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49337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10.782</w:t>
            </w:r>
          </w:p>
        </w:tc>
      </w:tr>
      <w:tr w:rsidR="00FA20B8" w:rsidRPr="00BA079A" w14:paraId="07FFB1B9" w14:textId="77777777" w:rsidTr="0064647E">
        <w:trPr>
          <w:cantSplit/>
          <w:trHeight w:val="32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0D4E0" w14:textId="77777777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Inotrope requirement during stay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371E9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1.946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5DDFE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0.423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25E20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21.136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1A70D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264C1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>
              <w:rPr>
                <w:sz w:val="22"/>
                <w:szCs w:val="22"/>
                <w:lang w:val="en-GB"/>
              </w:rPr>
              <w:t>0</w:t>
            </w:r>
            <w:r w:rsidRPr="00BA079A">
              <w:rPr>
                <w:sz w:val="22"/>
                <w:szCs w:val="22"/>
                <w:lang w:val="en-GB"/>
              </w:rPr>
              <w:t>.000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02172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7.001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A61" w14:textId="77777777" w:rsidR="00FA20B8" w:rsidRPr="00BA079A" w:rsidRDefault="00FA20B8" w:rsidP="0064647E">
            <w:pPr>
              <w:jc w:val="right"/>
              <w:rPr>
                <w:rFonts w:ascii="Times" w:hAnsi="Times" w:cs="Times New Roman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3.054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6E84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16.049</w:t>
            </w:r>
          </w:p>
        </w:tc>
      </w:tr>
      <w:tr w:rsidR="00FA20B8" w:rsidRPr="00BA079A" w14:paraId="458C3725" w14:textId="77777777" w:rsidTr="0064647E">
        <w:trPr>
          <w:cantSplit/>
          <w:trHeight w:val="32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ABAB" w14:textId="77777777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CNS involvement at admission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B86F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2.167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730CC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0.562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7DDF8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14.879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B6774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CD0B8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>
              <w:rPr>
                <w:sz w:val="22"/>
                <w:szCs w:val="22"/>
                <w:lang w:val="en-GB"/>
              </w:rPr>
              <w:t>0</w:t>
            </w:r>
            <w:r w:rsidRPr="00BA079A">
              <w:rPr>
                <w:sz w:val="22"/>
                <w:szCs w:val="22"/>
                <w:lang w:val="en-GB"/>
              </w:rPr>
              <w:t>.000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FD4D2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8.735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45C0C" w14:textId="77777777" w:rsidR="00FA20B8" w:rsidRPr="00BA079A" w:rsidRDefault="00FA20B8" w:rsidP="0064647E">
            <w:pPr>
              <w:jc w:val="right"/>
              <w:rPr>
                <w:rFonts w:ascii="Times" w:hAnsi="Times" w:cs="Times New Roman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2.904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1771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26.273</w:t>
            </w:r>
          </w:p>
        </w:tc>
      </w:tr>
      <w:tr w:rsidR="00FA20B8" w:rsidRPr="00BA079A" w14:paraId="0F1BCA02" w14:textId="77777777" w:rsidTr="0064647E">
        <w:trPr>
          <w:cantSplit/>
          <w:trHeight w:val="21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C7244" w14:textId="77777777" w:rsidR="00FA20B8" w:rsidRPr="00BA079A" w:rsidRDefault="00FA20B8" w:rsidP="0064647E">
            <w:pPr>
              <w:ind w:right="60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TLC &gt;10,000/</w:t>
            </w:r>
            <w:proofErr w:type="spellStart"/>
            <w:r w:rsidRPr="00BA079A">
              <w:rPr>
                <w:sz w:val="22"/>
                <w:szCs w:val="22"/>
                <w:lang w:val="en-GB"/>
              </w:rPr>
              <w:t>cumm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85CCA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0.788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C932A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0.389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68DAC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4.097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5CA0A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B135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0.043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F1459" w14:textId="77777777" w:rsidR="00FA20B8" w:rsidRPr="00BA079A" w:rsidRDefault="00FA20B8" w:rsidP="0064647E">
            <w:pPr>
              <w:ind w:left="60" w:right="60"/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2.198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C68DB" w14:textId="73B95308" w:rsidR="00FA20B8" w:rsidRPr="00BA079A" w:rsidRDefault="0081439F" w:rsidP="0064647E">
            <w:pPr>
              <w:jc w:val="both"/>
              <w:rPr>
                <w:rFonts w:ascii="Times" w:hAnsi="Times" w:cs="Times New Roman"/>
                <w:szCs w:val="22"/>
              </w:rPr>
            </w:pPr>
            <w:r>
              <w:rPr>
                <w:sz w:val="22"/>
                <w:szCs w:val="22"/>
                <w:lang w:val="en-GB"/>
              </w:rPr>
              <w:t xml:space="preserve">            </w:t>
            </w:r>
            <w:r w:rsidR="00FA20B8" w:rsidRPr="00BA079A">
              <w:rPr>
                <w:sz w:val="22"/>
                <w:szCs w:val="22"/>
                <w:lang w:val="en-GB"/>
              </w:rPr>
              <w:t>1.025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F8130" w14:textId="77777777" w:rsidR="00FA20B8" w:rsidRPr="00BA079A" w:rsidRDefault="00FA20B8" w:rsidP="0064647E">
            <w:pPr>
              <w:jc w:val="right"/>
              <w:rPr>
                <w:rFonts w:ascii="Times" w:hAnsi="Times" w:cs="Arial"/>
                <w:szCs w:val="22"/>
              </w:rPr>
            </w:pPr>
            <w:r w:rsidRPr="00BA079A">
              <w:rPr>
                <w:sz w:val="22"/>
                <w:szCs w:val="22"/>
                <w:lang w:val="en-GB"/>
              </w:rPr>
              <w:t>4.712</w:t>
            </w:r>
          </w:p>
        </w:tc>
      </w:tr>
    </w:tbl>
    <w:p w14:paraId="382171B7" w14:textId="77777777" w:rsidR="00FA20B8" w:rsidRPr="00FA20B8" w:rsidRDefault="00FA20B8">
      <w:pPr>
        <w:rPr>
          <w:lang w:val="en-US"/>
        </w:rPr>
      </w:pPr>
    </w:p>
    <w:sectPr w:rsidR="00FA20B8" w:rsidRPr="00FA20B8" w:rsidSect="00CA0E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altName w:val="﷽﷽﷽﷽﷽﷽Ą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20B8"/>
    <w:rsid w:val="005C1040"/>
    <w:rsid w:val="0081439F"/>
    <w:rsid w:val="00CA0EF9"/>
    <w:rsid w:val="00EF56BA"/>
    <w:rsid w:val="00FA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6AB13"/>
  <w15:docId w15:val="{759B458E-39BC-42FC-BCF3-DC4E99C7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0B8"/>
    <w:pPr>
      <w:spacing w:after="0" w:line="240" w:lineRule="auto"/>
    </w:pPr>
    <w:rPr>
      <w:sz w:val="24"/>
      <w:szCs w:val="24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MCGM5</dc:creator>
  <cp:lastModifiedBy>thakare.sayali@gmail.com</cp:lastModifiedBy>
  <cp:revision>2</cp:revision>
  <dcterms:created xsi:type="dcterms:W3CDTF">2021-08-01T14:54:00Z</dcterms:created>
  <dcterms:modified xsi:type="dcterms:W3CDTF">2021-08-01T14:54:00Z</dcterms:modified>
</cp:coreProperties>
</file>