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A0C7AA" w14:textId="77777777" w:rsidR="00AA786F" w:rsidRPr="00A4607E" w:rsidRDefault="00AA786F" w:rsidP="00AA786F">
      <w:pPr>
        <w:spacing w:line="480" w:lineRule="auto"/>
        <w:rPr>
          <w:b/>
          <w:bCs/>
        </w:rPr>
      </w:pPr>
      <w:r w:rsidRPr="008A3C56">
        <w:rPr>
          <w:b/>
          <w:bCs/>
        </w:rPr>
        <w:t>Title</w:t>
      </w:r>
      <w:r>
        <w:rPr>
          <w:b/>
          <w:bCs/>
        </w:rPr>
        <w:t xml:space="preserve">: </w:t>
      </w:r>
      <w:r w:rsidRPr="000C30C1">
        <w:t>The differential association between social capital and benevolent sexism belief by gender in Japan</w:t>
      </w:r>
    </w:p>
    <w:p w14:paraId="6C186B91" w14:textId="77777777" w:rsidR="00AA786F" w:rsidRDefault="00AA786F" w:rsidP="00AA786F">
      <w:pPr>
        <w:spacing w:line="480" w:lineRule="auto"/>
      </w:pPr>
    </w:p>
    <w:p w14:paraId="7FE39D52" w14:textId="77777777" w:rsidR="00AA786F" w:rsidRPr="008A3C56" w:rsidRDefault="00AA786F" w:rsidP="00AA786F">
      <w:pPr>
        <w:spacing w:line="480" w:lineRule="auto"/>
        <w:rPr>
          <w:b/>
          <w:bCs/>
        </w:rPr>
      </w:pPr>
      <w:r w:rsidRPr="008A3C56">
        <w:rPr>
          <w:b/>
          <w:bCs/>
        </w:rPr>
        <w:t>Author</w:t>
      </w:r>
      <w:r>
        <w:rPr>
          <w:b/>
          <w:bCs/>
        </w:rPr>
        <w:t>s and</w:t>
      </w:r>
      <w:r w:rsidRPr="008A3C56">
        <w:rPr>
          <w:b/>
          <w:bCs/>
        </w:rPr>
        <w:t xml:space="preserve"> </w:t>
      </w:r>
      <w:r>
        <w:rPr>
          <w:b/>
          <w:bCs/>
        </w:rPr>
        <w:t>affilia</w:t>
      </w:r>
      <w:r w:rsidRPr="008A3C56">
        <w:rPr>
          <w:b/>
          <w:bCs/>
        </w:rPr>
        <w:t>tion</w:t>
      </w:r>
      <w:r>
        <w:rPr>
          <w:b/>
          <w:bCs/>
        </w:rPr>
        <w:t>s</w:t>
      </w:r>
    </w:p>
    <w:p w14:paraId="5A175889" w14:textId="77777777" w:rsidR="00AA786F" w:rsidRDefault="00AA786F" w:rsidP="00AA786F">
      <w:pPr>
        <w:spacing w:line="480" w:lineRule="auto"/>
        <w:rPr>
          <w:vertAlign w:val="superscript"/>
        </w:rPr>
      </w:pPr>
      <w:r w:rsidRPr="0056516B">
        <w:t>Shiori Shakagori</w:t>
      </w:r>
      <w:r>
        <w:rPr>
          <w:vertAlign w:val="superscript"/>
        </w:rPr>
        <w:t>1, 2, #</w:t>
      </w:r>
      <w:r w:rsidRPr="0056516B">
        <w:t>, Nobutoshi Naw</w:t>
      </w:r>
      <w:r>
        <w:t>a</w:t>
      </w:r>
      <w:r>
        <w:rPr>
          <w:vertAlign w:val="superscript"/>
        </w:rPr>
        <w:t>2</w:t>
      </w:r>
      <w:r w:rsidRPr="0056516B">
        <w:t>, Takahiro Tabuchi</w:t>
      </w:r>
      <w:r>
        <w:rPr>
          <w:vertAlign w:val="superscript"/>
        </w:rPr>
        <w:t>3</w:t>
      </w:r>
      <w:r w:rsidRPr="0056516B">
        <w:t>, Hidehiko Takahashi</w:t>
      </w:r>
      <w:r>
        <w:rPr>
          <w:vertAlign w:val="superscript"/>
        </w:rPr>
        <w:t>1</w:t>
      </w:r>
      <w:r w:rsidRPr="0056516B">
        <w:t>, Takeo Fujiwara</w:t>
      </w:r>
      <w:r>
        <w:rPr>
          <w:vertAlign w:val="superscript"/>
        </w:rPr>
        <w:t>2</w:t>
      </w:r>
    </w:p>
    <w:p w14:paraId="4CAC6273" w14:textId="77777777" w:rsidR="00AA786F" w:rsidRPr="00A4607E" w:rsidRDefault="00AA786F" w:rsidP="00AA786F">
      <w:pPr>
        <w:spacing w:line="480" w:lineRule="auto"/>
        <w:rPr>
          <w:vertAlign w:val="superscript"/>
        </w:rPr>
      </w:pPr>
    </w:p>
    <w:p w14:paraId="0C49B816" w14:textId="77777777" w:rsidR="00AA786F" w:rsidRPr="00A80A61" w:rsidRDefault="00AA786F" w:rsidP="00AA786F">
      <w:pPr>
        <w:spacing w:line="480" w:lineRule="auto"/>
        <w:rPr>
          <w:lang w:val="en-JP"/>
        </w:rPr>
      </w:pPr>
      <w:r>
        <w:rPr>
          <w:vertAlign w:val="superscript"/>
        </w:rPr>
        <w:t>1</w:t>
      </w:r>
      <w:r>
        <w:t xml:space="preserve"> </w:t>
      </w:r>
      <w:r w:rsidRPr="00A80A61">
        <w:t>Department of Psychiatry and Behavioral Sciences, Tokyo Medical and Dental University, Tokyo 113-8510, Japan</w:t>
      </w:r>
    </w:p>
    <w:p w14:paraId="0327E376" w14:textId="77777777" w:rsidR="00AA786F" w:rsidRPr="00A80A61" w:rsidRDefault="00AA786F" w:rsidP="00AA786F">
      <w:pPr>
        <w:spacing w:line="480" w:lineRule="auto"/>
      </w:pPr>
      <w:r w:rsidRPr="0041003E">
        <w:rPr>
          <w:vertAlign w:val="superscript"/>
        </w:rPr>
        <w:t>2</w:t>
      </w:r>
      <w:r>
        <w:t xml:space="preserve"> </w:t>
      </w:r>
      <w:r w:rsidRPr="00A80A61">
        <w:t>Department of Global Health Promotion, Tokyo Medical and Dental University, Tokyo 113-8510, Japan</w:t>
      </w:r>
    </w:p>
    <w:p w14:paraId="2C4DD393" w14:textId="77777777" w:rsidR="00AA786F" w:rsidRPr="008A3C56" w:rsidRDefault="00AA786F" w:rsidP="00AA786F">
      <w:pPr>
        <w:spacing w:line="480" w:lineRule="auto"/>
      </w:pPr>
      <w:r>
        <w:rPr>
          <w:vertAlign w:val="superscript"/>
        </w:rPr>
        <w:t>3</w:t>
      </w:r>
      <w:r>
        <w:t xml:space="preserve"> </w:t>
      </w:r>
      <w:r w:rsidRPr="00AE39F3">
        <w:t xml:space="preserve">Cancer Control Center, Osaka International Cancer Institute, </w:t>
      </w:r>
      <w:r>
        <w:t>Osaka,</w:t>
      </w:r>
      <w:r w:rsidRPr="008A3C56">
        <w:t xml:space="preserve"> Japan</w:t>
      </w:r>
    </w:p>
    <w:p w14:paraId="40BA809A" w14:textId="77777777" w:rsidR="00AA786F" w:rsidRPr="00E06C6D" w:rsidRDefault="00AA786F" w:rsidP="00AA786F">
      <w:pPr>
        <w:spacing w:line="480" w:lineRule="auto"/>
      </w:pPr>
      <w:r>
        <w:rPr>
          <w:vertAlign w:val="superscript"/>
        </w:rPr>
        <w:t>#</w:t>
      </w:r>
      <w:r w:rsidRPr="00E06C6D">
        <w:t xml:space="preserve"> ORCID</w:t>
      </w:r>
      <w:r>
        <w:t>:</w:t>
      </w:r>
      <w:r w:rsidRPr="002034C7">
        <w:rPr>
          <w:rStyle w:val="Hyperlink"/>
          <w:color w:val="000000" w:themeColor="text1"/>
          <w:u w:val="none"/>
        </w:rPr>
        <w:t xml:space="preserve"> </w:t>
      </w:r>
      <w:r>
        <w:rPr>
          <w:rFonts w:ascii="Arial" w:hAnsi="Arial" w:cs="Arial"/>
          <w:color w:val="494A4C"/>
          <w:sz w:val="23"/>
          <w:szCs w:val="23"/>
          <w:shd w:val="clear" w:color="auto" w:fill="FFFFFF"/>
        </w:rPr>
        <w:t>0000-0002-6375-1499</w:t>
      </w:r>
      <w:r w:rsidRPr="00E06C6D">
        <w:rPr>
          <w:rStyle w:val="Hyperlink"/>
          <w:color w:val="000000" w:themeColor="text1"/>
          <w:u w:val="none"/>
        </w:rPr>
        <w:t xml:space="preserve"> </w:t>
      </w:r>
    </w:p>
    <w:p w14:paraId="4DE46864" w14:textId="77777777" w:rsidR="00AA786F" w:rsidRDefault="00AA786F" w:rsidP="00AA786F">
      <w:pPr>
        <w:spacing w:line="480" w:lineRule="auto"/>
      </w:pPr>
    </w:p>
    <w:p w14:paraId="4E859301" w14:textId="77777777" w:rsidR="00AA786F" w:rsidRPr="00A4607E" w:rsidRDefault="00AA786F" w:rsidP="00AA786F">
      <w:pPr>
        <w:spacing w:line="480" w:lineRule="auto"/>
        <w:rPr>
          <w:b/>
          <w:bCs/>
        </w:rPr>
      </w:pPr>
      <w:r w:rsidRPr="00AE39F3">
        <w:rPr>
          <w:b/>
          <w:bCs/>
        </w:rPr>
        <w:t>Correspond</w:t>
      </w:r>
      <w:r>
        <w:rPr>
          <w:b/>
          <w:bCs/>
        </w:rPr>
        <w:t xml:space="preserve">ing author: </w:t>
      </w:r>
      <w:r w:rsidRPr="0041003E">
        <w:t>Takeo Fujiwara</w:t>
      </w:r>
    </w:p>
    <w:p w14:paraId="75655C8F" w14:textId="77777777" w:rsidR="00AA786F" w:rsidRPr="0041003E" w:rsidRDefault="00AA786F" w:rsidP="00AA786F">
      <w:pPr>
        <w:spacing w:line="480" w:lineRule="auto"/>
      </w:pPr>
      <w:r w:rsidRPr="0041003E">
        <w:t>Department of Global Health Promotion, Tokyo Medical and Dental University (TMDU)</w:t>
      </w:r>
    </w:p>
    <w:p w14:paraId="4C9CD9ED" w14:textId="77777777" w:rsidR="00AA786F" w:rsidRPr="0041003E" w:rsidRDefault="00AA786F" w:rsidP="00AA786F">
      <w:pPr>
        <w:spacing w:line="480" w:lineRule="auto"/>
      </w:pPr>
      <w:r w:rsidRPr="0041003E">
        <w:t xml:space="preserve">1-5-45, </w:t>
      </w:r>
      <w:proofErr w:type="spellStart"/>
      <w:r w:rsidRPr="0041003E">
        <w:t>Yushima</w:t>
      </w:r>
      <w:proofErr w:type="spellEnd"/>
      <w:r w:rsidRPr="0041003E">
        <w:t>, Bunkyo-Ku, Tokyo 113-8519, Japan</w:t>
      </w:r>
    </w:p>
    <w:p w14:paraId="38613C3B" w14:textId="77777777" w:rsidR="00AA786F" w:rsidRDefault="00AA786F" w:rsidP="00AA786F">
      <w:pPr>
        <w:spacing w:line="480" w:lineRule="auto"/>
      </w:pPr>
      <w:r w:rsidRPr="0041003E">
        <w:t>Phone No:</w:t>
      </w:r>
      <w:r>
        <w:t xml:space="preserve"> +81</w:t>
      </w:r>
      <w:r w:rsidRPr="0041003E">
        <w:t xml:space="preserve"> 3-5803-5187</w:t>
      </w:r>
      <w:r>
        <w:t xml:space="preserve">, </w:t>
      </w:r>
      <w:r w:rsidRPr="0041003E">
        <w:t>Fax No:</w:t>
      </w:r>
      <w:r>
        <w:t xml:space="preserve"> +81 </w:t>
      </w:r>
      <w:r w:rsidRPr="0041003E">
        <w:t>3-5803-5190</w:t>
      </w:r>
      <w:r>
        <w:t xml:space="preserve">, E-mail: </w:t>
      </w:r>
      <w:hyperlink r:id="rId4" w:history="1">
        <w:r w:rsidRPr="0041003E">
          <w:rPr>
            <w:rStyle w:val="Hyperlink"/>
          </w:rPr>
          <w:t>fujiwara.hlth@tmd.ac.jp</w:t>
        </w:r>
      </w:hyperlink>
      <w:r>
        <w:t xml:space="preserve"> </w:t>
      </w:r>
      <w:r w:rsidRPr="0041003E" w:rsidDel="00287412">
        <w:t xml:space="preserve"> </w:t>
      </w:r>
    </w:p>
    <w:p w14:paraId="77EC05C0" w14:textId="77777777" w:rsidR="00AA786F" w:rsidRDefault="00AA786F">
      <w:pPr>
        <w:rPr>
          <w:b/>
          <w:bCs/>
          <w:noProof/>
        </w:rPr>
      </w:pPr>
      <w:r>
        <w:rPr>
          <w:b/>
          <w:bCs/>
          <w:noProof/>
        </w:rPr>
        <w:br w:type="page"/>
      </w:r>
    </w:p>
    <w:p w14:paraId="3F83CEF9" w14:textId="22B8C0F0" w:rsidR="001C0FFE" w:rsidRPr="001C0FFE" w:rsidRDefault="001C0FFE" w:rsidP="001C0FFE">
      <w:pPr>
        <w:spacing w:line="480" w:lineRule="auto"/>
        <w:rPr>
          <w:b/>
          <w:bCs/>
        </w:rPr>
      </w:pPr>
      <w:r w:rsidRPr="001C0FFE">
        <w:rPr>
          <w:b/>
          <w:bCs/>
        </w:rPr>
        <w:lastRenderedPageBreak/>
        <w:t>Supplementa</w:t>
      </w:r>
      <w:r w:rsidR="00203259">
        <w:rPr>
          <w:b/>
          <w:bCs/>
        </w:rPr>
        <w:t>ry</w:t>
      </w:r>
      <w:r w:rsidRPr="001C0FFE">
        <w:rPr>
          <w:b/>
          <w:bCs/>
        </w:rPr>
        <w:t xml:space="preserve"> Results</w:t>
      </w:r>
    </w:p>
    <w:p w14:paraId="02292531" w14:textId="0E2574F4" w:rsidR="001C0FFE" w:rsidRPr="000C30C1" w:rsidRDefault="00850021" w:rsidP="001C0FFE">
      <w:pPr>
        <w:spacing w:line="480" w:lineRule="auto"/>
        <w:ind w:firstLine="720"/>
      </w:pPr>
      <w:r>
        <w:t xml:space="preserve">In addition to the main analysis, we conducted </w:t>
      </w:r>
      <w:r>
        <w:t xml:space="preserve">the </w:t>
      </w:r>
      <w:r w:rsidRPr="000C30C1">
        <w:t>multilevel analysis</w:t>
      </w:r>
      <w:r>
        <w:t xml:space="preserve"> with a random intercept, which</w:t>
      </w:r>
      <w:r w:rsidRPr="000C30C1">
        <w:t xml:space="preserve"> analyzed the associations between</w:t>
      </w:r>
      <w:r>
        <w:t xml:space="preserve"> individual-/</w:t>
      </w:r>
      <w:r w:rsidRPr="000C30C1">
        <w:t>prefecture-level social capital and subcategories of benevolent sexism</w:t>
      </w:r>
      <w:r>
        <w:t>, stratified by sex</w:t>
      </w:r>
      <w:r>
        <w:t>.</w:t>
      </w:r>
      <w:r w:rsidRPr="000C30C1">
        <w:t xml:space="preserve"> </w:t>
      </w:r>
      <w:r w:rsidR="001C0FFE" w:rsidRPr="000C30C1">
        <w:t xml:space="preserve">Among men, individual-level social capital was positively associated with gender differentiation and inversely associated with heterosexuality (gender differentiation: </w:t>
      </w:r>
      <w:r w:rsidR="001C0FFE" w:rsidRPr="000C30C1">
        <w:rPr>
          <w:rFonts w:eastAsia="MS Mincho"/>
        </w:rPr>
        <w:t xml:space="preserve">β </w:t>
      </w:r>
      <w:r w:rsidR="001C0FFE" w:rsidRPr="000C30C1">
        <w:t xml:space="preserve">= 0.20, 95% CI [0.15, 0.25]; heterosexuality: </w:t>
      </w:r>
      <w:r w:rsidR="001C0FFE" w:rsidRPr="000C30C1">
        <w:rPr>
          <w:rFonts w:eastAsia="MS Mincho"/>
        </w:rPr>
        <w:t xml:space="preserve">β </w:t>
      </w:r>
      <w:r w:rsidR="001C0FFE" w:rsidRPr="000C30C1">
        <w:t xml:space="preserve">= −0.05, 95% CI [−0.09, −0.01]). Also, among men, prefecture-level social capital was positively associated with paternalism and gender differentiation (paternalism: </w:t>
      </w:r>
      <w:r w:rsidR="001C0FFE" w:rsidRPr="000C30C1">
        <w:rPr>
          <w:rFonts w:eastAsia="MS Mincho"/>
        </w:rPr>
        <w:t xml:space="preserve">β </w:t>
      </w:r>
      <w:r w:rsidR="001C0FFE" w:rsidRPr="000C30C1">
        <w:t xml:space="preserve">= 0.08, 95% CI [0.01, 0.16]; gender differentiation: </w:t>
      </w:r>
      <w:r w:rsidR="001C0FFE" w:rsidRPr="000C30C1">
        <w:rPr>
          <w:rFonts w:eastAsia="MS Mincho"/>
        </w:rPr>
        <w:t xml:space="preserve">β </w:t>
      </w:r>
      <w:r w:rsidR="001C0FFE" w:rsidRPr="000C30C1">
        <w:t>= 0.07, 95% CI [0.00, 0.14]).</w:t>
      </w:r>
    </w:p>
    <w:p w14:paraId="7F846BA4" w14:textId="77777777" w:rsidR="001C0FFE" w:rsidRDefault="001C0FFE" w:rsidP="001C0FFE">
      <w:pPr>
        <w:spacing w:line="480" w:lineRule="auto"/>
        <w:ind w:firstLine="720"/>
      </w:pPr>
      <w:r w:rsidRPr="000C30C1">
        <w:t xml:space="preserve">Among women, individual-level social capital was inversely associated with paternalism, gender differentiation and heterosexuality (paternalism: </w:t>
      </w:r>
      <w:r w:rsidRPr="000C30C1">
        <w:rPr>
          <w:rFonts w:eastAsia="MS Mincho"/>
        </w:rPr>
        <w:t xml:space="preserve">β </w:t>
      </w:r>
      <w:r w:rsidRPr="000C30C1">
        <w:t xml:space="preserve">= −0.20, 95% CI [−0.25, −0.14]; gender differentiation: </w:t>
      </w:r>
      <w:r w:rsidRPr="000C30C1">
        <w:rPr>
          <w:rFonts w:eastAsia="MS Mincho"/>
        </w:rPr>
        <w:t xml:space="preserve">β </w:t>
      </w:r>
      <w:r w:rsidRPr="000C30C1">
        <w:t xml:space="preserve">= −0.07, 95% CI [−0.12, −0.02]; heterosexuality: </w:t>
      </w:r>
      <w:r w:rsidRPr="000C30C1">
        <w:rPr>
          <w:rFonts w:eastAsia="MS Mincho"/>
        </w:rPr>
        <w:t xml:space="preserve">β </w:t>
      </w:r>
      <w:r w:rsidRPr="000C30C1">
        <w:t xml:space="preserve">= −0.16, 95% CI [−0.20, −0.12]). However, among women, prefecture-level social capital was not associated with paternalism, gender differentiation, and heterosexuality (paternalism: </w:t>
      </w:r>
      <w:r w:rsidRPr="000C30C1">
        <w:rPr>
          <w:rFonts w:eastAsia="MS Mincho"/>
        </w:rPr>
        <w:t xml:space="preserve">β </w:t>
      </w:r>
      <w:r w:rsidRPr="000C30C1">
        <w:t xml:space="preserve">= 0.02, 95% CI [−0.05, 0.09]; gender differentiation: </w:t>
      </w:r>
      <w:r w:rsidRPr="000C30C1">
        <w:rPr>
          <w:rFonts w:eastAsia="MS Mincho"/>
        </w:rPr>
        <w:t xml:space="preserve">β </w:t>
      </w:r>
      <w:r w:rsidRPr="000C30C1">
        <w:t xml:space="preserve">= 0.03, 95% CI [−0.03, 0.08]; heterosexuality: </w:t>
      </w:r>
      <w:r w:rsidRPr="000C30C1">
        <w:rPr>
          <w:rFonts w:eastAsia="MS Mincho"/>
        </w:rPr>
        <w:t xml:space="preserve">β </w:t>
      </w:r>
      <w:r w:rsidRPr="000C30C1">
        <w:t>= −0.03, 95% CI [−0.07, 0.02]).</w:t>
      </w:r>
    </w:p>
    <w:p w14:paraId="71DC961D" w14:textId="77777777" w:rsidR="001C0FFE" w:rsidRDefault="001C0FFE" w:rsidP="00AA786F">
      <w:pPr>
        <w:spacing w:line="480" w:lineRule="auto"/>
        <w:rPr>
          <w:b/>
          <w:bCs/>
          <w:noProof/>
        </w:rPr>
      </w:pPr>
    </w:p>
    <w:p w14:paraId="29D597B1" w14:textId="77777777" w:rsidR="001C0FFE" w:rsidRDefault="001C0FFE" w:rsidP="00AA786F">
      <w:pPr>
        <w:spacing w:line="480" w:lineRule="auto"/>
        <w:rPr>
          <w:b/>
          <w:bCs/>
          <w:noProof/>
        </w:rPr>
      </w:pPr>
    </w:p>
    <w:p w14:paraId="04CA5F26" w14:textId="77777777" w:rsidR="006F5C5A" w:rsidRDefault="006F5C5A">
      <w:pPr>
        <w:rPr>
          <w:b/>
          <w:bCs/>
          <w:noProof/>
        </w:rPr>
      </w:pPr>
      <w:r>
        <w:rPr>
          <w:b/>
          <w:bCs/>
          <w:noProof/>
        </w:rPr>
        <w:br w:type="page"/>
      </w:r>
    </w:p>
    <w:p w14:paraId="1CE2E892" w14:textId="6D8B1673" w:rsidR="00AA786F" w:rsidRPr="00F85328" w:rsidRDefault="00AA786F" w:rsidP="00AA786F">
      <w:pPr>
        <w:spacing w:line="480" w:lineRule="auto"/>
        <w:rPr>
          <w:b/>
          <w:bCs/>
          <w:noProof/>
        </w:rPr>
      </w:pPr>
      <w:r>
        <w:rPr>
          <w:b/>
          <w:bCs/>
          <w:noProof/>
        </w:rPr>
        <w:lastRenderedPageBreak/>
        <w:t>Supplementa</w:t>
      </w:r>
      <w:r w:rsidR="00203259">
        <w:rPr>
          <w:b/>
          <w:bCs/>
          <w:noProof/>
        </w:rPr>
        <w:t>ry</w:t>
      </w:r>
      <w:r>
        <w:rPr>
          <w:b/>
          <w:bCs/>
          <w:noProof/>
        </w:rPr>
        <w:t xml:space="preserve"> </w:t>
      </w:r>
      <w:r w:rsidRPr="00F85328">
        <w:rPr>
          <w:b/>
          <w:bCs/>
          <w:noProof/>
        </w:rPr>
        <w:t xml:space="preserve">Table </w:t>
      </w:r>
      <w:r>
        <w:rPr>
          <w:b/>
          <w:bCs/>
          <w:noProof/>
        </w:rPr>
        <w:t>1</w:t>
      </w:r>
      <w:r w:rsidRPr="00F85328">
        <w:rPr>
          <w:b/>
          <w:bCs/>
          <w:noProof/>
        </w:rPr>
        <w:t xml:space="preserve">. </w:t>
      </w:r>
      <w:r w:rsidRPr="00F85328">
        <w:rPr>
          <w:noProof/>
        </w:rPr>
        <w:t>Results of multilevel regression analysis for subcategorical benevolent sexism and social capital(individual</w:t>
      </w:r>
      <w:r w:rsidRPr="00F85328">
        <w:rPr>
          <w:rFonts w:eastAsia="MS Mincho"/>
          <w:noProof/>
        </w:rPr>
        <w:t>-level</w:t>
      </w:r>
      <w:r w:rsidRPr="00F85328">
        <w:rPr>
          <w:noProof/>
        </w:rPr>
        <w:t xml:space="preserve"> and </w:t>
      </w:r>
      <w:r w:rsidRPr="00F85328">
        <w:rPr>
          <w:rFonts w:eastAsia="MS Mincho"/>
          <w:noProof/>
        </w:rPr>
        <w:t>prefecture-level</w:t>
      </w:r>
      <w:r w:rsidRPr="00F85328">
        <w:rPr>
          <w:noProof/>
        </w:rPr>
        <w:t>), stratified by sex after covariate adjustment</w:t>
      </w:r>
      <w:r w:rsidRPr="00F85328">
        <w:rPr>
          <w:noProof/>
          <w:vertAlign w:val="superscript"/>
        </w:rPr>
        <w:t>a</w:t>
      </w:r>
      <w:r w:rsidRPr="00F85328">
        <w:rPr>
          <w:noProof/>
        </w:rPr>
        <w:t xml:space="preserve"> (beta, 95%CI)</w:t>
      </w:r>
    </w:p>
    <w:p w14:paraId="4800FD7C" w14:textId="77777777" w:rsidR="00AA786F" w:rsidRPr="00990F81" w:rsidRDefault="00AA786F" w:rsidP="00AA786F">
      <w:pPr>
        <w:rPr>
          <w:noProof/>
        </w:rPr>
      </w:pPr>
    </w:p>
    <w:tbl>
      <w:tblPr>
        <w:tblW w:w="8060" w:type="dxa"/>
        <w:tblLook w:val="04A0" w:firstRow="1" w:lastRow="0" w:firstColumn="1" w:lastColumn="0" w:noHBand="0" w:noVBand="1"/>
      </w:tblPr>
      <w:tblGrid>
        <w:gridCol w:w="1300"/>
        <w:gridCol w:w="1300"/>
        <w:gridCol w:w="1746"/>
        <w:gridCol w:w="1791"/>
        <w:gridCol w:w="1923"/>
      </w:tblGrid>
      <w:tr w:rsidR="00AA786F" w:rsidRPr="000C30C1" w14:paraId="33521519" w14:textId="77777777" w:rsidTr="0056516B">
        <w:trPr>
          <w:trHeight w:val="720"/>
        </w:trPr>
        <w:tc>
          <w:tcPr>
            <w:tcW w:w="1300" w:type="dxa"/>
            <w:tcBorders>
              <w:top w:val="single" w:sz="18" w:space="0" w:color="auto"/>
              <w:left w:val="nil"/>
              <w:bottom w:val="single" w:sz="8" w:space="0" w:color="auto"/>
              <w:right w:val="nil"/>
            </w:tcBorders>
            <w:shd w:val="clear" w:color="auto" w:fill="auto"/>
            <w:noWrap/>
            <w:vAlign w:val="bottom"/>
            <w:hideMark/>
          </w:tcPr>
          <w:p w14:paraId="69094CB8" w14:textId="77777777" w:rsidR="00AA786F" w:rsidRPr="00990F81" w:rsidRDefault="00AA786F" w:rsidP="0056516B">
            <w:pPr>
              <w:rPr>
                <w:rFonts w:ascii="Calibri" w:hAnsi="Calibri" w:cs="Calibri"/>
                <w:color w:val="000000"/>
                <w:sz w:val="20"/>
                <w:szCs w:val="20"/>
              </w:rPr>
            </w:pPr>
            <w:r w:rsidRPr="00990F81">
              <w:rPr>
                <w:rFonts w:ascii="Calibri" w:hAnsi="Calibri" w:cs="Calibri"/>
                <w:color w:val="000000"/>
                <w:sz w:val="20"/>
                <w:szCs w:val="20"/>
              </w:rPr>
              <w:t> </w:t>
            </w:r>
          </w:p>
        </w:tc>
        <w:tc>
          <w:tcPr>
            <w:tcW w:w="1300" w:type="dxa"/>
            <w:tcBorders>
              <w:top w:val="single" w:sz="18" w:space="0" w:color="auto"/>
              <w:left w:val="nil"/>
              <w:bottom w:val="single" w:sz="8" w:space="0" w:color="auto"/>
              <w:right w:val="nil"/>
            </w:tcBorders>
            <w:shd w:val="clear" w:color="auto" w:fill="auto"/>
            <w:noWrap/>
            <w:vAlign w:val="bottom"/>
            <w:hideMark/>
          </w:tcPr>
          <w:p w14:paraId="24D12469" w14:textId="77777777" w:rsidR="00AA786F" w:rsidRPr="00990F81" w:rsidRDefault="00AA786F" w:rsidP="0056516B">
            <w:pPr>
              <w:rPr>
                <w:rFonts w:ascii="Calibri" w:hAnsi="Calibri" w:cs="Calibri"/>
                <w:color w:val="000000"/>
                <w:sz w:val="20"/>
                <w:szCs w:val="20"/>
              </w:rPr>
            </w:pPr>
            <w:r w:rsidRPr="00990F81">
              <w:rPr>
                <w:rFonts w:ascii="Calibri" w:hAnsi="Calibri" w:cs="Calibri"/>
                <w:color w:val="000000"/>
                <w:sz w:val="20"/>
                <w:szCs w:val="20"/>
              </w:rPr>
              <w:t> </w:t>
            </w:r>
          </w:p>
        </w:tc>
        <w:tc>
          <w:tcPr>
            <w:tcW w:w="1820" w:type="dxa"/>
            <w:tcBorders>
              <w:top w:val="single" w:sz="18" w:space="0" w:color="auto"/>
              <w:left w:val="nil"/>
              <w:bottom w:val="single" w:sz="8" w:space="0" w:color="auto"/>
              <w:right w:val="nil"/>
            </w:tcBorders>
            <w:shd w:val="clear" w:color="auto" w:fill="auto"/>
            <w:vAlign w:val="center"/>
            <w:hideMark/>
          </w:tcPr>
          <w:p w14:paraId="066E8366" w14:textId="77777777" w:rsidR="00AA786F" w:rsidRPr="00990F81" w:rsidRDefault="00AA786F" w:rsidP="0056516B">
            <w:pPr>
              <w:rPr>
                <w:b/>
                <w:bCs/>
                <w:color w:val="000000"/>
              </w:rPr>
            </w:pPr>
            <w:r w:rsidRPr="00990F81">
              <w:rPr>
                <w:b/>
                <w:bCs/>
                <w:color w:val="000000"/>
              </w:rPr>
              <w:t>Paternalism</w:t>
            </w:r>
            <w:r w:rsidRPr="00990F81">
              <w:rPr>
                <w:b/>
                <w:bCs/>
                <w:color w:val="000000"/>
              </w:rPr>
              <w:br/>
              <w:t>/Maternalism</w:t>
            </w:r>
          </w:p>
        </w:tc>
        <w:tc>
          <w:tcPr>
            <w:tcW w:w="1820" w:type="dxa"/>
            <w:tcBorders>
              <w:top w:val="single" w:sz="18" w:space="0" w:color="auto"/>
              <w:left w:val="nil"/>
              <w:bottom w:val="single" w:sz="8" w:space="0" w:color="auto"/>
              <w:right w:val="nil"/>
            </w:tcBorders>
            <w:shd w:val="clear" w:color="auto" w:fill="auto"/>
            <w:vAlign w:val="center"/>
            <w:hideMark/>
          </w:tcPr>
          <w:p w14:paraId="58B39CD2" w14:textId="77777777" w:rsidR="00AA786F" w:rsidRPr="00990F81" w:rsidRDefault="00AA786F" w:rsidP="0056516B">
            <w:pPr>
              <w:rPr>
                <w:b/>
                <w:bCs/>
                <w:color w:val="000000"/>
              </w:rPr>
            </w:pPr>
            <w:r w:rsidRPr="00990F81">
              <w:rPr>
                <w:b/>
                <w:bCs/>
                <w:color w:val="000000"/>
              </w:rPr>
              <w:t>Gender Differentiation</w:t>
            </w:r>
          </w:p>
        </w:tc>
        <w:tc>
          <w:tcPr>
            <w:tcW w:w="1820" w:type="dxa"/>
            <w:tcBorders>
              <w:top w:val="single" w:sz="18" w:space="0" w:color="auto"/>
              <w:left w:val="nil"/>
              <w:bottom w:val="single" w:sz="8" w:space="0" w:color="auto"/>
              <w:right w:val="nil"/>
            </w:tcBorders>
            <w:shd w:val="clear" w:color="auto" w:fill="auto"/>
            <w:vAlign w:val="center"/>
            <w:hideMark/>
          </w:tcPr>
          <w:p w14:paraId="7D940A0A" w14:textId="77777777" w:rsidR="00AA786F" w:rsidRPr="00990F81" w:rsidRDefault="00AA786F" w:rsidP="0056516B">
            <w:pPr>
              <w:rPr>
                <w:b/>
                <w:bCs/>
                <w:color w:val="000000"/>
              </w:rPr>
            </w:pPr>
            <w:r w:rsidRPr="00990F81">
              <w:rPr>
                <w:b/>
                <w:bCs/>
                <w:color w:val="000000"/>
              </w:rPr>
              <w:t>Heterosexualism</w:t>
            </w:r>
          </w:p>
        </w:tc>
      </w:tr>
      <w:tr w:rsidR="00AA786F" w:rsidRPr="000C30C1" w14:paraId="016948B0" w14:textId="77777777" w:rsidTr="0056516B">
        <w:trPr>
          <w:trHeight w:val="680"/>
        </w:trPr>
        <w:tc>
          <w:tcPr>
            <w:tcW w:w="1300" w:type="dxa"/>
            <w:tcBorders>
              <w:top w:val="nil"/>
              <w:left w:val="nil"/>
              <w:bottom w:val="nil"/>
              <w:right w:val="nil"/>
            </w:tcBorders>
            <w:shd w:val="clear" w:color="auto" w:fill="auto"/>
            <w:noWrap/>
            <w:vAlign w:val="center"/>
            <w:hideMark/>
          </w:tcPr>
          <w:p w14:paraId="6F003679" w14:textId="77777777" w:rsidR="00AA786F" w:rsidRPr="00990F81" w:rsidRDefault="00AA786F" w:rsidP="0056516B">
            <w:pPr>
              <w:rPr>
                <w:b/>
                <w:bCs/>
                <w:color w:val="000000"/>
              </w:rPr>
            </w:pPr>
            <w:r w:rsidRPr="00990F81">
              <w:rPr>
                <w:b/>
                <w:bCs/>
                <w:color w:val="000000"/>
              </w:rPr>
              <w:t>Male</w:t>
            </w:r>
          </w:p>
        </w:tc>
        <w:tc>
          <w:tcPr>
            <w:tcW w:w="1300" w:type="dxa"/>
            <w:tcBorders>
              <w:top w:val="nil"/>
              <w:left w:val="nil"/>
              <w:bottom w:val="nil"/>
              <w:right w:val="nil"/>
            </w:tcBorders>
            <w:shd w:val="clear" w:color="auto" w:fill="auto"/>
            <w:vAlign w:val="center"/>
            <w:hideMark/>
          </w:tcPr>
          <w:p w14:paraId="7636AA5A" w14:textId="77777777" w:rsidR="00AA786F" w:rsidRPr="00990F81" w:rsidRDefault="00AA786F" w:rsidP="0056516B">
            <w:pPr>
              <w:rPr>
                <w:color w:val="000000"/>
              </w:rPr>
            </w:pPr>
            <w:r w:rsidRPr="00990F81">
              <w:rPr>
                <w:noProof/>
                <w:color w:val="000000"/>
              </w:rPr>
              <w:t>individual</w:t>
            </w:r>
            <w:r>
              <w:rPr>
                <w:noProof/>
                <w:color w:val="000000"/>
              </w:rPr>
              <w:t>-level</w:t>
            </w:r>
            <w:r w:rsidRPr="00990F81">
              <w:rPr>
                <w:noProof/>
                <w:color w:val="000000"/>
              </w:rPr>
              <w:t xml:space="preserve"> </w:t>
            </w:r>
          </w:p>
        </w:tc>
        <w:tc>
          <w:tcPr>
            <w:tcW w:w="1820" w:type="dxa"/>
            <w:tcBorders>
              <w:top w:val="nil"/>
              <w:left w:val="nil"/>
              <w:bottom w:val="nil"/>
              <w:right w:val="nil"/>
            </w:tcBorders>
            <w:shd w:val="clear" w:color="auto" w:fill="auto"/>
            <w:vAlign w:val="center"/>
            <w:hideMark/>
          </w:tcPr>
          <w:p w14:paraId="2A323C34" w14:textId="77777777" w:rsidR="00AA786F" w:rsidRPr="00990F81" w:rsidRDefault="00AA786F" w:rsidP="0056516B">
            <w:pPr>
              <w:rPr>
                <w:color w:val="000000"/>
              </w:rPr>
            </w:pPr>
            <w:r w:rsidRPr="00990F81">
              <w:rPr>
                <w:color w:val="000000"/>
              </w:rPr>
              <w:t>0.05</w:t>
            </w:r>
            <w:r w:rsidRPr="00990F81">
              <w:rPr>
                <w:color w:val="000000"/>
              </w:rPr>
              <w:br/>
              <w:t>(</w:t>
            </w:r>
            <w:r>
              <w:rPr>
                <w:color w:val="000000"/>
              </w:rPr>
              <w:t>−</w:t>
            </w:r>
            <w:r w:rsidRPr="00990F81">
              <w:rPr>
                <w:color w:val="000000"/>
              </w:rPr>
              <w:t>0.004, 0.10)</w:t>
            </w:r>
          </w:p>
        </w:tc>
        <w:tc>
          <w:tcPr>
            <w:tcW w:w="1820" w:type="dxa"/>
            <w:tcBorders>
              <w:top w:val="nil"/>
              <w:left w:val="nil"/>
              <w:bottom w:val="nil"/>
              <w:right w:val="nil"/>
            </w:tcBorders>
            <w:shd w:val="clear" w:color="auto" w:fill="auto"/>
            <w:vAlign w:val="center"/>
            <w:hideMark/>
          </w:tcPr>
          <w:p w14:paraId="643C53F5" w14:textId="77777777" w:rsidR="00AA786F" w:rsidRPr="00990F81" w:rsidRDefault="00AA786F" w:rsidP="0056516B">
            <w:pPr>
              <w:rPr>
                <w:color w:val="000000"/>
              </w:rPr>
            </w:pPr>
            <w:r w:rsidRPr="00990F81">
              <w:rPr>
                <w:color w:val="000000"/>
              </w:rPr>
              <w:t>0.2</w:t>
            </w:r>
            <w:r w:rsidRPr="00990F81">
              <w:rPr>
                <w:color w:val="000000"/>
              </w:rPr>
              <w:br/>
              <w:t>(0.15, 0.25)*</w:t>
            </w:r>
          </w:p>
        </w:tc>
        <w:tc>
          <w:tcPr>
            <w:tcW w:w="1820" w:type="dxa"/>
            <w:tcBorders>
              <w:top w:val="nil"/>
              <w:left w:val="nil"/>
              <w:bottom w:val="nil"/>
              <w:right w:val="nil"/>
            </w:tcBorders>
            <w:shd w:val="clear" w:color="auto" w:fill="auto"/>
            <w:vAlign w:val="center"/>
            <w:hideMark/>
          </w:tcPr>
          <w:p w14:paraId="796DB943" w14:textId="77777777" w:rsidR="00AA786F" w:rsidRPr="00990F81" w:rsidRDefault="00AA786F" w:rsidP="0056516B">
            <w:pPr>
              <w:rPr>
                <w:color w:val="000000"/>
              </w:rPr>
            </w:pPr>
            <w:r>
              <w:rPr>
                <w:color w:val="000000"/>
              </w:rPr>
              <w:t>−</w:t>
            </w:r>
            <w:r w:rsidRPr="00990F81">
              <w:rPr>
                <w:color w:val="000000"/>
              </w:rPr>
              <w:t>0.05</w:t>
            </w:r>
            <w:r w:rsidRPr="00990F81">
              <w:rPr>
                <w:color w:val="000000"/>
              </w:rPr>
              <w:br/>
              <w:t>(</w:t>
            </w:r>
            <w:r>
              <w:rPr>
                <w:color w:val="000000"/>
              </w:rPr>
              <w:t>−</w:t>
            </w:r>
            <w:r w:rsidRPr="00990F81">
              <w:rPr>
                <w:color w:val="000000"/>
              </w:rPr>
              <w:t xml:space="preserve">0.09, </w:t>
            </w:r>
            <w:r>
              <w:rPr>
                <w:color w:val="000000"/>
              </w:rPr>
              <w:t>−</w:t>
            </w:r>
            <w:r w:rsidRPr="00990F81">
              <w:rPr>
                <w:color w:val="000000"/>
              </w:rPr>
              <w:t>0.01)*</w:t>
            </w:r>
          </w:p>
        </w:tc>
      </w:tr>
      <w:tr w:rsidR="00AA786F" w:rsidRPr="000C30C1" w14:paraId="02DAD178" w14:textId="77777777" w:rsidTr="0056516B">
        <w:trPr>
          <w:trHeight w:val="700"/>
        </w:trPr>
        <w:tc>
          <w:tcPr>
            <w:tcW w:w="1300" w:type="dxa"/>
            <w:tcBorders>
              <w:top w:val="nil"/>
              <w:left w:val="nil"/>
              <w:bottom w:val="nil"/>
              <w:right w:val="nil"/>
            </w:tcBorders>
            <w:shd w:val="clear" w:color="auto" w:fill="auto"/>
            <w:noWrap/>
            <w:vAlign w:val="bottom"/>
            <w:hideMark/>
          </w:tcPr>
          <w:p w14:paraId="3F163977" w14:textId="77777777" w:rsidR="00AA786F" w:rsidRPr="00990F81" w:rsidRDefault="00AA786F" w:rsidP="0056516B">
            <w:pPr>
              <w:rPr>
                <w:color w:val="000000"/>
              </w:rPr>
            </w:pPr>
          </w:p>
        </w:tc>
        <w:tc>
          <w:tcPr>
            <w:tcW w:w="1300" w:type="dxa"/>
            <w:tcBorders>
              <w:top w:val="nil"/>
              <w:left w:val="nil"/>
              <w:bottom w:val="nil"/>
              <w:right w:val="nil"/>
            </w:tcBorders>
            <w:shd w:val="clear" w:color="auto" w:fill="auto"/>
            <w:vAlign w:val="center"/>
            <w:hideMark/>
          </w:tcPr>
          <w:p w14:paraId="52A7668B" w14:textId="77777777" w:rsidR="00AA786F" w:rsidRPr="00990F81" w:rsidRDefault="00AA786F" w:rsidP="0056516B">
            <w:pPr>
              <w:rPr>
                <w:color w:val="000000"/>
              </w:rPr>
            </w:pPr>
            <w:r w:rsidRPr="00990F81">
              <w:rPr>
                <w:rFonts w:eastAsia="MS Mincho"/>
                <w:noProof/>
                <w:color w:val="000000"/>
              </w:rPr>
              <w:t>prefecture</w:t>
            </w:r>
            <w:r>
              <w:rPr>
                <w:rFonts w:eastAsia="MS Mincho"/>
                <w:noProof/>
                <w:color w:val="000000"/>
              </w:rPr>
              <w:t>-level</w:t>
            </w:r>
            <w:r w:rsidRPr="00990F81">
              <w:rPr>
                <w:rFonts w:eastAsia="MS Mincho"/>
                <w:noProof/>
                <w:color w:val="000000"/>
              </w:rPr>
              <w:t xml:space="preserve"> </w:t>
            </w:r>
          </w:p>
        </w:tc>
        <w:tc>
          <w:tcPr>
            <w:tcW w:w="1820" w:type="dxa"/>
            <w:tcBorders>
              <w:top w:val="nil"/>
              <w:left w:val="nil"/>
              <w:bottom w:val="nil"/>
              <w:right w:val="nil"/>
            </w:tcBorders>
            <w:shd w:val="clear" w:color="auto" w:fill="auto"/>
            <w:vAlign w:val="center"/>
            <w:hideMark/>
          </w:tcPr>
          <w:p w14:paraId="7B15BF67" w14:textId="77777777" w:rsidR="00AA786F" w:rsidRPr="00990F81" w:rsidRDefault="00AA786F" w:rsidP="0056516B">
            <w:pPr>
              <w:rPr>
                <w:color w:val="000000"/>
              </w:rPr>
            </w:pPr>
            <w:r w:rsidRPr="00990F81">
              <w:rPr>
                <w:color w:val="000000"/>
              </w:rPr>
              <w:t>0.08</w:t>
            </w:r>
            <w:r w:rsidRPr="00990F81">
              <w:rPr>
                <w:color w:val="000000"/>
              </w:rPr>
              <w:br/>
              <w:t>(0.01, 0.16)*</w:t>
            </w:r>
          </w:p>
        </w:tc>
        <w:tc>
          <w:tcPr>
            <w:tcW w:w="1820" w:type="dxa"/>
            <w:tcBorders>
              <w:top w:val="nil"/>
              <w:left w:val="nil"/>
              <w:bottom w:val="nil"/>
              <w:right w:val="nil"/>
            </w:tcBorders>
            <w:shd w:val="clear" w:color="auto" w:fill="auto"/>
            <w:vAlign w:val="center"/>
            <w:hideMark/>
          </w:tcPr>
          <w:p w14:paraId="0C5CDB9D" w14:textId="77777777" w:rsidR="00AA786F" w:rsidRPr="00990F81" w:rsidRDefault="00AA786F" w:rsidP="0056516B">
            <w:pPr>
              <w:rPr>
                <w:color w:val="000000"/>
              </w:rPr>
            </w:pPr>
            <w:r w:rsidRPr="00990F81">
              <w:rPr>
                <w:color w:val="000000"/>
              </w:rPr>
              <w:t>0.07</w:t>
            </w:r>
            <w:r w:rsidRPr="00990F81">
              <w:rPr>
                <w:color w:val="000000"/>
              </w:rPr>
              <w:br/>
              <w:t>(0.002, 0.14)*</w:t>
            </w:r>
          </w:p>
        </w:tc>
        <w:tc>
          <w:tcPr>
            <w:tcW w:w="1820" w:type="dxa"/>
            <w:tcBorders>
              <w:top w:val="nil"/>
              <w:left w:val="nil"/>
              <w:bottom w:val="nil"/>
              <w:right w:val="nil"/>
            </w:tcBorders>
            <w:shd w:val="clear" w:color="auto" w:fill="auto"/>
            <w:vAlign w:val="center"/>
            <w:hideMark/>
          </w:tcPr>
          <w:p w14:paraId="6161DFFD" w14:textId="77777777" w:rsidR="00AA786F" w:rsidRPr="00990F81" w:rsidRDefault="00AA786F" w:rsidP="0056516B">
            <w:pPr>
              <w:rPr>
                <w:color w:val="000000"/>
              </w:rPr>
            </w:pPr>
            <w:r w:rsidRPr="00990F81">
              <w:rPr>
                <w:color w:val="000000"/>
              </w:rPr>
              <w:t>0.01</w:t>
            </w:r>
            <w:r w:rsidRPr="00990F81">
              <w:rPr>
                <w:color w:val="000000"/>
              </w:rPr>
              <w:br/>
              <w:t>(</w:t>
            </w:r>
            <w:r>
              <w:rPr>
                <w:color w:val="000000"/>
              </w:rPr>
              <w:t>−</w:t>
            </w:r>
            <w:r w:rsidRPr="00990F81">
              <w:rPr>
                <w:color w:val="000000"/>
              </w:rPr>
              <w:t>0.04, 0.06)</w:t>
            </w:r>
          </w:p>
        </w:tc>
      </w:tr>
      <w:tr w:rsidR="00AA786F" w:rsidRPr="000C30C1" w14:paraId="2B8AD534" w14:textId="77777777" w:rsidTr="0056516B">
        <w:trPr>
          <w:trHeight w:val="680"/>
        </w:trPr>
        <w:tc>
          <w:tcPr>
            <w:tcW w:w="1300" w:type="dxa"/>
            <w:tcBorders>
              <w:top w:val="nil"/>
              <w:left w:val="nil"/>
              <w:bottom w:val="nil"/>
              <w:right w:val="nil"/>
            </w:tcBorders>
            <w:shd w:val="clear" w:color="auto" w:fill="auto"/>
            <w:noWrap/>
            <w:vAlign w:val="center"/>
            <w:hideMark/>
          </w:tcPr>
          <w:p w14:paraId="1FA292EE" w14:textId="77777777" w:rsidR="00AA786F" w:rsidRPr="00990F81" w:rsidRDefault="00AA786F" w:rsidP="0056516B">
            <w:pPr>
              <w:rPr>
                <w:b/>
                <w:bCs/>
                <w:color w:val="000000"/>
              </w:rPr>
            </w:pPr>
            <w:r w:rsidRPr="00990F81">
              <w:rPr>
                <w:b/>
                <w:bCs/>
                <w:color w:val="000000"/>
              </w:rPr>
              <w:t>Female</w:t>
            </w:r>
          </w:p>
        </w:tc>
        <w:tc>
          <w:tcPr>
            <w:tcW w:w="1300" w:type="dxa"/>
            <w:tcBorders>
              <w:top w:val="nil"/>
              <w:left w:val="nil"/>
              <w:bottom w:val="nil"/>
              <w:right w:val="nil"/>
            </w:tcBorders>
            <w:shd w:val="clear" w:color="auto" w:fill="auto"/>
            <w:vAlign w:val="center"/>
            <w:hideMark/>
          </w:tcPr>
          <w:p w14:paraId="3AEB7FFE" w14:textId="77777777" w:rsidR="00AA786F" w:rsidRPr="00990F81" w:rsidRDefault="00AA786F" w:rsidP="0056516B">
            <w:pPr>
              <w:rPr>
                <w:color w:val="000000"/>
              </w:rPr>
            </w:pPr>
            <w:r w:rsidRPr="00990F81">
              <w:rPr>
                <w:noProof/>
                <w:color w:val="000000"/>
              </w:rPr>
              <w:t>individual</w:t>
            </w:r>
            <w:r>
              <w:rPr>
                <w:noProof/>
                <w:color w:val="000000"/>
              </w:rPr>
              <w:t>-level</w:t>
            </w:r>
            <w:r w:rsidRPr="00990F81">
              <w:rPr>
                <w:noProof/>
                <w:color w:val="000000"/>
              </w:rPr>
              <w:t xml:space="preserve"> </w:t>
            </w:r>
          </w:p>
        </w:tc>
        <w:tc>
          <w:tcPr>
            <w:tcW w:w="1820" w:type="dxa"/>
            <w:tcBorders>
              <w:top w:val="nil"/>
              <w:left w:val="nil"/>
              <w:bottom w:val="nil"/>
              <w:right w:val="nil"/>
            </w:tcBorders>
            <w:shd w:val="clear" w:color="auto" w:fill="auto"/>
            <w:vAlign w:val="center"/>
            <w:hideMark/>
          </w:tcPr>
          <w:p w14:paraId="779A0158" w14:textId="77777777" w:rsidR="00AA786F" w:rsidRPr="00990F81" w:rsidRDefault="00AA786F" w:rsidP="0056516B">
            <w:pPr>
              <w:rPr>
                <w:color w:val="000000"/>
              </w:rPr>
            </w:pPr>
            <w:r>
              <w:rPr>
                <w:color w:val="000000"/>
              </w:rPr>
              <w:t>−</w:t>
            </w:r>
            <w:r w:rsidRPr="00990F81">
              <w:rPr>
                <w:color w:val="000000"/>
              </w:rPr>
              <w:t>0.20</w:t>
            </w:r>
            <w:r w:rsidRPr="00990F81">
              <w:rPr>
                <w:color w:val="000000"/>
              </w:rPr>
              <w:br/>
              <w:t>(</w:t>
            </w:r>
            <w:r>
              <w:rPr>
                <w:color w:val="000000"/>
              </w:rPr>
              <w:t>−</w:t>
            </w:r>
            <w:r w:rsidRPr="00990F81">
              <w:rPr>
                <w:color w:val="000000"/>
              </w:rPr>
              <w:t xml:space="preserve">0.25, </w:t>
            </w:r>
            <w:r>
              <w:rPr>
                <w:color w:val="000000"/>
              </w:rPr>
              <w:t>−</w:t>
            </w:r>
            <w:r w:rsidRPr="00990F81">
              <w:rPr>
                <w:color w:val="000000"/>
              </w:rPr>
              <w:t>0.14)*</w:t>
            </w:r>
          </w:p>
        </w:tc>
        <w:tc>
          <w:tcPr>
            <w:tcW w:w="1820" w:type="dxa"/>
            <w:tcBorders>
              <w:top w:val="nil"/>
              <w:left w:val="nil"/>
              <w:bottom w:val="nil"/>
              <w:right w:val="nil"/>
            </w:tcBorders>
            <w:shd w:val="clear" w:color="auto" w:fill="auto"/>
            <w:vAlign w:val="center"/>
            <w:hideMark/>
          </w:tcPr>
          <w:p w14:paraId="6A329782" w14:textId="77777777" w:rsidR="00AA786F" w:rsidRPr="00990F81" w:rsidRDefault="00AA786F" w:rsidP="0056516B">
            <w:pPr>
              <w:rPr>
                <w:color w:val="000000"/>
              </w:rPr>
            </w:pPr>
            <w:r>
              <w:rPr>
                <w:color w:val="000000"/>
              </w:rPr>
              <w:t>−</w:t>
            </w:r>
            <w:r w:rsidRPr="00990F81">
              <w:rPr>
                <w:color w:val="000000"/>
              </w:rPr>
              <w:t>0.07</w:t>
            </w:r>
            <w:r w:rsidRPr="00990F81">
              <w:rPr>
                <w:color w:val="000000"/>
              </w:rPr>
              <w:br/>
              <w:t>(</w:t>
            </w:r>
            <w:r>
              <w:rPr>
                <w:color w:val="000000"/>
              </w:rPr>
              <w:t>−</w:t>
            </w:r>
            <w:r w:rsidRPr="00990F81">
              <w:rPr>
                <w:color w:val="000000"/>
              </w:rPr>
              <w:t xml:space="preserve">0.12, </w:t>
            </w:r>
            <w:r>
              <w:rPr>
                <w:color w:val="000000"/>
              </w:rPr>
              <w:t>−</w:t>
            </w:r>
            <w:r w:rsidRPr="00990F81">
              <w:rPr>
                <w:color w:val="000000"/>
              </w:rPr>
              <w:t>0.02)*</w:t>
            </w:r>
          </w:p>
        </w:tc>
        <w:tc>
          <w:tcPr>
            <w:tcW w:w="1820" w:type="dxa"/>
            <w:tcBorders>
              <w:top w:val="nil"/>
              <w:left w:val="nil"/>
              <w:bottom w:val="nil"/>
              <w:right w:val="nil"/>
            </w:tcBorders>
            <w:shd w:val="clear" w:color="auto" w:fill="auto"/>
            <w:vAlign w:val="center"/>
            <w:hideMark/>
          </w:tcPr>
          <w:p w14:paraId="31EB50E3" w14:textId="77777777" w:rsidR="00AA786F" w:rsidRPr="00990F81" w:rsidRDefault="00AA786F" w:rsidP="0056516B">
            <w:pPr>
              <w:rPr>
                <w:color w:val="000000"/>
              </w:rPr>
            </w:pPr>
            <w:r>
              <w:rPr>
                <w:color w:val="000000"/>
              </w:rPr>
              <w:t>−</w:t>
            </w:r>
            <w:r w:rsidRPr="00990F81">
              <w:rPr>
                <w:color w:val="000000"/>
              </w:rPr>
              <w:t>0.16</w:t>
            </w:r>
            <w:r w:rsidRPr="00990F81">
              <w:rPr>
                <w:color w:val="000000"/>
              </w:rPr>
              <w:br/>
              <w:t>(</w:t>
            </w:r>
            <w:r>
              <w:rPr>
                <w:color w:val="000000"/>
              </w:rPr>
              <w:t>−</w:t>
            </w:r>
            <w:r w:rsidRPr="00990F81">
              <w:rPr>
                <w:color w:val="000000"/>
              </w:rPr>
              <w:t xml:space="preserve">0.20, </w:t>
            </w:r>
            <w:r>
              <w:rPr>
                <w:color w:val="000000"/>
              </w:rPr>
              <w:t>−</w:t>
            </w:r>
            <w:r w:rsidRPr="00990F81">
              <w:rPr>
                <w:color w:val="000000"/>
              </w:rPr>
              <w:t>0.12)*</w:t>
            </w:r>
          </w:p>
        </w:tc>
      </w:tr>
      <w:tr w:rsidR="00AA786F" w:rsidRPr="000C30C1" w14:paraId="34623A1F" w14:textId="77777777" w:rsidTr="0056516B">
        <w:trPr>
          <w:trHeight w:val="700"/>
        </w:trPr>
        <w:tc>
          <w:tcPr>
            <w:tcW w:w="1300" w:type="dxa"/>
            <w:tcBorders>
              <w:top w:val="nil"/>
              <w:left w:val="nil"/>
              <w:bottom w:val="single" w:sz="18" w:space="0" w:color="auto"/>
              <w:right w:val="nil"/>
            </w:tcBorders>
            <w:shd w:val="clear" w:color="auto" w:fill="auto"/>
            <w:noWrap/>
            <w:vAlign w:val="bottom"/>
            <w:hideMark/>
          </w:tcPr>
          <w:p w14:paraId="08220356" w14:textId="77777777" w:rsidR="00AA786F" w:rsidRPr="00990F81" w:rsidRDefault="00AA786F" w:rsidP="0056516B">
            <w:pPr>
              <w:rPr>
                <w:rFonts w:ascii="Calibri" w:hAnsi="Calibri" w:cs="Calibri"/>
                <w:color w:val="000000"/>
                <w:sz w:val="20"/>
                <w:szCs w:val="20"/>
              </w:rPr>
            </w:pPr>
            <w:r w:rsidRPr="00990F81">
              <w:rPr>
                <w:rFonts w:ascii="Calibri" w:hAnsi="Calibri" w:cs="Calibri"/>
                <w:color w:val="000000"/>
                <w:sz w:val="20"/>
                <w:szCs w:val="20"/>
              </w:rPr>
              <w:t> </w:t>
            </w:r>
          </w:p>
        </w:tc>
        <w:tc>
          <w:tcPr>
            <w:tcW w:w="1300" w:type="dxa"/>
            <w:tcBorders>
              <w:top w:val="nil"/>
              <w:left w:val="nil"/>
              <w:bottom w:val="single" w:sz="18" w:space="0" w:color="auto"/>
              <w:right w:val="nil"/>
            </w:tcBorders>
            <w:shd w:val="clear" w:color="auto" w:fill="auto"/>
            <w:vAlign w:val="center"/>
            <w:hideMark/>
          </w:tcPr>
          <w:p w14:paraId="1BE6ACBF" w14:textId="77777777" w:rsidR="00AA786F" w:rsidRPr="00990F81" w:rsidRDefault="00AA786F" w:rsidP="0056516B">
            <w:pPr>
              <w:rPr>
                <w:color w:val="000000"/>
              </w:rPr>
            </w:pPr>
            <w:r w:rsidRPr="00990F81">
              <w:rPr>
                <w:rFonts w:eastAsia="MS Mincho"/>
                <w:noProof/>
                <w:color w:val="000000"/>
              </w:rPr>
              <w:t>prefecture-level</w:t>
            </w:r>
          </w:p>
        </w:tc>
        <w:tc>
          <w:tcPr>
            <w:tcW w:w="1820" w:type="dxa"/>
            <w:tcBorders>
              <w:top w:val="nil"/>
              <w:left w:val="nil"/>
              <w:bottom w:val="single" w:sz="18" w:space="0" w:color="auto"/>
              <w:right w:val="nil"/>
            </w:tcBorders>
            <w:shd w:val="clear" w:color="auto" w:fill="auto"/>
            <w:vAlign w:val="center"/>
            <w:hideMark/>
          </w:tcPr>
          <w:p w14:paraId="7B7DDF32" w14:textId="77777777" w:rsidR="00AA786F" w:rsidRPr="00990F81" w:rsidRDefault="00AA786F" w:rsidP="0056516B">
            <w:pPr>
              <w:rPr>
                <w:color w:val="000000"/>
              </w:rPr>
            </w:pPr>
            <w:r w:rsidRPr="00990F81">
              <w:rPr>
                <w:color w:val="000000"/>
              </w:rPr>
              <w:t>0.02</w:t>
            </w:r>
            <w:r w:rsidRPr="00990F81">
              <w:rPr>
                <w:color w:val="000000"/>
              </w:rPr>
              <w:br/>
              <w:t>(</w:t>
            </w:r>
            <w:r>
              <w:rPr>
                <w:color w:val="000000"/>
              </w:rPr>
              <w:t>−</w:t>
            </w:r>
            <w:r w:rsidRPr="00990F81">
              <w:rPr>
                <w:color w:val="000000"/>
              </w:rPr>
              <w:t>0.05, 0.09)</w:t>
            </w:r>
          </w:p>
        </w:tc>
        <w:tc>
          <w:tcPr>
            <w:tcW w:w="1820" w:type="dxa"/>
            <w:tcBorders>
              <w:top w:val="nil"/>
              <w:left w:val="nil"/>
              <w:bottom w:val="single" w:sz="18" w:space="0" w:color="auto"/>
              <w:right w:val="nil"/>
            </w:tcBorders>
            <w:shd w:val="clear" w:color="auto" w:fill="auto"/>
            <w:vAlign w:val="center"/>
            <w:hideMark/>
          </w:tcPr>
          <w:p w14:paraId="26E869C4" w14:textId="77777777" w:rsidR="00AA786F" w:rsidRPr="00990F81" w:rsidRDefault="00AA786F" w:rsidP="0056516B">
            <w:pPr>
              <w:rPr>
                <w:color w:val="000000"/>
              </w:rPr>
            </w:pPr>
            <w:r w:rsidRPr="00990F81">
              <w:rPr>
                <w:color w:val="000000"/>
              </w:rPr>
              <w:t>0.03</w:t>
            </w:r>
            <w:r w:rsidRPr="00990F81">
              <w:rPr>
                <w:color w:val="000000"/>
              </w:rPr>
              <w:br/>
              <w:t>(</w:t>
            </w:r>
            <w:r>
              <w:rPr>
                <w:color w:val="000000"/>
              </w:rPr>
              <w:t>−</w:t>
            </w:r>
            <w:r w:rsidRPr="00990F81">
              <w:rPr>
                <w:color w:val="000000"/>
              </w:rPr>
              <w:t>0.03, 0.08)</w:t>
            </w:r>
          </w:p>
        </w:tc>
        <w:tc>
          <w:tcPr>
            <w:tcW w:w="1820" w:type="dxa"/>
            <w:tcBorders>
              <w:top w:val="nil"/>
              <w:left w:val="nil"/>
              <w:bottom w:val="single" w:sz="18" w:space="0" w:color="auto"/>
              <w:right w:val="nil"/>
            </w:tcBorders>
            <w:shd w:val="clear" w:color="auto" w:fill="auto"/>
            <w:vAlign w:val="center"/>
            <w:hideMark/>
          </w:tcPr>
          <w:p w14:paraId="3D2E4D8F" w14:textId="77777777" w:rsidR="00AA786F" w:rsidRPr="00990F81" w:rsidRDefault="00AA786F" w:rsidP="0056516B">
            <w:pPr>
              <w:rPr>
                <w:color w:val="000000"/>
              </w:rPr>
            </w:pPr>
            <w:r>
              <w:rPr>
                <w:color w:val="000000"/>
              </w:rPr>
              <w:t>−</w:t>
            </w:r>
            <w:r w:rsidRPr="00990F81">
              <w:rPr>
                <w:color w:val="000000"/>
              </w:rPr>
              <w:t>0.03</w:t>
            </w:r>
            <w:r w:rsidRPr="00990F81">
              <w:rPr>
                <w:color w:val="000000"/>
              </w:rPr>
              <w:br/>
              <w:t>(</w:t>
            </w:r>
            <w:r>
              <w:rPr>
                <w:color w:val="000000"/>
              </w:rPr>
              <w:t>−</w:t>
            </w:r>
            <w:r w:rsidRPr="00990F81">
              <w:rPr>
                <w:color w:val="000000"/>
              </w:rPr>
              <w:t>0.07, 0.02)</w:t>
            </w:r>
          </w:p>
        </w:tc>
      </w:tr>
    </w:tbl>
    <w:p w14:paraId="375C8291" w14:textId="77777777" w:rsidR="00AA786F" w:rsidRDefault="00AA786F" w:rsidP="00AA786F">
      <w:pPr>
        <w:rPr>
          <w:noProof/>
        </w:rPr>
      </w:pPr>
    </w:p>
    <w:p w14:paraId="7309BD34" w14:textId="77777777" w:rsidR="00AA786F" w:rsidRPr="00990F81" w:rsidRDefault="00AA786F" w:rsidP="00AA786F">
      <w:pPr>
        <w:spacing w:line="480" w:lineRule="auto"/>
        <w:rPr>
          <w:noProof/>
        </w:rPr>
      </w:pPr>
      <w:r w:rsidRPr="00990F81">
        <w:rPr>
          <w:noProof/>
        </w:rPr>
        <w:t>* indicates P&lt;0.05</w:t>
      </w:r>
    </w:p>
    <w:p w14:paraId="57AC6D80" w14:textId="2B936E9C" w:rsidR="00340FA7" w:rsidRDefault="00AA786F" w:rsidP="00AA786F">
      <w:pPr>
        <w:spacing w:line="480" w:lineRule="auto"/>
        <w:rPr>
          <w:noProof/>
        </w:rPr>
      </w:pPr>
      <w:r w:rsidRPr="00990F81">
        <w:rPr>
          <w:noProof/>
          <w:vertAlign w:val="superscript"/>
        </w:rPr>
        <w:t>a</w:t>
      </w:r>
      <w:r w:rsidRPr="00990F81">
        <w:rPr>
          <w:noProof/>
        </w:rPr>
        <w:t xml:space="preserve"> Adjusted for age, hou</w:t>
      </w:r>
      <w:r w:rsidRPr="00990F81">
        <w:rPr>
          <w:rFonts w:hint="eastAsia"/>
          <w:noProof/>
        </w:rPr>
        <w:t>s</w:t>
      </w:r>
      <w:r w:rsidRPr="00990F81">
        <w:rPr>
          <w:noProof/>
        </w:rPr>
        <w:t>ehold income, educational attainment, work status, marital status, living with children, and severe psychological distress (K6 score &gt; 13).</w:t>
      </w:r>
    </w:p>
    <w:p w14:paraId="4258BDD2" w14:textId="44455DFD" w:rsidR="00340FA7" w:rsidRDefault="00340FA7">
      <w:pPr>
        <w:rPr>
          <w:noProof/>
        </w:rPr>
      </w:pPr>
      <w:r>
        <w:rPr>
          <w:noProof/>
        </w:rPr>
        <w:br w:type="page"/>
      </w:r>
    </w:p>
    <w:p w14:paraId="37B9FE49" w14:textId="290EDD1A" w:rsidR="00340FA7" w:rsidRPr="00523A1C" w:rsidRDefault="00340FA7" w:rsidP="00340FA7">
      <w:pPr>
        <w:spacing w:line="480" w:lineRule="auto"/>
        <w:rPr>
          <w:b/>
          <w:bCs/>
        </w:rPr>
      </w:pPr>
      <w:r w:rsidRPr="00523A1C">
        <w:rPr>
          <w:b/>
          <w:bCs/>
        </w:rPr>
        <w:lastRenderedPageBreak/>
        <w:t>Supplementa</w:t>
      </w:r>
      <w:r w:rsidR="00203259">
        <w:rPr>
          <w:b/>
          <w:bCs/>
        </w:rPr>
        <w:t>ry</w:t>
      </w:r>
      <w:r w:rsidRPr="00523A1C">
        <w:rPr>
          <w:b/>
          <w:bCs/>
        </w:rPr>
        <w:t xml:space="preserve"> Discussion</w:t>
      </w:r>
    </w:p>
    <w:p w14:paraId="7508AF5C" w14:textId="3A79ED2F" w:rsidR="00340FA7" w:rsidRPr="000C30C1" w:rsidRDefault="00340FA7" w:rsidP="00340FA7">
      <w:pPr>
        <w:spacing w:line="480" w:lineRule="auto"/>
        <w:ind w:firstLine="720"/>
      </w:pPr>
      <w:r w:rsidRPr="000C30C1">
        <w:t xml:space="preserve">Among men, prefecture-level social capital was positively associated with paternalism. </w:t>
      </w:r>
      <w:proofErr w:type="spellStart"/>
      <w:r w:rsidRPr="000C30C1">
        <w:t>Pykett</w:t>
      </w:r>
      <w:proofErr w:type="spellEnd"/>
      <w:r w:rsidRPr="000C30C1">
        <w:t xml:space="preserve"> (2012) criticizes community-level social capital as justifying soft paternalism by the government to induce people to engage in “appropriate” gendered behaviors</w:t>
      </w:r>
      <w:r>
        <w:t xml:space="preserve"> [</w:t>
      </w:r>
      <w:r w:rsidR="00877A05">
        <w:t>1</w:t>
      </w:r>
      <w:r>
        <w:t>]</w:t>
      </w:r>
      <w:r w:rsidRPr="000C30C1">
        <w:t>. However, this theory did not explain the mechanism by which community-level social capital was positively associated with paternalism, but only among men. As mentioned earlier, higher prefecture-level social capital may not be associated with female paternalism due to cultural gender differences.</w:t>
      </w:r>
    </w:p>
    <w:p w14:paraId="1DE3A9B0" w14:textId="372C4E65" w:rsidR="00877A05" w:rsidRDefault="00340FA7" w:rsidP="00877A05">
      <w:pPr>
        <w:spacing w:line="480" w:lineRule="auto"/>
        <w:ind w:firstLine="720"/>
      </w:pPr>
      <w:r w:rsidRPr="000C30C1">
        <w:t xml:space="preserve">Additionally, men’s individual-level social capital was inversely associated with heterosexism. Heterosexism is defined as “a system of attitudes, bias, and discrimination in favor of female–male sexuality and relationships” </w:t>
      </w:r>
      <w:r>
        <w:t>[</w:t>
      </w:r>
      <w:r w:rsidR="00877A05">
        <w:t>2</w:t>
      </w:r>
      <w:r>
        <w:t>]</w:t>
      </w:r>
      <w:r w:rsidRPr="000C30C1">
        <w:t xml:space="preserve"> and measured as whether they think “people who do not have intimate relationships with the opposite sex, such as love or marriage, are not truly happy” in this study. As with other countries such as United States </w:t>
      </w:r>
      <w:r>
        <w:t>[</w:t>
      </w:r>
      <w:r w:rsidR="00877A05">
        <w:t>3</w:t>
      </w:r>
      <w:r>
        <w:t>]</w:t>
      </w:r>
      <w:r w:rsidRPr="000C30C1">
        <w:t xml:space="preserve">, singlehood without heterosexually romantic interest among young adults had steadily increased over the last three decades in Japan, and its proportion is 25.1% of all men aged 18–39 years in 2015 </w:t>
      </w:r>
      <w:r>
        <w:t>[</w:t>
      </w:r>
      <w:r w:rsidR="00877A05">
        <w:t>4</w:t>
      </w:r>
      <w:r>
        <w:t>]</w:t>
      </w:r>
      <w:r w:rsidRPr="000C30C1">
        <w:t>. As a reflection of the increase, our study shows that 63.9% of men responded</w:t>
      </w:r>
      <w:r w:rsidRPr="000C30C1">
        <w:rPr>
          <w:rFonts w:hint="eastAsia"/>
        </w:rPr>
        <w:t xml:space="preserve"> </w:t>
      </w:r>
      <w:r w:rsidRPr="000C30C1">
        <w:t>that heterosexuality is “</w:t>
      </w:r>
      <w:r w:rsidRPr="000C30C1">
        <w:rPr>
          <w:rFonts w:hint="eastAsia"/>
        </w:rPr>
        <w:t>n</w:t>
      </w:r>
      <w:r w:rsidRPr="000C30C1">
        <w:t>ot necessary” or “somewhat not necessary,</w:t>
      </w:r>
      <w:r w:rsidRPr="000C30C1">
        <w:rPr>
          <w:rFonts w:hint="eastAsia"/>
        </w:rPr>
        <w:t>”</w:t>
      </w:r>
      <w:r w:rsidRPr="000C30C1">
        <w:t xml:space="preserve"> which means men who have heterosexism may be rather a minority in Japan. </w:t>
      </w:r>
      <w:r w:rsidRPr="000C30C1">
        <w:rPr>
          <w:rFonts w:hint="eastAsia"/>
        </w:rPr>
        <w:t>T</w:t>
      </w:r>
      <w:r w:rsidRPr="000C30C1">
        <w:t xml:space="preserve">hat is, as a </w:t>
      </w:r>
      <w:r>
        <w:t>characteristic</w:t>
      </w:r>
      <w:r w:rsidRPr="000C30C1">
        <w:t xml:space="preserve"> of bonding social capital, individual-level social capital among men may exclude a minority group, which is people with heterosexism, possibly leading to our finding that individual-level social capital among men was inversely associated with heterosexism.</w:t>
      </w:r>
      <w:r w:rsidR="00877A05">
        <w:br w:type="page"/>
      </w:r>
    </w:p>
    <w:p w14:paraId="39C8408C" w14:textId="41ECB768" w:rsidR="00877A05" w:rsidRDefault="00877A05" w:rsidP="00877A05">
      <w:pPr>
        <w:spacing w:line="480" w:lineRule="auto"/>
      </w:pPr>
      <w:r>
        <w:lastRenderedPageBreak/>
        <w:t>Supplementary References</w:t>
      </w:r>
    </w:p>
    <w:p w14:paraId="0968D445" w14:textId="16D08E08" w:rsidR="00B22A50" w:rsidRPr="000C30C1" w:rsidRDefault="00B22A50" w:rsidP="00B22A50">
      <w:pPr>
        <w:spacing w:line="480" w:lineRule="auto"/>
        <w:ind w:left="567" w:hanging="567"/>
        <w:rPr>
          <w:noProof/>
        </w:rPr>
      </w:pPr>
      <w:r>
        <w:rPr>
          <w:noProof/>
        </w:rPr>
        <w:t>[</w:t>
      </w:r>
      <w:r w:rsidR="00877A05">
        <w:rPr>
          <w:noProof/>
        </w:rPr>
        <w:t>1</w:t>
      </w:r>
      <w:r>
        <w:rPr>
          <w:noProof/>
        </w:rPr>
        <w:t xml:space="preserve">] </w:t>
      </w:r>
      <w:r w:rsidRPr="00990F81">
        <w:rPr>
          <w:noProof/>
        </w:rPr>
        <w:t xml:space="preserve">Pykett, J. (2012). The New Maternal State: The Gendered Politics of Governing through Behaviour Change. </w:t>
      </w:r>
      <w:r w:rsidRPr="00724F8F">
        <w:rPr>
          <w:i/>
          <w:iCs/>
          <w:noProof/>
        </w:rPr>
        <w:t>Antipode</w:t>
      </w:r>
      <w:r w:rsidRPr="00990F81">
        <w:rPr>
          <w:noProof/>
        </w:rPr>
        <w:t xml:space="preserve">, 44(1), 217-238. </w:t>
      </w:r>
      <w:hyperlink r:id="rId5" w:history="1">
        <w:r w:rsidRPr="00990F81">
          <w:rPr>
            <w:rStyle w:val="Hyperlink"/>
            <w:noProof/>
          </w:rPr>
          <w:t>https://doi.org/https://doi.org/10.1111/j.1467-8330.2011.00897.x</w:t>
        </w:r>
      </w:hyperlink>
    </w:p>
    <w:p w14:paraId="474CC87D" w14:textId="20898D53" w:rsidR="00877A05" w:rsidRDefault="00877A05" w:rsidP="00877A05">
      <w:pPr>
        <w:spacing w:line="480" w:lineRule="auto"/>
        <w:ind w:left="567" w:hanging="567"/>
        <w:rPr>
          <w:noProof/>
        </w:rPr>
      </w:pPr>
      <w:r>
        <w:rPr>
          <w:noProof/>
        </w:rPr>
        <w:t>[</w:t>
      </w:r>
      <w:r>
        <w:rPr>
          <w:noProof/>
        </w:rPr>
        <w:t>2</w:t>
      </w:r>
      <w:r>
        <w:rPr>
          <w:noProof/>
        </w:rPr>
        <w:t xml:space="preserve">] </w:t>
      </w:r>
      <w:r w:rsidRPr="000C30C1">
        <w:rPr>
          <w:noProof/>
        </w:rPr>
        <w:t xml:space="preserve">Jung, P. B. &amp; Smith, R. F. (1993). </w:t>
      </w:r>
      <w:r w:rsidRPr="00312E95">
        <w:rPr>
          <w:i/>
          <w:iCs/>
          <w:noProof/>
        </w:rPr>
        <w:t>Heterosexism: An Ethical Challenge</w:t>
      </w:r>
      <w:r w:rsidRPr="000C30C1">
        <w:rPr>
          <w:noProof/>
        </w:rPr>
        <w:t>. State University of New York Press.</w:t>
      </w:r>
    </w:p>
    <w:p w14:paraId="67B4421F" w14:textId="44242FB2" w:rsidR="00877A05" w:rsidRPr="00877A05" w:rsidRDefault="00877A05" w:rsidP="00877A05">
      <w:pPr>
        <w:spacing w:line="480" w:lineRule="auto"/>
        <w:ind w:left="567" w:hanging="567"/>
        <w:rPr>
          <w:rStyle w:val="Hyperlink"/>
          <w:noProof/>
          <w:color w:val="000000" w:themeColor="text1"/>
          <w:u w:val="none"/>
        </w:rPr>
      </w:pPr>
      <w:r w:rsidRPr="00877A05">
        <w:rPr>
          <w:rStyle w:val="Hyperlink"/>
          <w:noProof/>
          <w:color w:val="000000" w:themeColor="text1"/>
          <w:u w:val="none"/>
        </w:rPr>
        <w:t xml:space="preserve">[3] Ueda, P., Mercer, C. H., Ghaznavi, C., &amp; Herbenick, D. (2020). Trends in Frequency of Sexual Activity and Number of Sexual Partners Among Adults Aged 18 to 44 Years in the US, 2000-2018. </w:t>
      </w:r>
      <w:r w:rsidRPr="00877A05">
        <w:rPr>
          <w:rStyle w:val="Hyperlink"/>
          <w:i/>
          <w:iCs/>
          <w:noProof/>
          <w:color w:val="000000" w:themeColor="text1"/>
          <w:u w:val="none"/>
        </w:rPr>
        <w:t>JAMA network open</w:t>
      </w:r>
      <w:r w:rsidRPr="00877A05">
        <w:rPr>
          <w:rStyle w:val="Hyperlink"/>
          <w:noProof/>
          <w:color w:val="000000" w:themeColor="text1"/>
          <w:u w:val="none"/>
        </w:rPr>
        <w:t>, 3(6), e203833.</w:t>
      </w:r>
      <w:r>
        <w:rPr>
          <w:rStyle w:val="Hyperlink"/>
          <w:noProof/>
          <w:color w:val="000000" w:themeColor="text1"/>
          <w:u w:val="none"/>
        </w:rPr>
        <w:t xml:space="preserve"> </w:t>
      </w:r>
      <w:hyperlink r:id="rId6" w:history="1">
        <w:r w:rsidRPr="00877A05">
          <w:rPr>
            <w:rStyle w:val="Hyperlink"/>
          </w:rPr>
          <w:t>https://doi.org/10.1001/jamanetworkopen.2020.3833</w:t>
        </w:r>
      </w:hyperlink>
    </w:p>
    <w:p w14:paraId="09598086" w14:textId="2948028E" w:rsidR="00877A05" w:rsidRPr="00990F81" w:rsidRDefault="00877A05" w:rsidP="00877A05">
      <w:pPr>
        <w:spacing w:line="480" w:lineRule="auto"/>
        <w:ind w:left="567" w:hanging="567"/>
        <w:rPr>
          <w:noProof/>
        </w:rPr>
      </w:pPr>
      <w:r>
        <w:rPr>
          <w:noProof/>
        </w:rPr>
        <w:t>[</w:t>
      </w:r>
      <w:r>
        <w:rPr>
          <w:noProof/>
        </w:rPr>
        <w:t>4</w:t>
      </w:r>
      <w:r>
        <w:rPr>
          <w:noProof/>
        </w:rPr>
        <w:t xml:space="preserve">] </w:t>
      </w:r>
      <w:r w:rsidRPr="00990F81">
        <w:rPr>
          <w:noProof/>
        </w:rPr>
        <w:t xml:space="preserve">Ghaznavi, C., Sakamoto, H., Nomura, S., Kubota, A., Yoneoka, D., Shibuya, K., &amp; Ueda, P. (2020). The herbivore's dilemma: Trends in and factors associated with heterosexual relationship status and interest in romantic relationships among young adults in Japan-Analysis of national surveys, 1987-2015. </w:t>
      </w:r>
      <w:r w:rsidRPr="00312E95">
        <w:rPr>
          <w:i/>
          <w:iCs/>
          <w:noProof/>
        </w:rPr>
        <w:t>PloS one</w:t>
      </w:r>
      <w:r w:rsidRPr="00990F81">
        <w:rPr>
          <w:noProof/>
        </w:rPr>
        <w:t xml:space="preserve">, 15(11), e0241571. </w:t>
      </w:r>
      <w:hyperlink r:id="rId7" w:history="1">
        <w:r w:rsidRPr="00990F81">
          <w:rPr>
            <w:rStyle w:val="Hyperlink"/>
            <w:noProof/>
          </w:rPr>
          <w:t>https://doi.org/10.1371/journal.pone.0241571</w:t>
        </w:r>
      </w:hyperlink>
    </w:p>
    <w:p w14:paraId="558FD19A" w14:textId="77777777" w:rsidR="00B22A50" w:rsidRDefault="00B22A50" w:rsidP="00B22A50">
      <w:pPr>
        <w:spacing w:line="480" w:lineRule="auto"/>
      </w:pPr>
    </w:p>
    <w:sectPr w:rsidR="00B22A50" w:rsidSect="00340F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2"/>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86F"/>
    <w:rsid w:val="00050245"/>
    <w:rsid w:val="000B1D5B"/>
    <w:rsid w:val="001C0FFE"/>
    <w:rsid w:val="00203259"/>
    <w:rsid w:val="002B41AC"/>
    <w:rsid w:val="00340FA7"/>
    <w:rsid w:val="00381220"/>
    <w:rsid w:val="003B3F0E"/>
    <w:rsid w:val="00523A1C"/>
    <w:rsid w:val="005B3266"/>
    <w:rsid w:val="006034E2"/>
    <w:rsid w:val="006043A7"/>
    <w:rsid w:val="006D0F78"/>
    <w:rsid w:val="006F5C5A"/>
    <w:rsid w:val="00850021"/>
    <w:rsid w:val="00877A05"/>
    <w:rsid w:val="00AA786F"/>
    <w:rsid w:val="00B22A50"/>
    <w:rsid w:val="00CA17E9"/>
    <w:rsid w:val="00CF72EE"/>
    <w:rsid w:val="00DD43CB"/>
    <w:rsid w:val="00FF056A"/>
  </w:rsids>
  <m:mathPr>
    <m:mathFont m:val="Cambria Math"/>
    <m:brkBin m:val="before"/>
    <m:brkBinSub m:val="--"/>
    <m:smallFrac m:val="0"/>
    <m:dispDef/>
    <m:lMargin m:val="0"/>
    <m:rMargin m:val="0"/>
    <m:defJc m:val="centerGroup"/>
    <m:wrapIndent m:val="1440"/>
    <m:intLim m:val="subSup"/>
    <m:naryLim m:val="undOvr"/>
  </m:mathPr>
  <w:themeFontLang w:val="en-JP" w:eastAsia="ja-JP"/>
  <w:clrSchemeMapping w:bg1="light1" w:t1="dark1" w:bg2="light2" w:t2="dark2" w:accent1="accent1" w:accent2="accent2" w:accent3="accent3" w:accent4="accent4" w:accent5="accent5" w:accent6="accent6" w:hyperlink="hyperlink" w:followedHyperlink="followedHyperlink"/>
  <w:decimalSymbol w:val="."/>
  <w:listSeparator w:val=","/>
  <w14:docId w14:val="039753B8"/>
  <w15:chartTrackingRefBased/>
  <w15:docId w15:val="{85CFB5E4-275D-0943-ABED-D247AB30B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JP"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786F"/>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A786F"/>
    <w:rPr>
      <w:color w:val="0000FF"/>
      <w:u w:val="single"/>
    </w:rPr>
  </w:style>
  <w:style w:type="character" w:styleId="UnresolvedMention">
    <w:name w:val="Unresolved Mention"/>
    <w:basedOn w:val="DefaultParagraphFont"/>
    <w:uiPriority w:val="99"/>
    <w:semiHidden/>
    <w:unhideWhenUsed/>
    <w:rsid w:val="00877A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371/journal.pone.024157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01/jamanetworkopen.2020.3833" TargetMode="External"/><Relationship Id="rId5" Type="http://schemas.openxmlformats.org/officeDocument/2006/relationships/hyperlink" Target="https://doi.org/https://doi.org/10.1111/j.1467-8330.2011.00897.x" TargetMode="External"/><Relationship Id="rId4" Type="http://schemas.openxmlformats.org/officeDocument/2006/relationships/hyperlink" Target="mailto:fujiwara.hlth@tmd.ac.jp"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842</Words>
  <Characters>5066</Characters>
  <Application>Microsoft Office Word</Application>
  <DocSecurity>0</DocSecurity>
  <Lines>168</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釋迦郡　詩織</dc:creator>
  <cp:keywords/>
  <dc:description/>
  <cp:lastModifiedBy>釋迦郡　詩織</cp:lastModifiedBy>
  <cp:revision>3</cp:revision>
  <dcterms:created xsi:type="dcterms:W3CDTF">2022-12-07T15:40:00Z</dcterms:created>
  <dcterms:modified xsi:type="dcterms:W3CDTF">2022-12-08T04:45:00Z</dcterms:modified>
</cp:coreProperties>
</file>