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2CEF3D" w14:textId="77777777" w:rsidR="001E6B77" w:rsidRPr="00CD5AD4" w:rsidRDefault="001E6B77" w:rsidP="001E6B7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5AD4">
        <w:rPr>
          <w:rFonts w:ascii="Times New Roman" w:hAnsi="Times New Roman" w:cs="Times New Roman"/>
          <w:b/>
          <w:bCs/>
          <w:sz w:val="24"/>
          <w:szCs w:val="24"/>
        </w:rPr>
        <w:t>Appendix A</w:t>
      </w:r>
    </w:p>
    <w:p w14:paraId="13E2E455" w14:textId="77777777" w:rsidR="001E6B77" w:rsidRPr="00CD5AD4" w:rsidRDefault="001E6B77" w:rsidP="001E6B77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AD4">
        <w:rPr>
          <w:rFonts w:ascii="Times New Roman" w:hAnsi="Times New Roman" w:cs="Times New Roman"/>
          <w:bCs/>
          <w:sz w:val="24"/>
          <w:szCs w:val="24"/>
        </w:rPr>
        <w:t>Table A1. Relationship between export diversification-environment nexus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4"/>
        <w:gridCol w:w="1768"/>
        <w:gridCol w:w="1809"/>
        <w:gridCol w:w="2123"/>
        <w:gridCol w:w="1866"/>
      </w:tblGrid>
      <w:tr w:rsidR="001E6B77" w:rsidRPr="00CD5AD4" w14:paraId="336A9680" w14:textId="77777777" w:rsidTr="009B3F5B">
        <w:tc>
          <w:tcPr>
            <w:tcW w:w="1870" w:type="dxa"/>
          </w:tcPr>
          <w:p w14:paraId="025E5D4F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Authors</w:t>
            </w:r>
          </w:p>
        </w:tc>
        <w:tc>
          <w:tcPr>
            <w:tcW w:w="1870" w:type="dxa"/>
          </w:tcPr>
          <w:p w14:paraId="792E5DA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Period</w:t>
            </w:r>
          </w:p>
        </w:tc>
        <w:tc>
          <w:tcPr>
            <w:tcW w:w="1870" w:type="dxa"/>
          </w:tcPr>
          <w:p w14:paraId="02CC24EC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1870" w:type="dxa"/>
          </w:tcPr>
          <w:p w14:paraId="6CB113F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Methods</w:t>
            </w:r>
          </w:p>
        </w:tc>
        <w:tc>
          <w:tcPr>
            <w:tcW w:w="1870" w:type="dxa"/>
          </w:tcPr>
          <w:p w14:paraId="6058380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Results</w:t>
            </w:r>
          </w:p>
        </w:tc>
      </w:tr>
      <w:tr w:rsidR="001E6B77" w:rsidRPr="00CD5AD4" w14:paraId="6C1F80FE" w14:textId="77777777" w:rsidTr="009B3F5B">
        <w:tc>
          <w:tcPr>
            <w:tcW w:w="1870" w:type="dxa"/>
          </w:tcPr>
          <w:p w14:paraId="1B1C6F30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Gozgor and Can (2016b)</w:t>
            </w:r>
          </w:p>
        </w:tc>
        <w:tc>
          <w:tcPr>
            <w:tcW w:w="1870" w:type="dxa"/>
          </w:tcPr>
          <w:p w14:paraId="2CE2513E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1971–2010</w:t>
            </w:r>
          </w:p>
        </w:tc>
        <w:tc>
          <w:tcPr>
            <w:tcW w:w="1870" w:type="dxa"/>
          </w:tcPr>
          <w:p w14:paraId="015371F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870" w:type="dxa"/>
          </w:tcPr>
          <w:p w14:paraId="794804A4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D.O.L.S.</w:t>
            </w:r>
          </w:p>
        </w:tc>
        <w:tc>
          <w:tcPr>
            <w:tcW w:w="1870" w:type="dxa"/>
          </w:tcPr>
          <w:p w14:paraId="5AE707B5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Greater export diversification (ED) in the long run is responsible for higher emissions.</w:t>
            </w:r>
          </w:p>
        </w:tc>
      </w:tr>
      <w:tr w:rsidR="001E6B77" w:rsidRPr="00CD5AD4" w14:paraId="52F8226A" w14:textId="77777777" w:rsidTr="009B3F5B">
        <w:tc>
          <w:tcPr>
            <w:tcW w:w="1870" w:type="dxa"/>
          </w:tcPr>
          <w:p w14:paraId="0FA4931A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Liu et al. (2018)</w:t>
            </w:r>
          </w:p>
        </w:tc>
        <w:tc>
          <w:tcPr>
            <w:tcW w:w="1870" w:type="dxa"/>
          </w:tcPr>
          <w:p w14:paraId="37AC059E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1990-2013</w:t>
            </w:r>
          </w:p>
        </w:tc>
        <w:tc>
          <w:tcPr>
            <w:tcW w:w="1870" w:type="dxa"/>
          </w:tcPr>
          <w:p w14:paraId="5D604893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China, Japan, Korea</w:t>
            </w:r>
          </w:p>
        </w:tc>
        <w:tc>
          <w:tcPr>
            <w:tcW w:w="1870" w:type="dxa"/>
          </w:tcPr>
          <w:p w14:paraId="51CD28DC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VECM.</w:t>
            </w:r>
          </w:p>
        </w:tc>
        <w:tc>
          <w:tcPr>
            <w:tcW w:w="1870" w:type="dxa"/>
          </w:tcPr>
          <w:p w14:paraId="46A56A9F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Higher the diversification of exports greater is the EF in these countries.</w:t>
            </w:r>
          </w:p>
        </w:tc>
      </w:tr>
      <w:tr w:rsidR="001E6B77" w:rsidRPr="00CD5AD4" w14:paraId="417AB31A" w14:textId="77777777" w:rsidTr="009B3F5B">
        <w:tc>
          <w:tcPr>
            <w:tcW w:w="1870" w:type="dxa"/>
          </w:tcPr>
          <w:p w14:paraId="144D0F62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Can et al. (2020)</w:t>
            </w:r>
          </w:p>
        </w:tc>
        <w:tc>
          <w:tcPr>
            <w:tcW w:w="1870" w:type="dxa"/>
          </w:tcPr>
          <w:p w14:paraId="6B53D20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1971-2014</w:t>
            </w:r>
          </w:p>
        </w:tc>
        <w:tc>
          <w:tcPr>
            <w:tcW w:w="1870" w:type="dxa"/>
          </w:tcPr>
          <w:p w14:paraId="09AD55ED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84 developing countries</w:t>
            </w:r>
          </w:p>
        </w:tc>
        <w:tc>
          <w:tcPr>
            <w:tcW w:w="1870" w:type="dxa"/>
          </w:tcPr>
          <w:p w14:paraId="59C6107B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A.R.D.L, D.O.L.S, F.M.O.L.S.</w:t>
            </w:r>
          </w:p>
        </w:tc>
        <w:tc>
          <w:tcPr>
            <w:tcW w:w="1870" w:type="dxa"/>
          </w:tcPr>
          <w:p w14:paraId="1E731F0B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ED raises emissions in these countries.</w:t>
            </w:r>
          </w:p>
        </w:tc>
      </w:tr>
      <w:tr w:rsidR="001E6B77" w:rsidRPr="00CD5AD4" w14:paraId="75D6025B" w14:textId="77777777" w:rsidTr="009B3F5B">
        <w:tc>
          <w:tcPr>
            <w:tcW w:w="1870" w:type="dxa"/>
          </w:tcPr>
          <w:p w14:paraId="1B35B893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Mania (2020)</w:t>
            </w:r>
          </w:p>
        </w:tc>
        <w:tc>
          <w:tcPr>
            <w:tcW w:w="1870" w:type="dxa"/>
          </w:tcPr>
          <w:p w14:paraId="76F6A7DB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1995–2013</w:t>
            </w:r>
          </w:p>
        </w:tc>
        <w:tc>
          <w:tcPr>
            <w:tcW w:w="1870" w:type="dxa"/>
          </w:tcPr>
          <w:p w14:paraId="6F926F32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Sample of 98-- countries</w:t>
            </w:r>
          </w:p>
        </w:tc>
        <w:tc>
          <w:tcPr>
            <w:tcW w:w="1870" w:type="dxa"/>
          </w:tcPr>
          <w:p w14:paraId="5FC0CE11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G.M.M, P.M.G.</w:t>
            </w:r>
          </w:p>
        </w:tc>
        <w:tc>
          <w:tcPr>
            <w:tcW w:w="1870" w:type="dxa"/>
          </w:tcPr>
          <w:p w14:paraId="02AE5A9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ED is positively associated with emissions of carbon di oxide.</w:t>
            </w:r>
          </w:p>
        </w:tc>
      </w:tr>
      <w:tr w:rsidR="001E6B77" w:rsidRPr="00CD5AD4" w14:paraId="6D2B086C" w14:textId="77777777" w:rsidTr="009B3F5B">
        <w:tc>
          <w:tcPr>
            <w:tcW w:w="1870" w:type="dxa"/>
          </w:tcPr>
          <w:p w14:paraId="2E25636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Khan et al. (2021)</w:t>
            </w:r>
          </w:p>
        </w:tc>
        <w:tc>
          <w:tcPr>
            <w:tcW w:w="1870" w:type="dxa"/>
          </w:tcPr>
          <w:p w14:paraId="6B637168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1987–2017</w:t>
            </w:r>
          </w:p>
        </w:tc>
        <w:tc>
          <w:tcPr>
            <w:tcW w:w="1870" w:type="dxa"/>
          </w:tcPr>
          <w:p w14:paraId="6102A0CF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RCEP signatory member nations</w:t>
            </w:r>
          </w:p>
        </w:tc>
        <w:tc>
          <w:tcPr>
            <w:tcW w:w="1870" w:type="dxa"/>
          </w:tcPr>
          <w:p w14:paraId="3CE0131F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CS---A.R.D.L.</w:t>
            </w:r>
          </w:p>
        </w:tc>
        <w:tc>
          <w:tcPr>
            <w:tcW w:w="1870" w:type="dxa"/>
          </w:tcPr>
          <w:p w14:paraId="7B4A51A4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ED monotonically boosts carbon di oxide emissions.</w:t>
            </w:r>
          </w:p>
        </w:tc>
      </w:tr>
      <w:tr w:rsidR="001E6B77" w:rsidRPr="00CD5AD4" w14:paraId="66DC45CE" w14:textId="77777777" w:rsidTr="009B3F5B">
        <w:tc>
          <w:tcPr>
            <w:tcW w:w="1870" w:type="dxa"/>
          </w:tcPr>
          <w:p w14:paraId="26EEFD3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Jiang et al. (2022)</w:t>
            </w:r>
          </w:p>
        </w:tc>
        <w:tc>
          <w:tcPr>
            <w:tcW w:w="1870" w:type="dxa"/>
          </w:tcPr>
          <w:p w14:paraId="3974E2B3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1991–2018</w:t>
            </w:r>
          </w:p>
        </w:tc>
        <w:tc>
          <w:tcPr>
            <w:tcW w:w="1870" w:type="dxa"/>
          </w:tcPr>
          <w:p w14:paraId="5429BDF3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Sample of 96 countries</w:t>
            </w:r>
          </w:p>
        </w:tc>
        <w:tc>
          <w:tcPr>
            <w:tcW w:w="1870" w:type="dxa"/>
          </w:tcPr>
          <w:p w14:paraId="6068F3B5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CCE- M.G, F.M.O.L.S, D.O.L.S</w:t>
            </w:r>
          </w:p>
        </w:tc>
        <w:tc>
          <w:tcPr>
            <w:tcW w:w="1870" w:type="dxa"/>
          </w:tcPr>
          <w:p w14:paraId="355A5E31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Increase in export diversification puts pressure on the EF.</w:t>
            </w:r>
          </w:p>
        </w:tc>
      </w:tr>
      <w:tr w:rsidR="001E6B77" w:rsidRPr="00CD5AD4" w14:paraId="09763281" w14:textId="77777777" w:rsidTr="009B3F5B">
        <w:tc>
          <w:tcPr>
            <w:tcW w:w="1870" w:type="dxa"/>
          </w:tcPr>
          <w:p w14:paraId="2B6EDF08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11924373"/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Zafar et al., (2022)</w:t>
            </w:r>
            <w:bookmarkEnd w:id="0"/>
          </w:p>
        </w:tc>
        <w:tc>
          <w:tcPr>
            <w:tcW w:w="1870" w:type="dxa"/>
          </w:tcPr>
          <w:p w14:paraId="576EFEA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1986–2017</w:t>
            </w:r>
          </w:p>
        </w:tc>
        <w:tc>
          <w:tcPr>
            <w:tcW w:w="1870" w:type="dxa"/>
          </w:tcPr>
          <w:p w14:paraId="582C818B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Sample set of  22 top remittance receiving nations</w:t>
            </w:r>
          </w:p>
        </w:tc>
        <w:tc>
          <w:tcPr>
            <w:tcW w:w="1870" w:type="dxa"/>
          </w:tcPr>
          <w:p w14:paraId="3E729DC5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Cup-FM and CUP-BC and Quantile regression methods  for long-run estimation.</w:t>
            </w:r>
          </w:p>
        </w:tc>
        <w:tc>
          <w:tcPr>
            <w:tcW w:w="1870" w:type="dxa"/>
          </w:tcPr>
          <w:p w14:paraId="4E1B541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ED reduces es the emissions of carbon di oxide</w:t>
            </w:r>
          </w:p>
        </w:tc>
      </w:tr>
      <w:tr w:rsidR="001E6B77" w:rsidRPr="00CD5AD4" w14:paraId="1DCFC7C7" w14:textId="77777777" w:rsidTr="009B3F5B">
        <w:tc>
          <w:tcPr>
            <w:tcW w:w="1870" w:type="dxa"/>
          </w:tcPr>
          <w:p w14:paraId="167C362A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Zhang et al., (2022)</w:t>
            </w:r>
          </w:p>
        </w:tc>
        <w:tc>
          <w:tcPr>
            <w:tcW w:w="1870" w:type="dxa"/>
          </w:tcPr>
          <w:p w14:paraId="36369EAF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1990 to 2016</w:t>
            </w:r>
          </w:p>
        </w:tc>
        <w:tc>
          <w:tcPr>
            <w:tcW w:w="1870" w:type="dxa"/>
          </w:tcPr>
          <w:p w14:paraId="6872669B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Sample of 9 top carbon emitter nations</w:t>
            </w:r>
          </w:p>
        </w:tc>
        <w:tc>
          <w:tcPr>
            <w:tcW w:w="1870" w:type="dxa"/>
          </w:tcPr>
          <w:p w14:paraId="07D729A5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Westerlund test for cointegration, and CS-ARDL for long-run estimation.</w:t>
            </w:r>
          </w:p>
        </w:tc>
        <w:tc>
          <w:tcPr>
            <w:tcW w:w="1870" w:type="dxa"/>
          </w:tcPr>
          <w:p w14:paraId="6465508B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ED led to the increase in the level of emissions.</w:t>
            </w:r>
          </w:p>
        </w:tc>
      </w:tr>
      <w:tr w:rsidR="001E6B77" w:rsidRPr="00CD5AD4" w14:paraId="5EA7121B" w14:textId="77777777" w:rsidTr="009B3F5B">
        <w:tc>
          <w:tcPr>
            <w:tcW w:w="1870" w:type="dxa"/>
          </w:tcPr>
          <w:p w14:paraId="472FEA9E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Saboori et al., (2022)</w:t>
            </w:r>
          </w:p>
        </w:tc>
        <w:tc>
          <w:tcPr>
            <w:tcW w:w="1870" w:type="dxa"/>
          </w:tcPr>
          <w:p w14:paraId="14489AA0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1984 to 2014</w:t>
            </w:r>
          </w:p>
        </w:tc>
        <w:tc>
          <w:tcPr>
            <w:tcW w:w="1870" w:type="dxa"/>
          </w:tcPr>
          <w:p w14:paraId="40609CD4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Oman</w:t>
            </w:r>
          </w:p>
        </w:tc>
        <w:tc>
          <w:tcPr>
            <w:tcW w:w="1870" w:type="dxa"/>
          </w:tcPr>
          <w:p w14:paraId="556D4D6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A.R.D.L,D.O.L.S, F.M.O.L.S.</w:t>
            </w:r>
          </w:p>
        </w:tc>
        <w:tc>
          <w:tcPr>
            <w:tcW w:w="1870" w:type="dxa"/>
          </w:tcPr>
          <w:p w14:paraId="5D3F40D5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ED raises the levels of carbon di oxide emissions.</w:t>
            </w:r>
          </w:p>
        </w:tc>
      </w:tr>
      <w:tr w:rsidR="001E6B77" w:rsidRPr="00CD5AD4" w14:paraId="26692548" w14:textId="77777777" w:rsidTr="009B3F5B">
        <w:tc>
          <w:tcPr>
            <w:tcW w:w="1870" w:type="dxa"/>
          </w:tcPr>
          <w:p w14:paraId="4A6E70C5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Haq et al., (2022)</w:t>
            </w:r>
          </w:p>
        </w:tc>
        <w:tc>
          <w:tcPr>
            <w:tcW w:w="1870" w:type="dxa"/>
          </w:tcPr>
          <w:p w14:paraId="09E9230A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1985 to 2018</w:t>
            </w:r>
          </w:p>
        </w:tc>
        <w:tc>
          <w:tcPr>
            <w:tcW w:w="1870" w:type="dxa"/>
          </w:tcPr>
          <w:p w14:paraId="4FF1F892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1870" w:type="dxa"/>
          </w:tcPr>
          <w:p w14:paraId="10D9CCE3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Vector Error Correction models.</w:t>
            </w:r>
          </w:p>
        </w:tc>
        <w:tc>
          <w:tcPr>
            <w:tcW w:w="1870" w:type="dxa"/>
          </w:tcPr>
          <w:p w14:paraId="0E95DDC2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ED reduces emissions in the short-run but is not significant in the long-run.</w:t>
            </w:r>
          </w:p>
        </w:tc>
      </w:tr>
      <w:tr w:rsidR="001E6B77" w:rsidRPr="00CD5AD4" w14:paraId="43276C1A" w14:textId="77777777" w:rsidTr="009B3F5B">
        <w:tc>
          <w:tcPr>
            <w:tcW w:w="1870" w:type="dxa"/>
          </w:tcPr>
          <w:p w14:paraId="2AC811C6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Saleem et al., (2022)</w:t>
            </w:r>
          </w:p>
        </w:tc>
        <w:tc>
          <w:tcPr>
            <w:tcW w:w="1870" w:type="dxa"/>
          </w:tcPr>
          <w:p w14:paraId="585EB1DE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2000 to 2019</w:t>
            </w:r>
          </w:p>
        </w:tc>
        <w:tc>
          <w:tcPr>
            <w:tcW w:w="1870" w:type="dxa"/>
          </w:tcPr>
          <w:p w14:paraId="43DA82CA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SAARC countries</w:t>
            </w:r>
          </w:p>
        </w:tc>
        <w:tc>
          <w:tcPr>
            <w:tcW w:w="1870" w:type="dxa"/>
          </w:tcPr>
          <w:p w14:paraId="30D863DD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CUP-FM and CUP-BC methods.</w:t>
            </w:r>
          </w:p>
        </w:tc>
        <w:tc>
          <w:tcPr>
            <w:tcW w:w="1870" w:type="dxa"/>
          </w:tcPr>
          <w:p w14:paraId="787BDF03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ED </w:t>
            </w: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enhance</w:t>
            </w:r>
            <w:r w:rsidRPr="00CD5A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environnemental dégradation.</w:t>
            </w:r>
          </w:p>
        </w:tc>
      </w:tr>
      <w:tr w:rsidR="001E6B77" w:rsidRPr="00CD5AD4" w14:paraId="6921B378" w14:textId="77777777" w:rsidTr="009B3F5B">
        <w:tc>
          <w:tcPr>
            <w:tcW w:w="1870" w:type="dxa"/>
          </w:tcPr>
          <w:p w14:paraId="5A6AFE94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Rafique et al., (2022)</w:t>
            </w:r>
          </w:p>
        </w:tc>
        <w:tc>
          <w:tcPr>
            <w:tcW w:w="1870" w:type="dxa"/>
          </w:tcPr>
          <w:p w14:paraId="55B56B80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1980 to 2017.</w:t>
            </w:r>
          </w:p>
        </w:tc>
        <w:tc>
          <w:tcPr>
            <w:tcW w:w="1870" w:type="dxa"/>
          </w:tcPr>
          <w:p w14:paraId="2BE9F162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10 top economic complex countries</w:t>
            </w:r>
          </w:p>
        </w:tc>
        <w:tc>
          <w:tcPr>
            <w:tcW w:w="1870" w:type="dxa"/>
          </w:tcPr>
          <w:p w14:paraId="48DDF4F3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D.O.L.S,F.M.O.L.S AND GMM Methods.</w:t>
            </w:r>
          </w:p>
        </w:tc>
        <w:tc>
          <w:tcPr>
            <w:tcW w:w="1870" w:type="dxa"/>
          </w:tcPr>
          <w:p w14:paraId="060AD88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ED raises the EF.</w:t>
            </w:r>
          </w:p>
        </w:tc>
      </w:tr>
      <w:tr w:rsidR="001E6B77" w:rsidRPr="00CD5AD4" w14:paraId="16BFB99B" w14:textId="77777777" w:rsidTr="009B3F5B">
        <w:tc>
          <w:tcPr>
            <w:tcW w:w="1870" w:type="dxa"/>
          </w:tcPr>
          <w:p w14:paraId="4CEEE92C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Ali et al., (2022)</w:t>
            </w:r>
          </w:p>
        </w:tc>
        <w:tc>
          <w:tcPr>
            <w:tcW w:w="1870" w:type="dxa"/>
          </w:tcPr>
          <w:p w14:paraId="04740A04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1965 and 2017</w:t>
            </w:r>
          </w:p>
        </w:tc>
        <w:tc>
          <w:tcPr>
            <w:tcW w:w="1870" w:type="dxa"/>
          </w:tcPr>
          <w:p w14:paraId="72B0E470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870" w:type="dxa"/>
          </w:tcPr>
          <w:p w14:paraId="0738843E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STIRPAT model  behavior in the A.R.D.L  framework.</w:t>
            </w:r>
          </w:p>
        </w:tc>
        <w:tc>
          <w:tcPr>
            <w:tcW w:w="1870" w:type="dxa"/>
          </w:tcPr>
          <w:p w14:paraId="1E35F333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ED reduces EF in India</w:t>
            </w:r>
          </w:p>
        </w:tc>
      </w:tr>
    </w:tbl>
    <w:p w14:paraId="54402D20" w14:textId="77777777" w:rsidR="001E6B77" w:rsidRPr="00CD5AD4" w:rsidRDefault="001E6B77" w:rsidP="001E6B77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0FF8D8" w14:textId="77777777" w:rsidR="001E6B77" w:rsidRPr="00CD5AD4" w:rsidRDefault="001E6B77" w:rsidP="001E6B7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CA569A" w14:textId="77777777" w:rsidR="001E6B77" w:rsidRPr="00CD5AD4" w:rsidRDefault="001E6B77" w:rsidP="001E6B77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D5AD4">
        <w:rPr>
          <w:rFonts w:ascii="Times New Roman" w:hAnsi="Times New Roman" w:cs="Times New Roman"/>
          <w:bCs/>
          <w:sz w:val="24"/>
          <w:szCs w:val="24"/>
        </w:rPr>
        <w:t>Table A2. Nexus between Eco-innovations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D5AD4">
        <w:rPr>
          <w:rFonts w:ascii="Times New Roman" w:hAnsi="Times New Roman" w:cs="Times New Roman"/>
          <w:bCs/>
          <w:sz w:val="24"/>
          <w:szCs w:val="24"/>
        </w:rPr>
        <w:t>on the environment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2465"/>
      </w:tblGrid>
      <w:tr w:rsidR="001E6B77" w:rsidRPr="00CD5AD4" w14:paraId="0828B02D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92D81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Authors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3ACB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Sample/Period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5D641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Methods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93310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Results</w:t>
            </w:r>
          </w:p>
        </w:tc>
      </w:tr>
      <w:tr w:rsidR="001E6B77" w:rsidRPr="00CD5AD4" w14:paraId="71AA19AD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B6D24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Alvarez-Herranz,  et al., (2017)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6B9CC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OECD economies/1990-2012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2980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Panel Least Square method.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F4B5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 xml:space="preserve">There exists an inverse relationship between eco-innovations and </w:t>
            </w:r>
            <w:r w:rsidRPr="00CD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environmental pollution.</w:t>
            </w:r>
          </w:p>
        </w:tc>
      </w:tr>
      <w:tr w:rsidR="001E6B77" w:rsidRPr="00CD5AD4" w14:paraId="51354CB1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7F038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Shahbaz, et al., (2018)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75D40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France/1995-2016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12FFA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Bootstrap ARDL.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A477C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 xml:space="preserve"> There exists an inverse relation between energy research innovations and  degradation of the environment.</w:t>
            </w:r>
          </w:p>
        </w:tc>
      </w:tr>
      <w:tr w:rsidR="001E6B77" w:rsidRPr="00CD5AD4" w14:paraId="0E220C00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C0AD4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Nguyen et al., (2020)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8296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G- 20 countries/ 2000–2014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92BB5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 xml:space="preserve">Fixed Effect and Panel Quantile </w:t>
            </w:r>
          </w:p>
          <w:p w14:paraId="533EB00B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Regression.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4886A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Given the prices for energy, energy innovation reduces emissions of carbon di oxide. Also export diversification and FDI reduces the emissions of carbon di oxide.</w:t>
            </w:r>
          </w:p>
        </w:tc>
      </w:tr>
      <w:tr w:rsidR="001E6B77" w:rsidRPr="00CD5AD4" w14:paraId="6956E6AD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3060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Afshan, , &amp; Yaqoob, (2022)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B5D4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China/1996-2016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6A771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Quantile ARDL.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25F83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In the long-run eco-innovations leads to  a reduction in the levels of EF.</w:t>
            </w:r>
          </w:p>
        </w:tc>
      </w:tr>
      <w:tr w:rsidR="001E6B77" w:rsidRPr="00CD5AD4" w14:paraId="7BE16F7F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C5CA1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Yunzhao,  (2022)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A67E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E7/ 1995–2018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0D379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 xml:space="preserve">CUP-FM &amp; CUP-BC &amp; Dumitrescu and </w:t>
            </w:r>
            <w:r w:rsidRPr="00CD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Hurlin (2012) heterogeneous Granger causality test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D9888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RE, eco-innovations and environmental  </w:t>
            </w:r>
            <w:r w:rsidRPr="00CD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related taxes reduce carbon emissions.</w:t>
            </w:r>
          </w:p>
        </w:tc>
      </w:tr>
      <w:tr w:rsidR="001E6B77" w:rsidRPr="00CD5AD4" w14:paraId="4D8ED902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F500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Zhao, et al.,  (2022).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DDDCE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G7/ 1995 to 2018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309B2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Augmented Mean Group and Common Correlated Effect Mean Group methods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ADAF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Eco-innovations significantly reduces the degradation of the environment</w:t>
            </w:r>
          </w:p>
        </w:tc>
      </w:tr>
      <w:tr w:rsidR="001E6B77" w:rsidRPr="00CD5AD4" w14:paraId="576DCE4D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7F1AC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Doğan et al., (2022)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F4C6C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G7 &amp;E7 countries/ 1991 to 2017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3854D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F.M.O.L.S, D.O.L.S &amp; C.C.R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DD268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The eco-innovation decreases energy use and carbon di oxide emissions in G7  nations but raises environmental degradation in E7 nations.</w:t>
            </w:r>
          </w:p>
        </w:tc>
      </w:tr>
      <w:tr w:rsidR="001E6B77" w:rsidRPr="00CD5AD4" w14:paraId="00376AA0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036D1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11277742"/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Wei,  &amp; Lihua, (2022).</w:t>
            </w:r>
            <w:bookmarkEnd w:id="1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3B76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ASEAN countries/ 1995–2018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FF590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 xml:space="preserve">Augmented Mean Group and Common Correlated Effect </w:t>
            </w:r>
            <w:r w:rsidRPr="00CD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Mean Group methods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C54A1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Eco-innovations and tourism together mitigates the problems of emissions</w:t>
            </w:r>
          </w:p>
        </w:tc>
      </w:tr>
      <w:tr w:rsidR="001E6B77" w:rsidRPr="00CD5AD4" w14:paraId="565A4762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23033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11277453"/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Mahmood et al., (2022)</w:t>
            </w:r>
            <w:bookmarkEnd w:id="2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FF796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OECD/ 1994 to 2020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9FC4C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Advanced panel estimation methods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0E267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Eco-innovations and eco-taxation promotes green growth</w:t>
            </w:r>
          </w:p>
        </w:tc>
      </w:tr>
      <w:tr w:rsidR="001E6B77" w:rsidRPr="00CD5AD4" w14:paraId="343117E9" w14:textId="77777777" w:rsidTr="009B3F5B"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15CC2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Erdoğan et al., (2022)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0565D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Top tourist destinations/ 1995-2018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E3076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Panel Quantile regression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5F051" w14:textId="77777777" w:rsidR="001E6B77" w:rsidRPr="00CD5AD4" w:rsidRDefault="001E6B77" w:rsidP="009B3F5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AD4">
              <w:rPr>
                <w:rFonts w:ascii="Times New Roman" w:hAnsi="Times New Roman" w:cs="Times New Roman"/>
                <w:sz w:val="24"/>
                <w:szCs w:val="24"/>
              </w:rPr>
              <w:t>International tourism raises emissions at the higher quantiles, while e co-innovations significantly reduces emissions at all quantiles</w:t>
            </w:r>
          </w:p>
        </w:tc>
      </w:tr>
    </w:tbl>
    <w:p w14:paraId="5A6F203B" w14:textId="77777777" w:rsidR="001E6B77" w:rsidRPr="00CD5AD4" w:rsidRDefault="001E6B77" w:rsidP="001E6B7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34686C" w14:textId="77777777" w:rsidR="00AA01D3" w:rsidRDefault="00AA01D3"/>
    <w:sectPr w:rsidR="00AA01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6F9"/>
    <w:rsid w:val="001E6B77"/>
    <w:rsid w:val="00572C80"/>
    <w:rsid w:val="00766B4E"/>
    <w:rsid w:val="007E407C"/>
    <w:rsid w:val="009D653E"/>
    <w:rsid w:val="00A25AA3"/>
    <w:rsid w:val="00AA01D3"/>
    <w:rsid w:val="00DC3A7C"/>
    <w:rsid w:val="00EF7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0DB20"/>
  <w15:chartTrackingRefBased/>
  <w15:docId w15:val="{430D9DCF-7A82-4756-9364-8EC2CD6E6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A7C"/>
    <w:pPr>
      <w:spacing w:line="256" w:lineRule="auto"/>
    </w:pPr>
  </w:style>
  <w:style w:type="paragraph" w:styleId="Heading2">
    <w:name w:val="heading 2"/>
    <w:basedOn w:val="Normal"/>
    <w:next w:val="Normal"/>
    <w:link w:val="Heading2Char"/>
    <w:qFormat/>
    <w:rsid w:val="00DC3A7C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DC3A7C"/>
    <w:rPr>
      <w:rFonts w:cs="Arial"/>
      <w:b/>
      <w:bCs/>
      <w:i/>
      <w:iCs/>
      <w:szCs w:val="28"/>
    </w:rPr>
  </w:style>
  <w:style w:type="paragraph" w:customStyle="1" w:styleId="Tabletitle">
    <w:name w:val="Table title"/>
    <w:basedOn w:val="Normal"/>
    <w:next w:val="Normal"/>
    <w:qFormat/>
    <w:rsid w:val="00DC3A7C"/>
    <w:pPr>
      <w:spacing w:before="240" w:line="360" w:lineRule="auto"/>
    </w:pPr>
  </w:style>
  <w:style w:type="table" w:styleId="TableGrid">
    <w:name w:val="Table Grid"/>
    <w:basedOn w:val="TableNormal"/>
    <w:uiPriority w:val="39"/>
    <w:rsid w:val="00DC3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584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Hemachandra Padhan</dc:creator>
  <cp:keywords/>
  <dc:description/>
  <cp:lastModifiedBy>Poonam Mutha</cp:lastModifiedBy>
  <cp:revision>8</cp:revision>
  <dcterms:created xsi:type="dcterms:W3CDTF">2022-09-23T03:54:00Z</dcterms:created>
  <dcterms:modified xsi:type="dcterms:W3CDTF">2023-01-24T19:02:00Z</dcterms:modified>
</cp:coreProperties>
</file>