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81498" w14:textId="4C8D422F" w:rsidR="0068118D" w:rsidRPr="00A348A9" w:rsidRDefault="0068118D" w:rsidP="00A348A9">
      <w:pPr>
        <w:bidi w:val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68118D">
        <w:rPr>
          <w:rFonts w:asciiTheme="majorBidi" w:hAnsiTheme="majorBidi" w:cstheme="majorBidi"/>
          <w:b/>
          <w:bCs/>
          <w:sz w:val="28"/>
          <w:szCs w:val="28"/>
        </w:rPr>
        <w:t>Supplementary materials (S)</w:t>
      </w:r>
    </w:p>
    <w:p w14:paraId="67508FF4" w14:textId="75CB6431" w:rsidR="009F279D" w:rsidRPr="00CC730F" w:rsidRDefault="00095316" w:rsidP="009F279D">
      <w:pPr>
        <w:autoSpaceDE w:val="0"/>
        <w:autoSpaceDN w:val="0"/>
        <w:bidi w:val="0"/>
        <w:adjustRightInd w:val="0"/>
        <w:spacing w:after="12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121353721"/>
      <w:bookmarkStart w:id="1" w:name="_Hlk95162712"/>
      <w:bookmarkStart w:id="2" w:name="_Hlk96465248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Mathematical Processing of Absorption as </w:t>
      </w:r>
      <w:bookmarkEnd w:id="0"/>
      <w:r w:rsidR="009F279D">
        <w:rPr>
          <w:rFonts w:asciiTheme="majorBidi" w:hAnsiTheme="majorBidi" w:cstheme="majorBidi"/>
          <w:b/>
          <w:bCs/>
          <w:sz w:val="24"/>
          <w:szCs w:val="24"/>
        </w:rPr>
        <w:t xml:space="preserve">Green </w:t>
      </w:r>
      <w:r w:rsidR="009F279D" w:rsidRPr="00CC730F">
        <w:rPr>
          <w:rFonts w:asciiTheme="majorBidi" w:hAnsiTheme="majorBidi" w:cstheme="majorBidi"/>
          <w:b/>
          <w:bCs/>
          <w:sz w:val="24"/>
          <w:szCs w:val="24"/>
        </w:rPr>
        <w:t xml:space="preserve">Smart Spectrophotometric Methods for Concurrent Assay of Hepatitis C Antiviral Drugs, </w:t>
      </w:r>
      <w:bookmarkStart w:id="3" w:name="_Hlk92746257"/>
      <w:r w:rsidR="009F279D" w:rsidRPr="00CC730F">
        <w:rPr>
          <w:rFonts w:asciiTheme="majorBidi" w:hAnsiTheme="majorBidi" w:cstheme="majorBidi"/>
          <w:b/>
          <w:bCs/>
          <w:sz w:val="24"/>
          <w:szCs w:val="24"/>
        </w:rPr>
        <w:t xml:space="preserve">Sofosbuvir </w:t>
      </w:r>
      <w:bookmarkEnd w:id="3"/>
      <w:r w:rsidR="009F279D" w:rsidRPr="00CC730F">
        <w:rPr>
          <w:rFonts w:asciiTheme="majorBidi" w:hAnsiTheme="majorBidi" w:cstheme="majorBidi"/>
          <w:b/>
          <w:bCs/>
          <w:sz w:val="24"/>
          <w:szCs w:val="24"/>
        </w:rPr>
        <w:t xml:space="preserve">and </w:t>
      </w:r>
      <w:bookmarkStart w:id="4" w:name="_Hlk92746224"/>
      <w:r w:rsidR="009F279D" w:rsidRPr="00CC730F">
        <w:rPr>
          <w:rFonts w:asciiTheme="majorBidi" w:hAnsiTheme="majorBidi" w:cstheme="majorBidi"/>
          <w:b/>
          <w:bCs/>
          <w:sz w:val="24"/>
          <w:szCs w:val="24"/>
        </w:rPr>
        <w:t>Simeprevir</w:t>
      </w:r>
      <w:bookmarkEnd w:id="4"/>
      <w:r w:rsidR="009F279D" w:rsidRPr="00CC730F">
        <w:rPr>
          <w:rFonts w:asciiTheme="majorBidi" w:hAnsiTheme="majorBidi" w:cstheme="majorBidi"/>
          <w:b/>
          <w:bCs/>
          <w:sz w:val="24"/>
          <w:szCs w:val="24"/>
        </w:rPr>
        <w:t xml:space="preserve">: Application to </w:t>
      </w:r>
      <w:bookmarkStart w:id="5" w:name="_Hlk92745716"/>
      <w:r w:rsidR="009F279D" w:rsidRPr="00CC730F">
        <w:rPr>
          <w:rFonts w:asciiTheme="majorBidi" w:hAnsiTheme="majorBidi" w:cstheme="majorBidi"/>
          <w:b/>
          <w:bCs/>
          <w:sz w:val="24"/>
          <w:szCs w:val="24"/>
        </w:rPr>
        <w:t>Combined Pharmaceutical Dosage Forms</w:t>
      </w:r>
      <w:bookmarkEnd w:id="1"/>
      <w:bookmarkEnd w:id="5"/>
      <w:r w:rsidR="009F279D" w:rsidRPr="00CC730F">
        <w:rPr>
          <w:rFonts w:asciiTheme="majorBidi" w:hAnsiTheme="majorBidi" w:cstheme="majorBidi"/>
          <w:b/>
          <w:bCs/>
          <w:sz w:val="24"/>
          <w:szCs w:val="24"/>
        </w:rPr>
        <w:t>.</w:t>
      </w:r>
    </w:p>
    <w:bookmarkEnd w:id="2"/>
    <w:p w14:paraId="18AF8126" w14:textId="6C3C38B0" w:rsidR="009F279D" w:rsidRPr="00CC730F" w:rsidRDefault="009F279D" w:rsidP="00A348A9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eastAsia="Times New Roman" w:hAnsiTheme="majorBidi" w:cstheme="majorBidi"/>
          <w:b/>
          <w:bCs/>
          <w:rtl/>
        </w:rPr>
      </w:pPr>
      <w:r w:rsidRPr="00CC730F">
        <w:rPr>
          <w:rFonts w:asciiTheme="majorBidi" w:eastAsia="Times New Roman" w:hAnsiTheme="majorBidi" w:cstheme="majorBidi"/>
          <w:b/>
          <w:bCs/>
        </w:rPr>
        <w:t>Sayed M Derayea</w:t>
      </w:r>
      <w:r w:rsidR="00FF0349">
        <w:rPr>
          <w:rFonts w:asciiTheme="majorBidi" w:eastAsia="Times New Roman" w:hAnsiTheme="majorBidi" w:cstheme="majorBidi"/>
          <w:b/>
          <w:bCs/>
          <w:vertAlign w:val="superscript"/>
        </w:rPr>
        <w:t>1</w:t>
      </w:r>
      <w:r w:rsidRPr="00CC730F">
        <w:rPr>
          <w:rFonts w:asciiTheme="majorBidi" w:eastAsia="Times New Roman" w:hAnsiTheme="majorBidi" w:cstheme="majorBidi"/>
          <w:b/>
          <w:bCs/>
        </w:rPr>
        <w:t>, Amal E. Hamad</w:t>
      </w:r>
      <w:r w:rsidR="00FF0349">
        <w:rPr>
          <w:rFonts w:asciiTheme="majorBidi" w:eastAsia="Times New Roman" w:hAnsiTheme="majorBidi" w:cstheme="majorBidi"/>
          <w:b/>
          <w:bCs/>
          <w:vertAlign w:val="superscript"/>
        </w:rPr>
        <w:t>2</w:t>
      </w:r>
      <w:r w:rsidRPr="00CC730F">
        <w:rPr>
          <w:rFonts w:asciiTheme="majorBidi" w:eastAsia="Times New Roman" w:hAnsiTheme="majorBidi" w:cstheme="majorBidi"/>
          <w:b/>
          <w:bCs/>
        </w:rPr>
        <w:t>, Bassam Shaaban Mohammed</w:t>
      </w:r>
      <w:r w:rsidR="00115480" w:rsidRPr="000169B9">
        <w:rPr>
          <w:rFonts w:asciiTheme="majorBidi" w:eastAsia="Times New Roman" w:hAnsiTheme="majorBidi" w:cstheme="majorBidi"/>
          <w:vertAlign w:val="superscript"/>
        </w:rPr>
        <w:t>*</w:t>
      </w:r>
      <w:r w:rsidR="00FF0349">
        <w:rPr>
          <w:rFonts w:asciiTheme="majorBidi" w:eastAsia="Times New Roman" w:hAnsiTheme="majorBidi" w:cstheme="majorBidi"/>
          <w:b/>
          <w:bCs/>
          <w:vertAlign w:val="superscript"/>
        </w:rPr>
        <w:t>2</w:t>
      </w:r>
    </w:p>
    <w:p w14:paraId="1FFA4BCC" w14:textId="77777777" w:rsidR="009F279D" w:rsidRPr="00CC730F" w:rsidRDefault="009F279D" w:rsidP="00A348A9">
      <w:pPr>
        <w:bidi w:val="0"/>
        <w:spacing w:after="0" w:line="360" w:lineRule="auto"/>
        <w:rPr>
          <w:rFonts w:asciiTheme="majorBidi" w:eastAsia="Times New Roman" w:hAnsiTheme="majorBidi" w:cstheme="majorBidi"/>
        </w:rPr>
      </w:pPr>
      <w:r w:rsidRPr="00CC730F">
        <w:rPr>
          <w:rFonts w:asciiTheme="majorBidi" w:eastAsia="Times New Roman" w:hAnsiTheme="majorBidi" w:cstheme="majorBidi"/>
          <w:b/>
          <w:bCs/>
          <w:vertAlign w:val="superscript"/>
        </w:rPr>
        <w:t xml:space="preserve">1 </w:t>
      </w:r>
      <w:r w:rsidRPr="00CC730F">
        <w:rPr>
          <w:rFonts w:asciiTheme="majorBidi" w:eastAsia="Times New Roman" w:hAnsiTheme="majorBidi" w:cstheme="majorBidi"/>
        </w:rPr>
        <w:t xml:space="preserve">Department of Analytical Chemistry, Faculty of Pharmacy, Minia University, Minia 61519, Egypt  </w:t>
      </w:r>
    </w:p>
    <w:p w14:paraId="1E0C90C3" w14:textId="3A51B359" w:rsidR="009F279D" w:rsidRDefault="009F279D" w:rsidP="00A348A9">
      <w:pPr>
        <w:bidi w:val="0"/>
        <w:spacing w:after="0" w:line="360" w:lineRule="auto"/>
        <w:rPr>
          <w:rFonts w:asciiTheme="majorBidi" w:eastAsia="Times New Roman" w:hAnsiTheme="majorBidi" w:cstheme="majorBidi"/>
        </w:rPr>
      </w:pPr>
      <w:r w:rsidRPr="00CC730F">
        <w:rPr>
          <w:rFonts w:asciiTheme="majorBidi" w:eastAsia="Times New Roman" w:hAnsiTheme="majorBidi" w:cstheme="majorBidi"/>
          <w:b/>
          <w:bCs/>
          <w:vertAlign w:val="superscript"/>
        </w:rPr>
        <w:t xml:space="preserve">2 </w:t>
      </w:r>
      <w:r w:rsidRPr="00CC730F">
        <w:rPr>
          <w:rFonts w:asciiTheme="majorBidi" w:eastAsia="Times New Roman" w:hAnsiTheme="majorBidi" w:cstheme="majorBidi"/>
        </w:rPr>
        <w:t>Department of Pharmaceutical Analytical Chemistry, Faculty of Pharmacy, Menoufia University, Shebin El</w:t>
      </w:r>
      <w:r w:rsidRPr="00CC730F">
        <w:rPr>
          <w:rFonts w:ascii="Cambria Math" w:eastAsia="Times New Roman" w:hAnsi="Cambria Math" w:cs="Cambria Math"/>
        </w:rPr>
        <w:t>‐</w:t>
      </w:r>
      <w:r w:rsidRPr="00CC730F">
        <w:rPr>
          <w:rFonts w:asciiTheme="majorBidi" w:eastAsia="Times New Roman" w:hAnsiTheme="majorBidi" w:cstheme="majorBidi"/>
        </w:rPr>
        <w:t>Kom, Menoufia, Egypt</w:t>
      </w:r>
    </w:p>
    <w:p w14:paraId="6B5A26C2" w14:textId="1B48E118" w:rsidR="0039688A" w:rsidRDefault="0039688A" w:rsidP="0039688A">
      <w:pPr>
        <w:bidi w:val="0"/>
        <w:spacing w:after="0" w:line="360" w:lineRule="auto"/>
        <w:rPr>
          <w:rFonts w:asciiTheme="majorBidi" w:eastAsia="Times New Roman" w:hAnsiTheme="majorBidi" w:cstheme="majorBidi"/>
        </w:rPr>
      </w:pPr>
      <w:r w:rsidRPr="000169B9">
        <w:rPr>
          <w:rFonts w:asciiTheme="majorBidi" w:eastAsia="Times New Roman" w:hAnsiTheme="majorBidi" w:cstheme="majorBidi"/>
          <w:vertAlign w:val="superscript"/>
        </w:rPr>
        <w:t>*</w:t>
      </w:r>
      <w:r w:rsidRPr="0039688A">
        <w:rPr>
          <w:rFonts w:asciiTheme="majorBidi" w:eastAsia="Times New Roman" w:hAnsiTheme="majorBidi" w:cstheme="majorBidi"/>
        </w:rPr>
        <w:t xml:space="preserve">  Correspondence author: Bassam.shaaban@phrm.menofia.edu.eg</w:t>
      </w:r>
    </w:p>
    <w:p w14:paraId="4F50ADC0" w14:textId="728AC598" w:rsidR="0094608F" w:rsidRDefault="0094608F" w:rsidP="0094608F">
      <w:pPr>
        <w:bidi w:val="0"/>
        <w:spacing w:after="0" w:line="360" w:lineRule="auto"/>
        <w:rPr>
          <w:rFonts w:asciiTheme="majorBidi" w:eastAsia="Times New Roman" w:hAnsiTheme="majorBidi" w:cstheme="majorBidi"/>
        </w:rPr>
      </w:pPr>
    </w:p>
    <w:p w14:paraId="50CB5EB7" w14:textId="77777777" w:rsidR="0094608F" w:rsidRDefault="0094608F" w:rsidP="0094608F">
      <w:pPr>
        <w:bidi w:val="0"/>
        <w:spacing w:after="0" w:line="360" w:lineRule="auto"/>
        <w:rPr>
          <w:rFonts w:asciiTheme="majorBidi" w:eastAsia="Times New Roman" w:hAnsiTheme="majorBidi" w:cstheme="majorBidi"/>
        </w:rPr>
      </w:pPr>
    </w:p>
    <w:p w14:paraId="0F8A7CC4" w14:textId="36CFF257" w:rsidR="00B24157" w:rsidRPr="00FC4172" w:rsidRDefault="0094608F" w:rsidP="00B24157">
      <w:pPr>
        <w:bidi w:val="0"/>
        <w:spacing w:after="120" w:line="360" w:lineRule="auto"/>
        <w:jc w:val="center"/>
        <w:rPr>
          <w:noProof/>
          <w:color w:val="FFFFFF" w:themeColor="background1"/>
          <w14:textFill>
            <w14:noFill/>
          </w14:textFill>
        </w:rPr>
      </w:pPr>
      <w:r>
        <w:rPr>
          <w:noProof/>
        </w:rPr>
        <w:drawing>
          <wp:inline distT="0" distB="0" distL="0" distR="0" wp14:anchorId="6290B517" wp14:editId="3D2841E2">
            <wp:extent cx="5048251" cy="3038475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2AFE4BA-56B5-4B66-9A12-788F8A906B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B8E8528" w14:textId="77777777" w:rsidR="00A348A9" w:rsidRDefault="00B24157" w:rsidP="00B24157">
      <w:pPr>
        <w:tabs>
          <w:tab w:val="left" w:pos="2418"/>
        </w:tabs>
        <w:bidi w:val="0"/>
        <w:rPr>
          <w:rStyle w:val="fontstyle21"/>
        </w:rPr>
      </w:pPr>
      <w:bookmarkStart w:id="6" w:name="_Hlk98195768"/>
      <w:r>
        <w:rPr>
          <w:rStyle w:val="fontstyle01"/>
        </w:rPr>
        <w:t xml:space="preserve">Fig. (S1): </w:t>
      </w:r>
      <w:r>
        <w:rPr>
          <w:rStyle w:val="fontstyle21"/>
        </w:rPr>
        <w:t>Calibration curve for the determination of SMV by the proposed</w:t>
      </w:r>
      <w:r>
        <w:rPr>
          <w:color w:val="000000"/>
        </w:rPr>
        <w:t xml:space="preserve"> </w:t>
      </w:r>
      <w:r>
        <w:rPr>
          <w:rStyle w:val="fontstyle21"/>
        </w:rPr>
        <w:t>method at 335 nm.</w:t>
      </w:r>
    </w:p>
    <w:bookmarkEnd w:id="6"/>
    <w:p w14:paraId="7B6628E4" w14:textId="255DB61A" w:rsidR="00B24157" w:rsidRDefault="00B24157" w:rsidP="00A348A9">
      <w:pPr>
        <w:tabs>
          <w:tab w:val="left" w:pos="2418"/>
        </w:tabs>
        <w:bidi w:val="0"/>
        <w:jc w:val="center"/>
        <w:rPr>
          <w:noProof/>
        </w:rPr>
      </w:pPr>
    </w:p>
    <w:p w14:paraId="171FC3F6" w14:textId="385FC8A7" w:rsidR="0094608F" w:rsidRDefault="0094608F" w:rsidP="0094608F">
      <w:pPr>
        <w:tabs>
          <w:tab w:val="left" w:pos="2418"/>
        </w:tabs>
        <w:bidi w:val="0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4DA1843C" wp14:editId="0BC9DB08">
            <wp:extent cx="4905375" cy="3048001"/>
            <wp:effectExtent l="0" t="0" r="0" b="0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DD267E3D-595C-4C62-A802-47CC787FBA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47BD1B2" w14:textId="1E6C05DE" w:rsidR="00A348A9" w:rsidRDefault="00A348A9" w:rsidP="00A348A9">
      <w:pPr>
        <w:tabs>
          <w:tab w:val="left" w:pos="2418"/>
        </w:tabs>
        <w:bidi w:val="0"/>
        <w:rPr>
          <w:rStyle w:val="fontstyle21"/>
        </w:rPr>
      </w:pPr>
      <w:bookmarkStart w:id="7" w:name="_Hlk98195925"/>
      <w:r>
        <w:rPr>
          <w:rStyle w:val="fontstyle01"/>
        </w:rPr>
        <w:t xml:space="preserve">Fig. (S2): </w:t>
      </w:r>
      <w:r>
        <w:rPr>
          <w:rStyle w:val="fontstyle21"/>
        </w:rPr>
        <w:t xml:space="preserve">Calibration curve for the determination of SOF by the </w:t>
      </w:r>
      <w:r w:rsidRPr="00A348A9">
        <w:rPr>
          <w:rStyle w:val="fontstyle21"/>
        </w:rPr>
        <w:t>Isosbestic point method</w:t>
      </w:r>
      <w:r w:rsidR="00F53D2E">
        <w:rPr>
          <w:rStyle w:val="fontstyle21"/>
        </w:rPr>
        <w:t>.</w:t>
      </w:r>
    </w:p>
    <w:bookmarkEnd w:id="7"/>
    <w:p w14:paraId="249B3C5C" w14:textId="72675CFA" w:rsidR="00A348A9" w:rsidRDefault="00A348A9" w:rsidP="00A348A9">
      <w:pPr>
        <w:bidi w:val="0"/>
        <w:rPr>
          <w:noProof/>
        </w:rPr>
      </w:pPr>
    </w:p>
    <w:p w14:paraId="0266CE92" w14:textId="73440766" w:rsidR="00A348A9" w:rsidRDefault="00125ED6" w:rsidP="00F53D2E">
      <w:pPr>
        <w:tabs>
          <w:tab w:val="left" w:pos="3025"/>
        </w:tabs>
        <w:bidi w:val="0"/>
        <w:jc w:val="center"/>
        <w:rPr>
          <w:noProof/>
        </w:rPr>
      </w:pPr>
      <w:r>
        <w:rPr>
          <w:noProof/>
        </w:rPr>
        <w:drawing>
          <wp:inline distT="0" distB="0" distL="0" distR="0" wp14:anchorId="13DCD89B" wp14:editId="2619DF90">
            <wp:extent cx="4933950" cy="3219450"/>
            <wp:effectExtent l="0" t="0" r="0" b="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620E2FBD-AB5A-42C8-BFB0-8AEA6816EA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A24772A" w14:textId="5A58F4B9" w:rsidR="00F53D2E" w:rsidRDefault="00F53D2E" w:rsidP="00F53D2E">
      <w:pPr>
        <w:tabs>
          <w:tab w:val="left" w:pos="2418"/>
        </w:tabs>
        <w:bidi w:val="0"/>
        <w:rPr>
          <w:rStyle w:val="fontstyle21"/>
        </w:rPr>
      </w:pPr>
      <w:bookmarkStart w:id="8" w:name="_Hlk98196048"/>
      <w:r>
        <w:rPr>
          <w:rStyle w:val="fontstyle01"/>
        </w:rPr>
        <w:t xml:space="preserve">Fig. (S3): </w:t>
      </w:r>
      <w:r>
        <w:rPr>
          <w:rStyle w:val="fontstyle21"/>
        </w:rPr>
        <w:t xml:space="preserve">Calibration curve for the determination of SOF by the </w:t>
      </w:r>
      <w:r w:rsidRPr="00F53D2E">
        <w:rPr>
          <w:rStyle w:val="fontstyle21"/>
        </w:rPr>
        <w:t>Ratio subtraction method</w:t>
      </w:r>
      <w:r>
        <w:rPr>
          <w:rStyle w:val="fontstyle21"/>
        </w:rPr>
        <w:t>.</w:t>
      </w:r>
    </w:p>
    <w:bookmarkEnd w:id="8"/>
    <w:p w14:paraId="7B9438CC" w14:textId="404597B9" w:rsidR="00F53D2E" w:rsidRDefault="00F53D2E" w:rsidP="00F53D2E">
      <w:pPr>
        <w:bidi w:val="0"/>
        <w:jc w:val="center"/>
        <w:rPr>
          <w:rFonts w:asciiTheme="majorBidi" w:eastAsia="Times New Roman" w:hAnsiTheme="majorBidi" w:cstheme="majorBidi"/>
        </w:rPr>
      </w:pPr>
    </w:p>
    <w:p w14:paraId="48DA6D4C" w14:textId="400C8F30" w:rsidR="00281261" w:rsidRDefault="00060D16" w:rsidP="00281261">
      <w:pPr>
        <w:bidi w:val="0"/>
        <w:jc w:val="center"/>
        <w:rPr>
          <w:rStyle w:val="fontstyle01"/>
        </w:rPr>
      </w:pPr>
      <w:r>
        <w:rPr>
          <w:noProof/>
        </w:rPr>
        <w:lastRenderedPageBreak/>
        <w:drawing>
          <wp:inline distT="0" distB="0" distL="0" distR="0" wp14:anchorId="3CDE059F" wp14:editId="43C41179">
            <wp:extent cx="5381625" cy="3267075"/>
            <wp:effectExtent l="0" t="0" r="0" b="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1EB22A4C-2F19-48F0-AAA1-E87411B6636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56AA62C" w14:textId="286246CD" w:rsidR="00281261" w:rsidRDefault="00281261" w:rsidP="00281261">
      <w:pPr>
        <w:tabs>
          <w:tab w:val="left" w:pos="2418"/>
        </w:tabs>
        <w:bidi w:val="0"/>
        <w:rPr>
          <w:rStyle w:val="fontstyle21"/>
        </w:rPr>
      </w:pPr>
      <w:r>
        <w:rPr>
          <w:rStyle w:val="fontstyle01"/>
        </w:rPr>
        <w:t xml:space="preserve">Fig. (S4): </w:t>
      </w:r>
      <w:r>
        <w:rPr>
          <w:rStyle w:val="fontstyle21"/>
        </w:rPr>
        <w:t xml:space="preserve">Calibration curve for the determination of SOF by </w:t>
      </w:r>
      <w:r w:rsidRPr="00281261">
        <w:rPr>
          <w:rStyle w:val="fontstyle21"/>
        </w:rPr>
        <w:t>Dual wavelength method</w:t>
      </w:r>
      <w:r>
        <w:rPr>
          <w:rStyle w:val="fontstyle21"/>
        </w:rPr>
        <w:t>.</w:t>
      </w:r>
    </w:p>
    <w:p w14:paraId="0E61CB07" w14:textId="77777777" w:rsidR="00281261" w:rsidRPr="00281261" w:rsidRDefault="00281261" w:rsidP="00281261">
      <w:pPr>
        <w:bidi w:val="0"/>
        <w:jc w:val="center"/>
        <w:rPr>
          <w:rFonts w:asciiTheme="majorBidi" w:eastAsia="Times New Roman" w:hAnsiTheme="majorBidi" w:cstheme="majorBidi"/>
        </w:rPr>
      </w:pPr>
    </w:p>
    <w:sectPr w:rsidR="00281261" w:rsidRPr="00281261" w:rsidSect="00A348A9">
      <w:pgSz w:w="11907" w:h="16839" w:code="9"/>
      <w:pgMar w:top="990" w:right="1107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4F5A"/>
    <w:rsid w:val="000169B9"/>
    <w:rsid w:val="00060D16"/>
    <w:rsid w:val="00094DD2"/>
    <w:rsid w:val="00095316"/>
    <w:rsid w:val="000B5381"/>
    <w:rsid w:val="000C5591"/>
    <w:rsid w:val="00115480"/>
    <w:rsid w:val="00125ED6"/>
    <w:rsid w:val="001E132F"/>
    <w:rsid w:val="002717EE"/>
    <w:rsid w:val="00281261"/>
    <w:rsid w:val="0039688A"/>
    <w:rsid w:val="004D66C8"/>
    <w:rsid w:val="004F6664"/>
    <w:rsid w:val="00642499"/>
    <w:rsid w:val="0068118D"/>
    <w:rsid w:val="00883D0B"/>
    <w:rsid w:val="00904380"/>
    <w:rsid w:val="0094608F"/>
    <w:rsid w:val="009F279D"/>
    <w:rsid w:val="00A348A9"/>
    <w:rsid w:val="00A94A2C"/>
    <w:rsid w:val="00AC0861"/>
    <w:rsid w:val="00B24157"/>
    <w:rsid w:val="00BA0FC0"/>
    <w:rsid w:val="00C25252"/>
    <w:rsid w:val="00D64F5A"/>
    <w:rsid w:val="00D91F12"/>
    <w:rsid w:val="00DF3A1B"/>
    <w:rsid w:val="00DF5F26"/>
    <w:rsid w:val="00E94A8F"/>
    <w:rsid w:val="00F53D2E"/>
    <w:rsid w:val="00FC4172"/>
    <w:rsid w:val="00FF0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9A85A"/>
  <w15:docId w15:val="{F655E514-4977-4B27-8C4E-96FCE850C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A2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4DD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6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6C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D66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01">
    <w:name w:val="fontstyle01"/>
    <w:basedOn w:val="DefaultParagraphFont"/>
    <w:rsid w:val="00B2415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B2415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788648293963258"/>
          <c:y val="8.8379629629629627E-2"/>
          <c:w val="0.80889129483814548"/>
          <c:h val="0.73940616797900249"/>
        </c:manualLayout>
      </c:layout>
      <c:scatterChart>
        <c:scatterStyle val="lineMarker"/>
        <c:varyColors val="0"/>
        <c:ser>
          <c:idx val="0"/>
          <c:order val="0"/>
          <c:tx>
            <c:strRef>
              <c:f>'validation SMV 335nm'!$B$2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9525" cap="flat" cmpd="sng" algn="ctr">
                <a:solidFill>
                  <a:schemeClr val="dk1">
                    <a:shade val="95000"/>
                    <a:satMod val="105000"/>
                  </a:schemeClr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33264304461942257"/>
                  <c:y val="-7.8754738990959462E-3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errBars>
            <c:errDir val="y"/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'validation SMV 335nm'!$A$3:$A$10</c:f>
              <c:numCache>
                <c:formatCode>General</c:formatCode>
                <c:ptCount val="8"/>
                <c:pt idx="0">
                  <c:v>3</c:v>
                </c:pt>
                <c:pt idx="1">
                  <c:v>5</c:v>
                </c:pt>
                <c:pt idx="2">
                  <c:v>10</c:v>
                </c:pt>
                <c:pt idx="3">
                  <c:v>15</c:v>
                </c:pt>
                <c:pt idx="4">
                  <c:v>20</c:v>
                </c:pt>
                <c:pt idx="5">
                  <c:v>30</c:v>
                </c:pt>
                <c:pt idx="6">
                  <c:v>40</c:v>
                </c:pt>
                <c:pt idx="7">
                  <c:v>50</c:v>
                </c:pt>
              </c:numCache>
            </c:numRef>
          </c:xVal>
          <c:yVal>
            <c:numRef>
              <c:f>'validation SMV 335nm'!$B$3:$B$10</c:f>
              <c:numCache>
                <c:formatCode>General</c:formatCode>
                <c:ptCount val="8"/>
                <c:pt idx="0">
                  <c:v>7.1999999999999995E-2</c:v>
                </c:pt>
                <c:pt idx="1">
                  <c:v>0.10100000000000001</c:v>
                </c:pt>
                <c:pt idx="2">
                  <c:v>0.18</c:v>
                </c:pt>
                <c:pt idx="3">
                  <c:v>0.25800000000000001</c:v>
                </c:pt>
                <c:pt idx="4">
                  <c:v>0.32600000000000001</c:v>
                </c:pt>
                <c:pt idx="5">
                  <c:v>0.47199999999999998</c:v>
                </c:pt>
                <c:pt idx="6">
                  <c:v>0.63</c:v>
                </c:pt>
                <c:pt idx="7">
                  <c:v>0.77900000000000003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61F-4292-84A0-27709E2B90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51925120"/>
        <c:axId val="451927040"/>
      </c:scatterChart>
      <c:valAx>
        <c:axId val="451925120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 (µg/ml)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451927040"/>
        <c:crosses val="autoZero"/>
        <c:crossBetween val="midCat"/>
        <c:majorUnit val="5"/>
      </c:valAx>
      <c:valAx>
        <c:axId val="451927040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Absorbance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451925120"/>
        <c:crosses val="autoZero"/>
        <c:crossBetween val="midCat"/>
      </c:valAx>
      <c:spPr>
        <a:noFill/>
        <a:ln w="25400" cap="flat" cmpd="sng" algn="ctr">
          <a:solidFill>
            <a:schemeClr val="dk1"/>
          </a:solidFill>
          <a:prstDash val="solid"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1200" b="1">
          <a:ln>
            <a:noFill/>
          </a:ln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110214348206479"/>
          <c:y val="6.8657771945173543E-2"/>
          <c:w val="0.81285629921259861"/>
          <c:h val="0.75813221784776907"/>
        </c:manualLayout>
      </c:layout>
      <c:scatterChart>
        <c:scatterStyle val="lineMarker"/>
        <c:varyColors val="0"/>
        <c:ser>
          <c:idx val="0"/>
          <c:order val="0"/>
          <c:tx>
            <c:strRef>
              <c:f>'SOF at 273 nm'!$B$2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9525" cap="flat" cmpd="sng" algn="ctr">
                <a:solidFill>
                  <a:schemeClr val="dk1">
                    <a:shade val="95000"/>
                    <a:satMod val="105000"/>
                  </a:schemeClr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33432983377077879"/>
                  <c:y val="-4.268226888305629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errBars>
            <c:errDir val="y"/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'SOF at 273 nm'!$A$3:$A$10</c:f>
              <c:numCache>
                <c:formatCode>General</c:formatCode>
                <c:ptCount val="8"/>
                <c:pt idx="0">
                  <c:v>2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20</c:v>
                </c:pt>
                <c:pt idx="5">
                  <c:v>30</c:v>
                </c:pt>
                <c:pt idx="6">
                  <c:v>40</c:v>
                </c:pt>
                <c:pt idx="7">
                  <c:v>50</c:v>
                </c:pt>
              </c:numCache>
            </c:numRef>
          </c:xVal>
          <c:yVal>
            <c:numRef>
              <c:f>'SOF at 273 nm'!$B$3:$B$10</c:f>
              <c:numCache>
                <c:formatCode>General</c:formatCode>
                <c:ptCount val="8"/>
                <c:pt idx="0">
                  <c:v>0.112</c:v>
                </c:pt>
                <c:pt idx="1">
                  <c:v>0.13500000000000001</c:v>
                </c:pt>
                <c:pt idx="2">
                  <c:v>0.18</c:v>
                </c:pt>
                <c:pt idx="3">
                  <c:v>0.20699999999999999</c:v>
                </c:pt>
                <c:pt idx="4">
                  <c:v>0.316</c:v>
                </c:pt>
                <c:pt idx="5">
                  <c:v>0.42299999999999999</c:v>
                </c:pt>
                <c:pt idx="6">
                  <c:v>0.54700000000000004</c:v>
                </c:pt>
                <c:pt idx="7">
                  <c:v>0.66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DD6-436A-8FCD-AEDEA1FEC6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51871488"/>
        <c:axId val="451873408"/>
      </c:scatterChart>
      <c:valAx>
        <c:axId val="451871488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 (µg/ml)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451873408"/>
        <c:crosses val="autoZero"/>
        <c:crossBetween val="midCat"/>
        <c:majorUnit val="5"/>
      </c:valAx>
      <c:valAx>
        <c:axId val="451873408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Absorbance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451871488"/>
        <c:crosses val="autoZero"/>
        <c:crossBetween val="midCat"/>
      </c:valAx>
      <c:spPr>
        <a:solidFill>
          <a:schemeClr val="lt1"/>
        </a:solidFill>
        <a:ln w="25400" cap="flat" cmpd="sng" algn="ctr">
          <a:solidFill>
            <a:schemeClr val="dk1"/>
          </a:solidFill>
          <a:prstDash val="solid"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1200" b="1">
          <a:solidFill>
            <a:schemeClr val="tx1"/>
          </a:solidFill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10870516185476"/>
          <c:y val="7.4654987653170565E-2"/>
          <c:w val="0.81166907261592303"/>
          <c:h val="0.74533848949354709"/>
        </c:manualLayout>
      </c:layout>
      <c:scatterChart>
        <c:scatterStyle val="lineMarker"/>
        <c:varyColors val="0"/>
        <c:ser>
          <c:idx val="0"/>
          <c:order val="0"/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9525" cap="flat" cmpd="sng" algn="ctr">
                <a:solidFill>
                  <a:schemeClr val="dk1">
                    <a:shade val="95000"/>
                    <a:satMod val="105000"/>
                  </a:schemeClr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38264304461942256"/>
                  <c:y val="-1.8478783902012252E-2"/>
                </c:manualLayout>
              </c:layout>
              <c:tx>
                <c:rich>
                  <a:bodyPr rot="0" vert="horz"/>
                  <a:lstStyle/>
                  <a:p>
                    <a:pPr>
                      <a:defRPr/>
                    </a:pPr>
                    <a:r>
                      <a:rPr lang="en-US"/>
                      <a:t>y = 0.018x + 0.0605</a:t>
                    </a:r>
                    <a:br>
                      <a:rPr lang="en-US"/>
                    </a:br>
                    <a:r>
                      <a:rPr lang="en-US"/>
                      <a:t>R² = 0.9998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</c:trendlineLbl>
          </c:trendline>
          <c:errBars>
            <c:errDir val="y"/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'SOF at 260 nm ratio subt.'!$A$3:$A$10</c:f>
              <c:numCache>
                <c:formatCode>General</c:formatCode>
                <c:ptCount val="8"/>
                <c:pt idx="0">
                  <c:v>2</c:v>
                </c:pt>
                <c:pt idx="1">
                  <c:v>4</c:v>
                </c:pt>
                <c:pt idx="2">
                  <c:v>8</c:v>
                </c:pt>
                <c:pt idx="3">
                  <c:v>10</c:v>
                </c:pt>
                <c:pt idx="4">
                  <c:v>20</c:v>
                </c:pt>
                <c:pt idx="5">
                  <c:v>30</c:v>
                </c:pt>
                <c:pt idx="6">
                  <c:v>40</c:v>
                </c:pt>
                <c:pt idx="7">
                  <c:v>50</c:v>
                </c:pt>
              </c:numCache>
            </c:numRef>
          </c:xVal>
          <c:yVal>
            <c:numRef>
              <c:f>'SOF at 260 nm ratio subt.'!$B$3:$B$10</c:f>
              <c:numCache>
                <c:formatCode>General</c:formatCode>
                <c:ptCount val="8"/>
                <c:pt idx="0">
                  <c:v>9.6000000000000002E-2</c:v>
                </c:pt>
                <c:pt idx="1">
                  <c:v>0.13100000000000001</c:v>
                </c:pt>
                <c:pt idx="2">
                  <c:v>0.20499999999999999</c:v>
                </c:pt>
                <c:pt idx="3">
                  <c:v>0.245</c:v>
                </c:pt>
                <c:pt idx="4">
                  <c:v>0.41199999999999998</c:v>
                </c:pt>
                <c:pt idx="5">
                  <c:v>0.60499999999999998</c:v>
                </c:pt>
                <c:pt idx="6">
                  <c:v>0.77300000000000002</c:v>
                </c:pt>
                <c:pt idx="7">
                  <c:v>0.96099999999999997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209-4E49-8485-C5B8F5856D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8360832"/>
        <c:axId val="448362752"/>
      </c:scatterChart>
      <c:valAx>
        <c:axId val="448360832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 (µg/ml)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448362752"/>
        <c:crosses val="autoZero"/>
        <c:crossBetween val="midCat"/>
        <c:majorUnit val="5"/>
      </c:valAx>
      <c:valAx>
        <c:axId val="448362752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Absorbance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448360832"/>
        <c:crosses val="autoZero"/>
        <c:crossBetween val="midCat"/>
      </c:valAx>
      <c:spPr>
        <a:solidFill>
          <a:schemeClr val="lt1"/>
        </a:solidFill>
        <a:ln w="25400" cap="flat" cmpd="sng" algn="ctr">
          <a:solidFill>
            <a:schemeClr val="dk1"/>
          </a:solidFill>
          <a:prstDash val="solid"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 b="1"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374404418959824"/>
          <c:y val="0.12409672876256321"/>
          <c:w val="0.80374221514993549"/>
          <c:h val="0.70557976171345926"/>
        </c:manualLayout>
      </c:layout>
      <c:scatterChart>
        <c:scatterStyle val="lineMarker"/>
        <c:varyColors val="0"/>
        <c:ser>
          <c:idx val="0"/>
          <c:order val="0"/>
          <c:tx>
            <c:strRef>
              <c:f>'Dual wavelenght'!$B$2</c:f>
              <c:strCache>
                <c:ptCount val="1"/>
                <c:pt idx="0">
                  <c:v>A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9525" cap="rnd">
                <a:solidFill>
                  <a:schemeClr val="dk1">
                    <a:shade val="95000"/>
                    <a:satMod val="105000"/>
                  </a:schemeClr>
                </a:solidFill>
                <a:round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35123556430446201"/>
                  <c:y val="-2.5260279965004379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vert="horz"/>
                <a:lstStyle/>
                <a:p>
                  <a:pPr>
                    <a:defRPr/>
                  </a:pPr>
                  <a:endParaRPr lang="en-US"/>
                </a:p>
              </c:txPr>
            </c:trendlineLbl>
          </c:trendline>
          <c:errBars>
            <c:errDir val="y"/>
            <c:errBarType val="both"/>
            <c:errValType val="percentage"/>
            <c:noEndCap val="0"/>
            <c:val val="5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'Dual wavelenght'!$A$3:$A$9</c:f>
              <c:numCache>
                <c:formatCode>General</c:formatCode>
                <c:ptCount val="7"/>
                <c:pt idx="0">
                  <c:v>4</c:v>
                </c:pt>
                <c:pt idx="1">
                  <c:v>8</c:v>
                </c:pt>
                <c:pt idx="2">
                  <c:v>10</c:v>
                </c:pt>
                <c:pt idx="3">
                  <c:v>20</c:v>
                </c:pt>
                <c:pt idx="4">
                  <c:v>30</c:v>
                </c:pt>
                <c:pt idx="5">
                  <c:v>40</c:v>
                </c:pt>
                <c:pt idx="6">
                  <c:v>50</c:v>
                </c:pt>
              </c:numCache>
            </c:numRef>
          </c:xVal>
          <c:yVal>
            <c:numRef>
              <c:f>'Dual wavelenght'!$B$3:$B$9</c:f>
              <c:numCache>
                <c:formatCode>General</c:formatCode>
                <c:ptCount val="7"/>
                <c:pt idx="0">
                  <c:v>8.6999999999999994E-2</c:v>
                </c:pt>
                <c:pt idx="1">
                  <c:v>0.16200000000000001</c:v>
                </c:pt>
                <c:pt idx="2">
                  <c:v>0.2</c:v>
                </c:pt>
                <c:pt idx="3">
                  <c:v>0.371</c:v>
                </c:pt>
                <c:pt idx="4">
                  <c:v>0.56000000000000005</c:v>
                </c:pt>
                <c:pt idx="5">
                  <c:v>0.72899999999999998</c:v>
                </c:pt>
                <c:pt idx="6">
                  <c:v>0.91600000000000004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774-4352-A9A0-930AE4F7B4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52128768"/>
        <c:axId val="452130688"/>
      </c:scatterChart>
      <c:valAx>
        <c:axId val="452128768"/>
        <c:scaling>
          <c:orientation val="minMax"/>
        </c:scaling>
        <c:delete val="0"/>
        <c:axPos val="b"/>
        <c:title>
          <c:tx>
            <c:rich>
              <a:bodyPr rot="0" vert="horz"/>
              <a:lstStyle/>
              <a:p>
                <a:pPr>
                  <a:defRPr/>
                </a:pPr>
                <a:r>
                  <a:rPr lang="en-US"/>
                  <a:t>Conc. (µg/ml)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452130688"/>
        <c:crosses val="autoZero"/>
        <c:crossBetween val="midCat"/>
        <c:majorUnit val="5"/>
      </c:valAx>
      <c:valAx>
        <c:axId val="452130688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Absorbance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452128768"/>
        <c:crosses val="autoZero"/>
        <c:crossBetween val="midCat"/>
      </c:valAx>
      <c:spPr>
        <a:solidFill>
          <a:schemeClr val="lt1"/>
        </a:solidFill>
        <a:ln w="25400" cap="flat" cmpd="sng" algn="ctr">
          <a:solidFill>
            <a:schemeClr val="dk1"/>
          </a:solidFill>
          <a:prstDash val="solid"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 b="1"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142</Words>
  <Characters>816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L--EGYPTLAPTOP</dc:creator>
  <cp:keywords/>
  <dc:description/>
  <cp:lastModifiedBy>bassam shaban</cp:lastModifiedBy>
  <cp:revision>23</cp:revision>
  <dcterms:created xsi:type="dcterms:W3CDTF">2019-10-04T21:18:00Z</dcterms:created>
  <dcterms:modified xsi:type="dcterms:W3CDTF">2022-12-08T20:53:00Z</dcterms:modified>
</cp:coreProperties>
</file>