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A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nique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lycerophospholipid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M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etabolism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rofile of Dilated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C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ardiomyopathy with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 xml:space="preserve">redictive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V</w:t>
      </w:r>
      <w:r>
        <w:rPr>
          <w:rFonts w:hint="default" w:ascii="Times New Roman" w:hAnsi="Times New Roman" w:cs="Times New Roman"/>
          <w:b/>
          <w:bCs/>
          <w:sz w:val="32"/>
          <w:szCs w:val="32"/>
        </w:rPr>
        <w:t>alue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sz w:val="20"/>
          <w:szCs w:val="20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 xml:space="preserve">Table S1. 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ifferential 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 xml:space="preserve">GPL 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metabolites identified between 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DCM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patients and healthy controls.</w:t>
      </w:r>
    </w:p>
    <w:tbl>
      <w:tblPr>
        <w:tblStyle w:val="3"/>
        <w:tblpPr w:leftFromText="180" w:rightFromText="180" w:vertAnchor="text" w:horzAnchor="page" w:tblpXSpec="center" w:tblpY="224"/>
        <w:tblOverlap w:val="never"/>
        <w:tblW w:w="10293" w:type="dxa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005"/>
        <w:gridCol w:w="1335"/>
        <w:gridCol w:w="3022"/>
        <w:gridCol w:w="1283"/>
        <w:gridCol w:w="1335"/>
        <w:gridCol w:w="1335"/>
      </w:tblGrid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ID</w:t>
            </w:r>
          </w:p>
        </w:tc>
        <w:tc>
          <w:tcPr>
            <w:tcW w:w="1005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rt(min)</w:t>
            </w:r>
          </w:p>
        </w:tc>
        <w:tc>
          <w:tcPr>
            <w:tcW w:w="1335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m/z</w:t>
            </w:r>
          </w:p>
        </w:tc>
        <w:tc>
          <w:tcPr>
            <w:tcW w:w="3022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Metabolite</w:t>
            </w:r>
          </w:p>
        </w:tc>
        <w:tc>
          <w:tcPr>
            <w:tcW w:w="1283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  <w:vAlign w:val="top"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VIP</w:t>
            </w:r>
          </w:p>
        </w:tc>
        <w:tc>
          <w:tcPr>
            <w:tcW w:w="1335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  <w:vAlign w:val="top"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 value</w:t>
            </w:r>
          </w:p>
        </w:tc>
        <w:tc>
          <w:tcPr>
            <w:tcW w:w="1335" w:type="dxa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shd w:val="clear" w:color="auto" w:fill="auto"/>
            <w:noWrap/>
          </w:tcPr>
          <w:p>
            <w:pPr>
              <w:spacing w:before="0"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Fold change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EG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225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277.544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409.2363718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LysoPA(16:0/0:0)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1.564612262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0.008537579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1.636771198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EG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243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212.765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435.2516744</w:t>
            </w:r>
          </w:p>
        </w:tc>
        <w:tc>
          <w:tcPr>
            <w:tcW w:w="3022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LysoPA(18:1(9Z)/0:0)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1.705472587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0.003647146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1.32527228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318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227.471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496.3392499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LysoPC(16:0)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2.248521547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9.36856E-05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0.691595289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345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212.528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520.3374081</w:t>
            </w:r>
          </w:p>
        </w:tc>
        <w:tc>
          <w:tcPr>
            <w:tcW w:w="3022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LysoPC(18:2(9Z,12Z))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2.123665036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0.000664434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0.75449681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356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210.29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546.3538543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LysoPC(20:3(5Z,8Z,11Z))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1.732240444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0.00221706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0.724491458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414</w:t>
            </w:r>
          </w:p>
        </w:tc>
        <w:tc>
          <w:tcPr>
            <w:tcW w:w="100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162.465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744.5523495</w:t>
            </w:r>
          </w:p>
        </w:tc>
        <w:tc>
          <w:tcPr>
            <w:tcW w:w="3022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PC(15:0/18:2(9Z,12Z))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1.481436769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0.038967612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0.833792349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374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159.091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772.582078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PC(15:0/20:2(11Z,14Z))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1.395398561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0.049872629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0.839311971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339</w:t>
            </w:r>
          </w:p>
        </w:tc>
        <w:tc>
          <w:tcPr>
            <w:tcW w:w="100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163.56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730.5365397</w:t>
            </w:r>
          </w:p>
        </w:tc>
        <w:tc>
          <w:tcPr>
            <w:tcW w:w="3022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PC(16:1(9Z)/16:1(9Z))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2.125743511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0.003157161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0.709933173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274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157.956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786.5949855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PC(18:2(9Z,12Z)/18:0)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1.514777241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0.012089565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0.901062422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246</w:t>
            </w:r>
          </w:p>
        </w:tc>
        <w:tc>
          <w:tcPr>
            <w:tcW w:w="100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153.664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768.588568</w:t>
            </w:r>
          </w:p>
        </w:tc>
        <w:tc>
          <w:tcPr>
            <w:tcW w:w="3022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PC(18:2(9Z,12Z)/P-18:1(11Z))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1.253719332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0.041299593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0.853769017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267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160.197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762.5884822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PC(20:0/14:0)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1.876306119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0.001148135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1.253923491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218</w:t>
            </w:r>
          </w:p>
        </w:tc>
        <w:tc>
          <w:tcPr>
            <w:tcW w:w="100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100.284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838.6299987</w:t>
            </w:r>
          </w:p>
        </w:tc>
        <w:tc>
          <w:tcPr>
            <w:tcW w:w="3022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PC(20:3(8Z,11Z,14Z)/20:1(11Z))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1.594197956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0.002734382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0.717269972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317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155.729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812.6129571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PC(22:2(13Z,16Z)/16:1(9Z))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1.280226432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0.027188896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0.815571722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295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148.958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858.5986758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PC(22:6(4Z,7Z,10Z,13Z,16Z,19Z)/20:2(11Z,14Z))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1.187681334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0.048329843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0.84981525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358</w:t>
            </w:r>
          </w:p>
        </w:tc>
        <w:tc>
          <w:tcPr>
            <w:tcW w:w="100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159.099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740.5206367</w:t>
            </w:r>
          </w:p>
        </w:tc>
        <w:tc>
          <w:tcPr>
            <w:tcW w:w="3022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PE(16:0/20:4(5Z,8Z,11Z,14Z))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1.240896753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0.013799842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1.329084819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362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152.311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724.5261172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PE(P-18:1(11Z)/18:3(6Z,9Z,12Z))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1.845364778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0.01131754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0.735711852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444</w:t>
            </w:r>
          </w:p>
        </w:tc>
        <w:tc>
          <w:tcPr>
            <w:tcW w:w="100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157.9755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700.5264372</w:t>
            </w:r>
          </w:p>
        </w:tc>
        <w:tc>
          <w:tcPr>
            <w:tcW w:w="3022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PE(P-18:1(9Z)/16:1(9Z))</w:t>
            </w:r>
          </w:p>
        </w:tc>
        <w:tc>
          <w:tcPr>
            <w:tcW w:w="1283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1.786079716</w:t>
            </w:r>
          </w:p>
        </w:tc>
        <w:tc>
          <w:tcPr>
            <w:tcW w:w="1335" w:type="dxa"/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0.01836433</w:t>
            </w:r>
          </w:p>
        </w:tc>
        <w:tc>
          <w:tcPr>
            <w:tcW w:w="1335" w:type="dxa"/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0.713314626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78" w:type="dxa"/>
            <w:tcBorders>
              <w:left w:val="nil"/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  <w:lang w:val="en-US" w:eastAsia="zh-CN"/>
              </w:rPr>
              <w:t>OS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 w:themeShade="BF"/>
                <w:kern w:val="2"/>
                <w:sz w:val="20"/>
                <w:szCs w:val="20"/>
              </w:rPr>
              <w:t>360</w:t>
            </w:r>
          </w:p>
        </w:tc>
        <w:tc>
          <w:tcPr>
            <w:tcW w:w="100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jc w:val="both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149.4725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jc w:val="right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750.5426739</w:t>
            </w:r>
          </w:p>
        </w:tc>
        <w:tc>
          <w:tcPr>
            <w:tcW w:w="3022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PS(15:0/18:0)</w:t>
            </w:r>
          </w:p>
        </w:tc>
        <w:tc>
          <w:tcPr>
            <w:tcW w:w="1283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2.108925689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  <w:vAlign w:val="top"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0.002806871</w:t>
            </w:r>
          </w:p>
        </w:tc>
        <w:tc>
          <w:tcPr>
            <w:tcW w:w="1335" w:type="dxa"/>
            <w:tcBorders>
              <w:right w:val="nil"/>
              <w:insideV w:val="nil"/>
            </w:tcBorders>
            <w:shd w:val="clear" w:color="auto" w:fill="auto"/>
            <w:noWrap/>
          </w:tcPr>
          <w:p>
            <w:pPr>
              <w:spacing w:after="0" w:line="360" w:lineRule="auto"/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 w:themeShade="BF"/>
                <w:kern w:val="2"/>
                <w:sz w:val="20"/>
                <w:szCs w:val="20"/>
              </w:rPr>
              <w:t>0.722901407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b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GPL, </w:t>
      </w:r>
      <w:r>
        <w:rPr>
          <w:rFonts w:hint="default" w:ascii="Times New Roman" w:hAnsi="Times New Roman" w:cs="Times New Roman"/>
          <w:color w:val="auto"/>
        </w:rPr>
        <w:t>glycerophospholipid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; DCM, </w:t>
      </w:r>
      <w:r>
        <w:rPr>
          <w:rFonts w:hint="default" w:ascii="Times New Roman" w:hAnsi="Times New Roman" w:cs="Times New Roman"/>
          <w:color w:val="auto"/>
        </w:rPr>
        <w:t>dilated cardiomyopathy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; NEG, </w:t>
      </w:r>
      <w:r>
        <w:rPr>
          <w:rFonts w:hint="default" w:ascii="Times New Roman" w:hAnsi="Times New Roman" w:cs="Times New Roman"/>
          <w:lang w:val="en-US" w:eastAsia="zh-CN"/>
        </w:rPr>
        <w:t>negative ion mode</w:t>
      </w:r>
      <w:r>
        <w:rPr>
          <w:rFonts w:hint="eastAsia" w:ascii="Times New Roman" w:hAnsi="Times New Roman" w:cs="Times New Roman"/>
          <w:lang w:val="en-US" w:eastAsia="zh-CN"/>
        </w:rPr>
        <w:t xml:space="preserve">; POS, </w:t>
      </w:r>
      <w:r>
        <w:rPr>
          <w:rFonts w:hint="default" w:ascii="Times New Roman" w:hAnsi="Times New Roman" w:cs="Times New Roman"/>
          <w:lang w:val="en-US" w:eastAsia="zh-CN"/>
        </w:rPr>
        <w:t>positive ion mode</w:t>
      </w:r>
      <w:r>
        <w:rPr>
          <w:rFonts w:hint="eastAsia" w:ascii="Times New Roman" w:hAnsi="Times New Roman" w:cs="Times New Roman"/>
          <w:lang w:val="en-US" w:eastAsia="zh-CN"/>
        </w:rPr>
        <w:t>; VIP,</w:t>
      </w:r>
      <w:r>
        <w:rPr>
          <w:rFonts w:hint="default" w:ascii="Times New Roman" w:hAnsi="Times New Roman" w:cs="Times New Roman"/>
          <w:lang w:val="en-US" w:eastAsia="zh-CN"/>
        </w:rPr>
        <w:t>variable important in the projection</w:t>
      </w:r>
      <w:r>
        <w:rPr>
          <w:rFonts w:hint="eastAsia" w:ascii="Times New Roman" w:hAnsi="Times New Roman" w:cs="Times New Roman"/>
          <w:lang w:val="en-US" w:eastAsia="zh-CN"/>
        </w:rPr>
        <w:t xml:space="preserve">. 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3675" cy="2550160"/>
            <wp:effectExtent l="0" t="0" r="3175" b="2540"/>
            <wp:docPr id="1" name="图片 1" descr="P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C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S1.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The three dimensions (3D) principal component analysis (PCA) analysis of plasma metabolites from DCM and healthy controls identifed by untargeted metabolomics under </w:t>
      </w:r>
      <w:r>
        <w:rPr>
          <w:rFonts w:hint="default" w:ascii="Times New Roman" w:hAnsi="Times New Roman" w:cs="Times New Roman"/>
          <w:lang w:val="en-US" w:eastAsia="zh-CN"/>
        </w:rPr>
        <w:t>positive ion mode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(A) and </w:t>
      </w:r>
      <w:r>
        <w:rPr>
          <w:rFonts w:hint="default" w:ascii="Times New Roman" w:hAnsi="Times New Roman" w:cs="Times New Roman"/>
          <w:lang w:val="en-US" w:eastAsia="zh-CN"/>
        </w:rPr>
        <w:t>negative ion mode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(B).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DCM, </w:t>
      </w:r>
      <w:r>
        <w:rPr>
          <w:rFonts w:hint="default" w:ascii="Times New Roman" w:hAnsi="Times New Roman" w:cs="Times New Roman"/>
          <w:color w:val="auto"/>
        </w:rPr>
        <w:t>dilated cardiomyopathy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; QC,</w:t>
      </w:r>
      <w:r>
        <w:rPr>
          <w:rFonts w:hint="default" w:ascii="Times New Roman" w:hAnsi="Times New Roman" w:cs="Times New Roman"/>
          <w:lang w:val="en-US" w:eastAsia="zh-CN"/>
        </w:rPr>
        <w:t>Quality Control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5271770" cy="2389505"/>
            <wp:effectExtent l="0" t="0" r="5080" b="10795"/>
            <wp:docPr id="2" name="图片 2" descr="OPLS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OPLSD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S2.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The o</w:t>
      </w:r>
      <w:r>
        <w:rPr>
          <w:rFonts w:hint="default" w:ascii="Times New Roman" w:hAnsi="Times New Roman" w:cs="Times New Roman"/>
          <w:lang w:val="en-US" w:eastAsia="zh-CN"/>
        </w:rPr>
        <w:t>rthogonal partial least squares-discriminant analysis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(OPLS-DA) analysis of plasma metabolites from DCM and healthy controls identifed by untargeted metabolomics under </w:t>
      </w:r>
      <w:r>
        <w:rPr>
          <w:rFonts w:hint="default" w:ascii="Times New Roman" w:hAnsi="Times New Roman" w:cs="Times New Roman"/>
          <w:lang w:val="en-US" w:eastAsia="zh-CN"/>
        </w:rPr>
        <w:t>positive ion mode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(A) and </w:t>
      </w:r>
      <w:r>
        <w:rPr>
          <w:rFonts w:hint="default" w:ascii="Times New Roman" w:hAnsi="Times New Roman" w:cs="Times New Roman"/>
          <w:lang w:val="en-US" w:eastAsia="zh-CN"/>
        </w:rPr>
        <w:t>negative ion mode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(B).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DCM, </w:t>
      </w:r>
      <w:r>
        <w:rPr>
          <w:rFonts w:hint="default" w:ascii="Times New Roman" w:hAnsi="Times New Roman" w:cs="Times New Roman"/>
          <w:color w:val="auto"/>
        </w:rPr>
        <w:t>dilated cardiomyopathy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; QC,</w:t>
      </w:r>
      <w:r>
        <w:rPr>
          <w:rFonts w:hint="default" w:ascii="Times New Roman" w:hAnsi="Times New Roman" w:cs="Times New Roman"/>
          <w:lang w:val="en-US" w:eastAsia="zh-CN"/>
        </w:rPr>
        <w:t>Quality Control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20"/>
          <w:szCs w:val="20"/>
          <w:lang w:val="en-US" w:eastAsia="zh-CN" w:bidi="ar-SA"/>
        </w:rPr>
      </w:pP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20"/>
          <w:szCs w:val="20"/>
          <w:lang w:val="en-US" w:eastAsia="zh-CN" w:bidi="ar-SA"/>
        </w:rPr>
      </w:pPr>
    </w:p>
    <w:p>
      <w:pPr>
        <w:bidi w:val="0"/>
        <w:rPr>
          <w:rFonts w:hint="default" w:ascii="Times New Roman" w:hAnsi="Times New Roman" w:cs="Times New Roman" w:eastAsiaTheme="minorEastAsia"/>
          <w:kern w:val="2"/>
          <w:sz w:val="20"/>
          <w:szCs w:val="20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kern w:val="2"/>
          <w:sz w:val="20"/>
          <w:szCs w:val="20"/>
          <w:lang w:val="en-US" w:eastAsia="zh-CN" w:bidi="ar-SA"/>
        </w:rPr>
        <w:drawing>
          <wp:inline distT="0" distB="0" distL="114300" distR="114300">
            <wp:extent cx="5330190" cy="2427605"/>
            <wp:effectExtent l="0" t="0" r="3810" b="10795"/>
            <wp:docPr id="3" name="图片 3" descr="Q2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2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tabs>
          <w:tab w:val="left" w:pos="1348"/>
        </w:tabs>
        <w:bidi w:val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S3.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OPLS-DA permutation test in </w:t>
      </w:r>
      <w:r>
        <w:rPr>
          <w:rFonts w:hint="default" w:ascii="Times New Roman" w:hAnsi="Times New Roman" w:cs="Times New Roman"/>
          <w:lang w:val="en-US" w:eastAsia="zh-CN"/>
        </w:rPr>
        <w:t>positive ion mode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(A) and </w:t>
      </w:r>
      <w:r>
        <w:rPr>
          <w:rFonts w:hint="default" w:ascii="Times New Roman" w:hAnsi="Times New Roman" w:cs="Times New Roman"/>
          <w:lang w:val="en-US" w:eastAsia="zh-CN"/>
        </w:rPr>
        <w:t>negative ion mode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(B) of the DCM vs healthy controls, respectively.</w:t>
      </w:r>
    </w:p>
    <w:p>
      <w:pPr>
        <w:bidi w:val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bidi w:val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4973955" cy="2806065"/>
            <wp:effectExtent l="0" t="0" r="17145" b="13335"/>
            <wp:docPr id="4" name="图片 4" descr="分类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分类图"/>
                    <pic:cNvPicPr>
                      <a:picLocks noChangeAspect="1"/>
                    </pic:cNvPicPr>
                  </pic:nvPicPr>
                  <pic:blipFill>
                    <a:blip r:embed="rId7"/>
                    <a:srcRect l="12660" t="9130" r="11960" b="12966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348"/>
        </w:tabs>
        <w:bidi w:val="0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S4.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Classification of metabolites that differ between DCM and healthy controls</w:t>
      </w:r>
    </w:p>
    <w:p>
      <w:pPr>
        <w:tabs>
          <w:tab w:val="left" w:pos="1348"/>
        </w:tabs>
        <w:bidi w:val="0"/>
        <w:jc w:val="center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4596130" cy="2769870"/>
            <wp:effectExtent l="0" t="0" r="13970" b="11430"/>
            <wp:docPr id="6" name="图片 6" descr="基因火山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基因火山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348"/>
        </w:tabs>
        <w:bidi w:val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S5</w:t>
      </w:r>
      <w:r>
        <w:rPr>
          <w:rFonts w:hint="default" w:ascii="Times New Roman" w:hAnsi="Times New Roman" w:cs="Times New Roman"/>
          <w:b/>
          <w:bCs/>
          <w:sz w:val="18"/>
          <w:szCs w:val="18"/>
        </w:rPr>
        <w:t>.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Volcano plot showed differences in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genes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between </w:t>
      </w:r>
      <w:r>
        <w:rPr>
          <w:rFonts w:hint="default" w:ascii="Times New Roman" w:hAnsi="Times New Roman" w:cs="Times New Roman"/>
          <w:color w:val="auto"/>
        </w:rPr>
        <w:t>dilated cardiomyopathy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(</w:t>
      </w:r>
      <w:r>
        <w:rPr>
          <w:rFonts w:hint="default" w:ascii="Times New Roman" w:hAnsi="Times New Roman" w:cs="Times New Roman"/>
          <w:sz w:val="18"/>
          <w:szCs w:val="18"/>
        </w:rPr>
        <w:t>DCM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)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and </w:t>
      </w:r>
      <w:r>
        <w:rPr>
          <w:rFonts w:hint="default" w:ascii="Times New Roman" w:hAnsi="Times New Roman" w:cs="Times New Roman"/>
          <w:sz w:val="18"/>
          <w:szCs w:val="18"/>
        </w:rPr>
        <w:t>healthy individuals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FC, fold change.</w:t>
      </w:r>
    </w:p>
    <w:p>
      <w:pPr>
        <w:tabs>
          <w:tab w:val="left" w:pos="1348"/>
        </w:tabs>
        <w:bidi w:val="0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tabs>
          <w:tab w:val="left" w:pos="1348"/>
        </w:tabs>
        <w:bidi w:val="0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tabs>
          <w:tab w:val="left" w:pos="1348"/>
        </w:tabs>
        <w:bidi w:val="0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tabs>
          <w:tab w:val="left" w:pos="1348"/>
        </w:tabs>
        <w:bidi w:val="0"/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drawing>
          <wp:inline distT="0" distB="0" distL="114300" distR="114300">
            <wp:extent cx="4404360" cy="3715385"/>
            <wp:effectExtent l="0" t="0" r="15240" b="18415"/>
            <wp:docPr id="5" name="图片 5" descr="相关性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相关性热图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1348"/>
        </w:tabs>
        <w:bidi w:val="0"/>
        <w:jc w:val="left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</w:p>
    <w:p>
      <w:pPr>
        <w:tabs>
          <w:tab w:val="left" w:pos="1348"/>
        </w:tabs>
        <w:bidi w:val="0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Figure S6.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Heatmap of correlation between </w:t>
      </w:r>
      <w:r>
        <w:rPr>
          <w:rFonts w:hint="default" w:ascii="Times New Roman" w:hAnsi="Times New Roman" w:cs="Times New Roman"/>
          <w:lang w:val="en-US" w:eastAsia="zh-CN"/>
        </w:rPr>
        <w:t>g</w:t>
      </w:r>
      <w:r>
        <w:rPr>
          <w:rFonts w:hint="default" w:ascii="Times New Roman" w:hAnsi="Times New Roman" w:cs="Times New Roman"/>
        </w:rPr>
        <w:t>lycerophospholipid</w:t>
      </w:r>
      <w:r>
        <w:rPr>
          <w:rFonts w:hint="eastAsia" w:ascii="Times New Roman" w:hAnsi="Times New Roman" w:cs="Times New Roman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GPL) metabolites and clinical indicators. </w:t>
      </w:r>
      <w:r>
        <w:rPr>
          <w:rFonts w:hint="default" w:ascii="Times New Roman" w:hAnsi="Times New Roman" w:cs="Times New Roman"/>
          <w:sz w:val="18"/>
          <w:szCs w:val="18"/>
        </w:rPr>
        <w:t>NT-proBNP , N-terminal pro-B-type natriuretic peptide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;</w:t>
      </w:r>
      <w:r>
        <w:rPr>
          <w:rFonts w:hint="default" w:ascii="Times New Roman" w:hAnsi="Times New Roman" w:cs="Times New Roman"/>
          <w:sz w:val="18"/>
          <w:szCs w:val="18"/>
        </w:rPr>
        <w:t xml:space="preserve"> LVEF , left ventricular ejection fraction;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LVED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d</w:t>
      </w:r>
      <w:r>
        <w:rPr>
          <w:rFonts w:hint="default" w:ascii="Times New Roman" w:hAnsi="Times New Roman" w:cs="Times New Roman"/>
          <w:sz w:val="18"/>
          <w:szCs w:val="18"/>
        </w:rPr>
        <w:t>, left ventricular end dia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stolic diameter;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LAd, left atrial diameter; NYHA, New York Heart Association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YjBlNDUxN2ZjNmE5N2U2MGE0MWJkOGJkZmJiODYifQ=="/>
  </w:docVars>
  <w:rsids>
    <w:rsidRoot w:val="00000000"/>
    <w:rsid w:val="06CB49BC"/>
    <w:rsid w:val="10B65D95"/>
    <w:rsid w:val="11E42DD6"/>
    <w:rsid w:val="14263231"/>
    <w:rsid w:val="14E86739"/>
    <w:rsid w:val="20124FB2"/>
    <w:rsid w:val="20476A09"/>
    <w:rsid w:val="27280C17"/>
    <w:rsid w:val="2EFB0BCB"/>
    <w:rsid w:val="2F967065"/>
    <w:rsid w:val="2F9E0130"/>
    <w:rsid w:val="37F012DD"/>
    <w:rsid w:val="3F1735F3"/>
    <w:rsid w:val="40267F92"/>
    <w:rsid w:val="41C95079"/>
    <w:rsid w:val="41E2613A"/>
    <w:rsid w:val="42110687"/>
    <w:rsid w:val="4ED27537"/>
    <w:rsid w:val="554F18E1"/>
    <w:rsid w:val="55564A1D"/>
    <w:rsid w:val="55D066B5"/>
    <w:rsid w:val="5FBF7663"/>
    <w:rsid w:val="5FF11F12"/>
    <w:rsid w:val="6F4F4560"/>
    <w:rsid w:val="71153587"/>
    <w:rsid w:val="71B11502"/>
    <w:rsid w:val="749E3893"/>
    <w:rsid w:val="7F0D1D41"/>
    <w:rsid w:val="7F8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Light Shading"/>
    <w:basedOn w:val="2"/>
    <w:uiPriority w:val="60"/>
    <w:pPr>
      <w:spacing w:after="0" w:line="240" w:lineRule="auto"/>
    </w:pPr>
    <w:rPr>
      <w:rFonts w:eastAsiaTheme="minorEastAsia"/>
      <w:color w:val="000000" w:themeColor="text1" w:themeShade="BF"/>
      <w:kern w:val="2"/>
      <w:sz w:val="21"/>
      <w:lang w:eastAsia="zh-CN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337</Words>
  <Characters>2817</Characters>
  <Lines>0</Lines>
  <Paragraphs>0</Paragraphs>
  <TotalTime>1</TotalTime>
  <ScaleCrop>false</ScaleCrop>
  <LinksUpToDate>false</LinksUpToDate>
  <CharactersWithSpaces>3013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2022-10-07T13:39:00Z</dcterms:created>
  <dc:creator>Administrator</dc:creator>
  <cp:lastModifiedBy>李小雷</cp:lastModifiedBy>
  <dcterms:modified xsi:type="dcterms:W3CDTF">2022-10-24T06:31:36Z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60F0FF7C26A24046911A2D9AC4985E06</vt:lpwstr>
  </property>
</Properties>
</file>