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E4989" w:rsidRDefault="009E4989" w:rsidP="009E4989">
      <w:pPr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Supplementary material</w:t>
      </w:r>
    </w:p>
    <w:p w:rsidR="00243011" w:rsidRPr="00243011" w:rsidRDefault="00243011" w:rsidP="00243011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43011">
        <w:rPr>
          <w:rFonts w:ascii="Times New Roman" w:hAnsi="Times New Roman" w:cs="Times New Roman"/>
          <w:iCs/>
          <w:sz w:val="24"/>
          <w:szCs w:val="24"/>
        </w:rPr>
        <w:t>Supplementary Table 1 (S1) showed the reliability tests of our sample. We found that the result was reliable with the sample in our study. In the reliability t</w:t>
      </w:r>
      <w:r>
        <w:rPr>
          <w:rFonts w:ascii="Times New Roman" w:hAnsi="Times New Roman" w:cs="Times New Roman"/>
          <w:iCs/>
          <w:sz w:val="24"/>
          <w:szCs w:val="24"/>
        </w:rPr>
        <w:t>ests, Cronbach's Alpha of 0.70 wa</w:t>
      </w:r>
      <w:r w:rsidRPr="00243011">
        <w:rPr>
          <w:rFonts w:ascii="Times New Roman" w:hAnsi="Times New Roman" w:cs="Times New Roman"/>
          <w:iCs/>
          <w:sz w:val="24"/>
          <w:szCs w:val="24"/>
        </w:rPr>
        <w:t xml:space="preserve">s recommended as a high degree of internal consistency for indicating the homogeneity of the items in the measures that tap the dependent variables' construct. </w:t>
      </w:r>
    </w:p>
    <w:p w:rsidR="00250E00" w:rsidRDefault="00243011" w:rsidP="00243011">
      <w:pPr>
        <w:jc w:val="both"/>
        <w:rPr>
          <w:rFonts w:ascii="Times New Roman" w:hAnsi="Times New Roman" w:cs="Times New Roman"/>
          <w:b/>
          <w:sz w:val="24"/>
          <w:szCs w:val="20"/>
        </w:rPr>
      </w:pPr>
      <w:r w:rsidRPr="00243011">
        <w:rPr>
          <w:rFonts w:ascii="Times New Roman" w:hAnsi="Times New Roman" w:cs="Times New Roman"/>
          <w:iCs/>
          <w:sz w:val="24"/>
          <w:szCs w:val="24"/>
        </w:rPr>
        <w:t>Supplementary Table 2 (S2) show</w:t>
      </w:r>
      <w:r w:rsidR="00B5314A">
        <w:rPr>
          <w:rFonts w:ascii="Times New Roman" w:hAnsi="Times New Roman" w:cs="Times New Roman"/>
          <w:iCs/>
          <w:sz w:val="24"/>
          <w:szCs w:val="24"/>
        </w:rPr>
        <w:t>s</w:t>
      </w:r>
      <w:r w:rsidRPr="0024301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B5314A">
        <w:rPr>
          <w:rFonts w:ascii="Times New Roman" w:hAnsi="Times New Roman" w:cs="Times New Roman"/>
          <w:iCs/>
          <w:sz w:val="24"/>
          <w:szCs w:val="24"/>
        </w:rPr>
        <w:t>the frequency and percentage of the demographic variables</w:t>
      </w:r>
      <w:r w:rsidRPr="00243011">
        <w:rPr>
          <w:rFonts w:ascii="Times New Roman" w:hAnsi="Times New Roman" w:cs="Times New Roman"/>
          <w:iCs/>
          <w:sz w:val="24"/>
          <w:szCs w:val="24"/>
        </w:rPr>
        <w:t xml:space="preserve">. Our demographic variables were much skewed. Therefore, most demographic variables were collapsed </w:t>
      </w:r>
      <w:r w:rsidR="00790306">
        <w:rPr>
          <w:rFonts w:ascii="Times New Roman" w:hAnsi="Times New Roman" w:cs="Times New Roman"/>
          <w:iCs/>
          <w:sz w:val="24"/>
          <w:szCs w:val="24"/>
        </w:rPr>
        <w:t xml:space="preserve">(before and after </w:t>
      </w:r>
      <w:r w:rsidR="00B5314A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="00790306">
        <w:rPr>
          <w:rFonts w:ascii="Times New Roman" w:hAnsi="Times New Roman" w:cs="Times New Roman"/>
          <w:iCs/>
          <w:sz w:val="24"/>
          <w:szCs w:val="24"/>
        </w:rPr>
        <w:t xml:space="preserve">collapse) </w:t>
      </w:r>
      <w:r w:rsidRPr="00243011">
        <w:rPr>
          <w:rFonts w:ascii="Times New Roman" w:hAnsi="Times New Roman" w:cs="Times New Roman"/>
          <w:iCs/>
          <w:sz w:val="24"/>
          <w:szCs w:val="24"/>
        </w:rPr>
        <w:t>for performing ANOVA and other statistical analyses. Instead of removing the respondents from the sample, we recorded them by combining them with the other category.</w:t>
      </w:r>
    </w:p>
    <w:tbl>
      <w:tblPr>
        <w:tblStyle w:val="TableGrid"/>
        <w:tblW w:w="8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37"/>
        <w:gridCol w:w="1092"/>
        <w:gridCol w:w="1751"/>
      </w:tblGrid>
      <w:tr w:rsidR="009E4989" w:rsidTr="00575BC8">
        <w:trPr>
          <w:trHeight w:val="210"/>
        </w:trPr>
        <w:tc>
          <w:tcPr>
            <w:tcW w:w="8980" w:type="dxa"/>
            <w:gridSpan w:val="3"/>
            <w:tcBorders>
              <w:bottom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S1. Reliability Test</w:t>
            </w:r>
          </w:p>
        </w:tc>
      </w:tr>
      <w:tr w:rsidR="009E4989" w:rsidTr="00575BC8">
        <w:trPr>
          <w:trHeight w:val="197"/>
        </w:trPr>
        <w:tc>
          <w:tcPr>
            <w:tcW w:w="6137" w:type="dxa"/>
            <w:vMerge w:val="restart"/>
            <w:tcBorders>
              <w:top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Dimension</w:t>
            </w:r>
          </w:p>
        </w:tc>
        <w:tc>
          <w:tcPr>
            <w:tcW w:w="2843" w:type="dxa"/>
            <w:gridSpan w:val="2"/>
            <w:tcBorders>
              <w:top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Cronbach's Alpha</w:t>
            </w:r>
          </w:p>
        </w:tc>
      </w:tr>
      <w:tr w:rsidR="009E4989" w:rsidTr="00575BC8">
        <w:trPr>
          <w:trHeight w:val="420"/>
        </w:trPr>
        <w:tc>
          <w:tcPr>
            <w:tcW w:w="6137" w:type="dxa"/>
            <w:vMerge/>
            <w:tcBorders>
              <w:bottom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Item If Deleted</w:t>
            </w:r>
          </w:p>
        </w:tc>
        <w:tc>
          <w:tcPr>
            <w:tcW w:w="1751" w:type="dxa"/>
            <w:tcBorders>
              <w:bottom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Reliability Value</w:t>
            </w:r>
          </w:p>
        </w:tc>
      </w:tr>
      <w:tr w:rsidR="009E4989" w:rsidTr="00575BC8">
        <w:trPr>
          <w:trHeight w:val="210"/>
        </w:trPr>
        <w:tc>
          <w:tcPr>
            <w:tcW w:w="6137" w:type="dxa"/>
            <w:tcBorders>
              <w:top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Lifestyles during Covid-19 (18 items)</w:t>
            </w:r>
          </w:p>
        </w:tc>
        <w:tc>
          <w:tcPr>
            <w:tcW w:w="1092" w:type="dxa"/>
            <w:tcBorders>
              <w:top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1" w:type="dxa"/>
            <w:tcBorders>
              <w:top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0.788</w:t>
            </w:r>
          </w:p>
        </w:tc>
      </w:tr>
      <w:tr w:rsidR="009E4989" w:rsidTr="00575BC8">
        <w:trPr>
          <w:trHeight w:val="21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number of jobs traveling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0.780</w:t>
            </w:r>
          </w:p>
        </w:tc>
        <w:tc>
          <w:tcPr>
            <w:tcW w:w="1751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197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number of staycations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0.785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21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Body mass index (BMI)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0.779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21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sleeping time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0.777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42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time spent on outdoor sports activities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0.780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42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time spent on indoor sports activities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0.772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197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time spent on physical exercises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0.786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21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time spent on religious activities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0.786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21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anxiety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0.785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21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caffeine consumption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0.784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21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fast food consumption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0.765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21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medical consumption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0.781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21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time for movies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0.770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21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time for drama series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0.772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197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time spent on social media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0.774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21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time for online shopping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0.780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210"/>
        </w:trPr>
        <w:tc>
          <w:tcPr>
            <w:tcW w:w="6137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time online meetings during Covid-19?</w:t>
            </w:r>
          </w:p>
        </w:tc>
        <w:tc>
          <w:tcPr>
            <w:tcW w:w="1092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0.782</w:t>
            </w:r>
          </w:p>
        </w:tc>
        <w:tc>
          <w:tcPr>
            <w:tcW w:w="1751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210"/>
        </w:trPr>
        <w:tc>
          <w:tcPr>
            <w:tcW w:w="6137" w:type="dxa"/>
            <w:tcBorders>
              <w:bottom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amount of time spent on online social games during Covid-19?</w:t>
            </w: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0.773</w:t>
            </w:r>
          </w:p>
        </w:tc>
        <w:tc>
          <w:tcPr>
            <w:tcW w:w="1751" w:type="dxa"/>
            <w:tcBorders>
              <w:bottom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</w:tbl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p w:rsidR="009E4989" w:rsidRDefault="009E4989" w:rsidP="009E498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1318"/>
        <w:tblW w:w="104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0"/>
        <w:gridCol w:w="1320"/>
        <w:gridCol w:w="1010"/>
        <w:gridCol w:w="263"/>
        <w:gridCol w:w="2676"/>
        <w:gridCol w:w="1320"/>
        <w:gridCol w:w="1309"/>
      </w:tblGrid>
      <w:tr w:rsidR="009E4989" w:rsidTr="00575BC8">
        <w:trPr>
          <w:trHeight w:val="118"/>
        </w:trPr>
        <w:tc>
          <w:tcPr>
            <w:tcW w:w="10458" w:type="dxa"/>
            <w:gridSpan w:val="7"/>
            <w:tcBorders>
              <w:bottom w:val="single" w:sz="4" w:space="0" w:color="auto"/>
            </w:tcBorders>
          </w:tcPr>
          <w:p w:rsidR="009E4989" w:rsidRDefault="009E4989" w:rsidP="00575BC8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  <w:p w:rsidR="009E4989" w:rsidRDefault="009E4989" w:rsidP="00575BC8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  <w:p w:rsidR="009E4989" w:rsidRDefault="009E4989" w:rsidP="00575BC8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S2. Collapsing the number of categories of the variables</w:t>
            </w:r>
          </w:p>
        </w:tc>
      </w:tr>
      <w:tr w:rsidR="009E4989" w:rsidTr="00575BC8">
        <w:trPr>
          <w:trHeight w:val="118"/>
        </w:trPr>
        <w:tc>
          <w:tcPr>
            <w:tcW w:w="4890" w:type="dxa"/>
            <w:gridSpan w:val="3"/>
            <w:tcBorders>
              <w:top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Before collapse</w:t>
            </w:r>
          </w:p>
        </w:tc>
        <w:tc>
          <w:tcPr>
            <w:tcW w:w="263" w:type="dxa"/>
            <w:tcBorders>
              <w:top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5" w:type="dxa"/>
            <w:gridSpan w:val="3"/>
            <w:tcBorders>
              <w:top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After collapse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Frequency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Percent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132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Frequency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Percent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  <w:tcBorders>
              <w:bottom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n</w:t>
            </w:r>
            <w:r>
              <w:rPr>
                <w:rFonts w:ascii="Times New Roman" w:hAnsi="Times New Roman" w:cs="Times New Roman"/>
              </w:rPr>
              <w:t>=112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263" w:type="dxa"/>
            <w:tcBorders>
              <w:bottom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  <w:tcBorders>
              <w:bottom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n</w:t>
            </w:r>
            <w:r>
              <w:rPr>
                <w:rFonts w:ascii="Times New Roman" w:hAnsi="Times New Roman" w:cs="Times New Roman"/>
              </w:rPr>
              <w:t>=112</w:t>
            </w:r>
          </w:p>
        </w:tc>
        <w:tc>
          <w:tcPr>
            <w:tcW w:w="1309" w:type="dxa"/>
            <w:tcBorders>
              <w:bottom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(%)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  <w:tcBorders>
              <w:top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tcBorders>
              <w:top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3" w:type="dxa"/>
            <w:tcBorders>
              <w:top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  <w:tcBorders>
              <w:top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31.3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68.8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Marital Status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Marital Status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Single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46.4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Single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46.4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50.9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53.6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Divorced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Races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Races</w:t>
            </w:r>
          </w:p>
        </w:tc>
        <w:tc>
          <w:tcPr>
            <w:tcW w:w="132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Malays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88.4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Malays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88.4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Non-Malays’ Bumiputera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8.9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Non-Malays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11.6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Chinese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Indians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19-24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20.5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and below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37.5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25-30 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25-42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48.2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31-36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19.6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 and above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37-42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22.3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43-48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10.7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49-54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55-60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Educational Level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Educational Level</w:t>
            </w:r>
          </w:p>
        </w:tc>
        <w:tc>
          <w:tcPr>
            <w:tcW w:w="132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Secondary school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Diploma and below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</w:t>
            </w:r>
          </w:p>
        </w:tc>
      </w:tr>
      <w:tr w:rsidR="009E4989" w:rsidTr="00575BC8">
        <w:trPr>
          <w:trHeight w:val="11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Certificate Level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Bachelor's Degree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33.0</w:t>
            </w:r>
          </w:p>
        </w:tc>
      </w:tr>
      <w:tr w:rsidR="009E4989" w:rsidTr="00575BC8">
        <w:trPr>
          <w:trHeight w:val="335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Diploma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9.8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Masters and Ph.D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50.9</w:t>
            </w:r>
          </w:p>
        </w:tc>
      </w:tr>
      <w:tr w:rsidR="009E4989" w:rsidTr="00575BC8">
        <w:trPr>
          <w:trHeight w:val="547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Professional Qualification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346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Bachelor's Degree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32.1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335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Masters' Degree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38.4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346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Doctoral Degree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335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Employment Sector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Employment Sector</w:t>
            </w:r>
          </w:p>
        </w:tc>
        <w:tc>
          <w:tcPr>
            <w:tcW w:w="132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547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Government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32.1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Government &amp; Statutory Bodies</w:t>
            </w:r>
          </w:p>
        </w:tc>
        <w:tc>
          <w:tcPr>
            <w:tcW w:w="1320" w:type="dxa"/>
          </w:tcPr>
          <w:p w:rsidR="009E4989" w:rsidRDefault="009E4989" w:rsidP="00575BC8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33.0</w:t>
            </w:r>
          </w:p>
        </w:tc>
      </w:tr>
      <w:tr w:rsidR="009E4989" w:rsidTr="00575BC8">
        <w:trPr>
          <w:trHeight w:val="547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Private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21.4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Private &amp; Self-Employed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26.8</w:t>
            </w:r>
          </w:p>
        </w:tc>
      </w:tr>
      <w:tr w:rsidR="009E4989" w:rsidTr="00575BC8">
        <w:trPr>
          <w:trHeight w:val="547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Statutory Bodies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Unemployed, Students &amp; Retired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40.2</w:t>
            </w:r>
          </w:p>
        </w:tc>
      </w:tr>
      <w:tr w:rsidR="009E4989" w:rsidTr="00575BC8">
        <w:trPr>
          <w:trHeight w:val="346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Self-Employed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335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Unemployed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346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Students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35.7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335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Retired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558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Monthly Gross Incomes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Monthly Gross Incomes</w:t>
            </w:r>
          </w:p>
        </w:tc>
        <w:tc>
          <w:tcPr>
            <w:tcW w:w="132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</w:tr>
      <w:tr w:rsidR="009E4989" w:rsidTr="00575BC8">
        <w:trPr>
          <w:trHeight w:val="335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Less than RM 2,500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40.2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Less than RM 2,500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40.2</w:t>
            </w:r>
          </w:p>
        </w:tc>
      </w:tr>
      <w:tr w:rsidR="009E4989" w:rsidTr="00575BC8">
        <w:trPr>
          <w:trHeight w:val="335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 2,500 – RM 3,169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 2,500 – RM 3,169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26.8</w:t>
            </w:r>
          </w:p>
        </w:tc>
      </w:tr>
      <w:tr w:rsidR="009E4989" w:rsidTr="00575BC8">
        <w:trPr>
          <w:trHeight w:val="346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 3,170 – RM 3,969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 3,170 and above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33.0</w:t>
            </w:r>
          </w:p>
        </w:tc>
      </w:tr>
      <w:tr w:rsidR="009E4989" w:rsidTr="00575BC8">
        <w:trPr>
          <w:trHeight w:val="335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 3,970 – RM 4,849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346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RM 4,850 -RM 5,879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335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 5,880 – RM 7,099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13.4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335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 7,110 – RM 8,699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346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 8,700 – RM 10,959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9.8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547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 10,690 – RM 15,039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335"/>
        </w:trPr>
        <w:tc>
          <w:tcPr>
            <w:tcW w:w="2560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More than RM 15,039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263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0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9" w:type="dxa"/>
          </w:tcPr>
          <w:p w:rsidR="009E4989" w:rsidRDefault="009E4989" w:rsidP="00575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4989" w:rsidTr="00575BC8">
        <w:trPr>
          <w:trHeight w:val="558"/>
        </w:trPr>
        <w:tc>
          <w:tcPr>
            <w:tcW w:w="10458" w:type="dxa"/>
            <w:gridSpan w:val="7"/>
            <w:tcBorders>
              <w:bottom w:val="single" w:sz="4" w:space="0" w:color="auto"/>
            </w:tcBorders>
          </w:tcPr>
          <w:p w:rsidR="009E4989" w:rsidRDefault="009E4989" w:rsidP="00575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Notes :</w:t>
            </w:r>
            <w:r>
              <w:rPr>
                <w:rFonts w:ascii="Times New Roman" w:hAnsi="Times New Roman" w:cs="Times New Roman"/>
              </w:rPr>
              <w:t xml:space="preserve"> *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One-Way ANOVA would be applicable for analyzing age, educational level, employment status, and monthly gross incomes</w:t>
            </w:r>
          </w:p>
        </w:tc>
      </w:tr>
    </w:tbl>
    <w:p w:rsidR="005804B4" w:rsidRDefault="005804B4"/>
    <w:sectPr w:rsidR="005804B4" w:rsidSect="00564160">
      <w:pgSz w:w="11906" w:h="16838" w:code="9"/>
      <w:pgMar w:top="1440" w:right="1440" w:bottom="144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EwN7e0NDQ2MzMyNrRU0lEKTi0uzszPAykwrAUAhWE5EiwAAAA="/>
  </w:docVars>
  <w:rsids>
    <w:rsidRoot w:val="009E4989"/>
    <w:rsid w:val="00243011"/>
    <w:rsid w:val="00250E00"/>
    <w:rsid w:val="00564160"/>
    <w:rsid w:val="005804B4"/>
    <w:rsid w:val="006B2499"/>
    <w:rsid w:val="00790306"/>
    <w:rsid w:val="009E4989"/>
    <w:rsid w:val="00B53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69183"/>
  <w15:chartTrackingRefBased/>
  <w15:docId w15:val="{8405FBDC-4D74-4A4C-9C4B-625BD5288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989"/>
    <w:rPr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4989"/>
    <w:pPr>
      <w:spacing w:after="0" w:line="240" w:lineRule="auto"/>
    </w:pPr>
    <w:rPr>
      <w:sz w:val="20"/>
      <w:szCs w:val="20"/>
      <w:lang w:val="en-MY" w:eastAsia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9E498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Khayra Aliya</cp:lastModifiedBy>
  <cp:revision>5</cp:revision>
  <dcterms:created xsi:type="dcterms:W3CDTF">2022-10-10T05:25:00Z</dcterms:created>
  <dcterms:modified xsi:type="dcterms:W3CDTF">2022-12-07T09:16:00Z</dcterms:modified>
</cp:coreProperties>
</file>