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1A4E" w:rsidRPr="006F6EF2" w:rsidRDefault="00791A4E" w:rsidP="00791A4E">
      <w:pPr>
        <w:pStyle w:val="Heading2"/>
        <w:jc w:val="center"/>
        <w:rPr>
          <w:b/>
          <w:lang w:val="en-US"/>
        </w:rPr>
      </w:pPr>
      <w:r w:rsidRPr="009F5F0B">
        <w:rPr>
          <w:b/>
          <w:lang w:val="en-US"/>
        </w:rPr>
        <w:t>Supplementary Information</w:t>
      </w:r>
    </w:p>
    <w:p w:rsidR="00791A4E" w:rsidRDefault="00791A4E" w:rsidP="00791A4E">
      <w:pPr>
        <w:pStyle w:val="Heading3"/>
        <w:jc w:val="center"/>
        <w:rPr>
          <w:sz w:val="28"/>
          <w:szCs w:val="26"/>
          <w:lang w:val="en-US"/>
        </w:rPr>
      </w:pPr>
      <w:r w:rsidRPr="00132D58">
        <w:rPr>
          <w:sz w:val="28"/>
          <w:szCs w:val="26"/>
          <w:lang w:val="en-US"/>
        </w:rPr>
        <w:t>Therapeutic opportunity of phosphodiesterase 3A modulators in myxoid liposarcomas</w:t>
      </w:r>
    </w:p>
    <w:p w:rsidR="00791A4E" w:rsidRDefault="00791A4E" w:rsidP="00791A4E">
      <w:pPr>
        <w:pStyle w:val="Heading3"/>
        <w:jc w:val="center"/>
        <w:rPr>
          <w:lang w:val="en-US"/>
        </w:rPr>
      </w:pPr>
      <w:r>
        <w:rPr>
          <w:lang w:val="en-US"/>
        </w:rPr>
        <w:t>Toivanen et al. 2023</w:t>
      </w:r>
    </w:p>
    <w:p w:rsidR="00791A4E" w:rsidRDefault="00791A4E" w:rsidP="00791A4E">
      <w:pPr>
        <w:rPr>
          <w:lang w:val="en-US"/>
        </w:rPr>
      </w:pPr>
    </w:p>
    <w:p w:rsidR="00791A4E" w:rsidRPr="009A683A" w:rsidRDefault="00791A4E" w:rsidP="00791A4E">
      <w:pPr>
        <w:rPr>
          <w:sz w:val="24"/>
          <w:lang w:val="en-US"/>
        </w:rPr>
      </w:pPr>
      <w:r w:rsidRPr="009A683A">
        <w:rPr>
          <w:b/>
          <w:sz w:val="24"/>
          <w:lang w:val="en-US"/>
        </w:rPr>
        <w:t>Supplementary Table S1.</w:t>
      </w:r>
      <w:r w:rsidRPr="009A683A">
        <w:rPr>
          <w:sz w:val="24"/>
          <w:lang w:val="en-US"/>
        </w:rPr>
        <w:t xml:space="preserve"> Genes upregulated in liposarcoma subtypes (in their separate sheets)</w:t>
      </w:r>
      <w:r>
        <w:rPr>
          <w:sz w:val="24"/>
          <w:lang w:val="en-US"/>
        </w:rPr>
        <w:t xml:space="preserve"> compared to 201 human healthy</w:t>
      </w:r>
      <w:r w:rsidRPr="009A683A">
        <w:rPr>
          <w:sz w:val="24"/>
          <w:lang w:val="en-US"/>
        </w:rPr>
        <w:t xml:space="preserve"> and cancerous </w:t>
      </w:r>
      <w:r>
        <w:rPr>
          <w:sz w:val="24"/>
          <w:lang w:val="en-US"/>
        </w:rPr>
        <w:t xml:space="preserve">tissue </w:t>
      </w:r>
      <w:r w:rsidRPr="009A683A">
        <w:rPr>
          <w:sz w:val="24"/>
          <w:lang w:val="en-US"/>
        </w:rPr>
        <w:t>types, and compo</w:t>
      </w:r>
      <w:r>
        <w:rPr>
          <w:sz w:val="24"/>
          <w:lang w:val="en-US"/>
        </w:rPr>
        <w:t>unds targeting these genes. A. Ranking o</w:t>
      </w:r>
      <w:r w:rsidRPr="009A683A">
        <w:rPr>
          <w:sz w:val="24"/>
          <w:lang w:val="en-US"/>
        </w:rPr>
        <w:t xml:space="preserve">rder number, B. Gene Ensembl code, C. Gene name, D. </w:t>
      </w:r>
      <w:r w:rsidRPr="003846BD">
        <w:rPr>
          <w:sz w:val="24"/>
          <w:lang w:val="en-US"/>
        </w:rPr>
        <w:t>logFC</w:t>
      </w:r>
      <w:r>
        <w:rPr>
          <w:sz w:val="24"/>
          <w:lang w:val="en-US"/>
        </w:rPr>
        <w:t xml:space="preserve"> (</w:t>
      </w:r>
      <w:r w:rsidRPr="00666204">
        <w:rPr>
          <w:sz w:val="24"/>
          <w:lang w:val="en-US"/>
        </w:rPr>
        <w:t>fold change</w:t>
      </w:r>
      <w:r>
        <w:rPr>
          <w:sz w:val="24"/>
          <w:lang w:val="en-US"/>
        </w:rPr>
        <w:t>)</w:t>
      </w:r>
      <w:r w:rsidRPr="003846BD">
        <w:rPr>
          <w:sz w:val="24"/>
          <w:lang w:val="en-US"/>
        </w:rPr>
        <w:t>, E. logCPM</w:t>
      </w:r>
      <w:r>
        <w:rPr>
          <w:sz w:val="24"/>
          <w:lang w:val="en-US"/>
        </w:rPr>
        <w:t xml:space="preserve"> </w:t>
      </w:r>
      <w:r w:rsidRPr="00666204">
        <w:rPr>
          <w:sz w:val="24"/>
          <w:lang w:val="en-US"/>
        </w:rPr>
        <w:t xml:space="preserve"> (count per million)</w:t>
      </w:r>
      <w:r w:rsidRPr="003846BD">
        <w:rPr>
          <w:sz w:val="24"/>
          <w:lang w:val="en-US"/>
        </w:rPr>
        <w:t xml:space="preserve">, F. </w:t>
      </w:r>
      <w:r w:rsidRPr="009C16FA">
        <w:rPr>
          <w:i/>
          <w:sz w:val="24"/>
          <w:lang w:val="en-US"/>
        </w:rPr>
        <w:t xml:space="preserve">P </w:t>
      </w:r>
      <w:r w:rsidRPr="003846BD">
        <w:rPr>
          <w:sz w:val="24"/>
          <w:lang w:val="en-US"/>
        </w:rPr>
        <w:t>Value,</w:t>
      </w:r>
      <w:r w:rsidRPr="009A683A">
        <w:rPr>
          <w:sz w:val="24"/>
          <w:lang w:val="en-US"/>
        </w:rPr>
        <w:t xml:space="preserve"> G. Drug, identified from drug-gene interaction database (DGIdb), H. Drug type, I. Source of drug-gene interaction, J. PubMed ID.</w:t>
      </w:r>
    </w:p>
    <w:p w:rsidR="00791A4E" w:rsidRPr="001E7794" w:rsidRDefault="00791A4E" w:rsidP="00791A4E">
      <w:pPr>
        <w:rPr>
          <w:sz w:val="24"/>
          <w:szCs w:val="24"/>
          <w:lang w:val="en-US"/>
        </w:rPr>
      </w:pPr>
      <w:r w:rsidRPr="009A683A">
        <w:rPr>
          <w:b/>
          <w:sz w:val="24"/>
          <w:lang w:val="en-US"/>
        </w:rPr>
        <w:t>Supplementary Table S2.</w:t>
      </w:r>
      <w:r w:rsidRPr="009A683A">
        <w:rPr>
          <w:sz w:val="24"/>
          <w:lang w:val="en-US"/>
        </w:rPr>
        <w:t xml:space="preserve"> Drug sensitivity and resistance test (DSRT) results in 8 liposarcoma cell lines.</w:t>
      </w:r>
      <w:r>
        <w:rPr>
          <w:sz w:val="24"/>
          <w:lang w:val="en-US"/>
        </w:rPr>
        <w:t xml:space="preserve"> A. Drug ID</w:t>
      </w:r>
      <w:r w:rsidRPr="004279BF">
        <w:rPr>
          <w:sz w:val="24"/>
          <w:lang w:val="en-US"/>
        </w:rPr>
        <w:t xml:space="preserve"> </w:t>
      </w:r>
      <w:r>
        <w:rPr>
          <w:sz w:val="24"/>
          <w:lang w:val="en-US"/>
        </w:rPr>
        <w:t xml:space="preserve">used in the </w:t>
      </w:r>
      <w:r w:rsidRPr="004279BF">
        <w:rPr>
          <w:sz w:val="24"/>
          <w:lang w:val="en-US"/>
        </w:rPr>
        <w:t xml:space="preserve">Institute for Molecular Medicine Finland </w:t>
      </w:r>
      <w:r>
        <w:rPr>
          <w:sz w:val="24"/>
          <w:lang w:val="en-US"/>
        </w:rPr>
        <w:t xml:space="preserve">(FIMM), B. Drug name, C. Drug target, D. Drug class, E. Drug approval status as of 2020-01-09, F – AK. </w:t>
      </w:r>
      <w:r w:rsidRPr="00A75AB5">
        <w:rPr>
          <w:sz w:val="24"/>
          <w:lang w:val="en-US"/>
        </w:rPr>
        <w:t>Half maximal effective concentration</w:t>
      </w:r>
      <w:r>
        <w:rPr>
          <w:sz w:val="24"/>
          <w:lang w:val="en-US"/>
        </w:rPr>
        <w:t>s (EC50), Drug Sensitivity Scores (DSS), Selective Drug S</w:t>
      </w:r>
      <w:r w:rsidRPr="00A75AB5">
        <w:rPr>
          <w:sz w:val="24"/>
          <w:lang w:val="en-US"/>
        </w:rPr>
        <w:t>e</w:t>
      </w:r>
      <w:r>
        <w:rPr>
          <w:sz w:val="24"/>
          <w:lang w:val="en-US"/>
        </w:rPr>
        <w:t>nsitivity S</w:t>
      </w:r>
      <w:r w:rsidRPr="00A75AB5">
        <w:rPr>
          <w:sz w:val="24"/>
          <w:lang w:val="en-US"/>
        </w:rPr>
        <w:t>core</w:t>
      </w:r>
      <w:r>
        <w:rPr>
          <w:sz w:val="24"/>
          <w:lang w:val="en-US"/>
        </w:rPr>
        <w:t>s</w:t>
      </w:r>
      <w:r w:rsidRPr="00A75AB5">
        <w:rPr>
          <w:sz w:val="24"/>
          <w:lang w:val="en-US"/>
        </w:rPr>
        <w:t xml:space="preserve"> (</w:t>
      </w:r>
      <w:r>
        <w:rPr>
          <w:sz w:val="24"/>
          <w:lang w:val="en-US"/>
        </w:rPr>
        <w:t>s</w:t>
      </w:r>
      <w:r w:rsidRPr="00A75AB5">
        <w:rPr>
          <w:sz w:val="24"/>
          <w:lang w:val="en-US"/>
        </w:rPr>
        <w:t>DSS)</w:t>
      </w:r>
      <w:r>
        <w:rPr>
          <w:sz w:val="24"/>
          <w:lang w:val="en-US"/>
        </w:rPr>
        <w:t xml:space="preserve"> </w:t>
      </w:r>
      <w:r w:rsidRPr="001E7794">
        <w:rPr>
          <w:sz w:val="24"/>
          <w:szCs w:val="24"/>
          <w:lang w:val="en-US"/>
        </w:rPr>
        <w:t xml:space="preserve">(where DSS values </w:t>
      </w:r>
      <w:r>
        <w:rPr>
          <w:sz w:val="24"/>
          <w:szCs w:val="24"/>
          <w:lang w:val="en-US"/>
        </w:rPr>
        <w:t xml:space="preserve">are </w:t>
      </w:r>
      <w:r w:rsidRPr="001E7794">
        <w:rPr>
          <w:sz w:val="24"/>
          <w:szCs w:val="24"/>
          <w:lang w:val="en-US"/>
        </w:rPr>
        <w:t>compared with normal bone marrow mononuclear cells), and drug response graphs in all 8 liposarcoma cell lines.</w:t>
      </w:r>
    </w:p>
    <w:p w:rsidR="00791A4E" w:rsidRDefault="00791A4E" w:rsidP="00791A4E">
      <w:pPr>
        <w:rPr>
          <w:sz w:val="24"/>
          <w:szCs w:val="24"/>
          <w:lang w:val="en-US"/>
        </w:rPr>
      </w:pPr>
      <w:r w:rsidRPr="001E7794">
        <w:rPr>
          <w:b/>
          <w:sz w:val="24"/>
          <w:szCs w:val="24"/>
          <w:lang w:val="en-US"/>
        </w:rPr>
        <w:t>Supplementary Table S3.</w:t>
      </w:r>
      <w:r w:rsidRPr="001E7794">
        <w:rPr>
          <w:sz w:val="24"/>
          <w:szCs w:val="24"/>
          <w:lang w:val="en-US"/>
        </w:rPr>
        <w:t xml:space="preserve"> DSRT results in 8 liposarcoma cell lines (D – K) of the drugs (C) tha</w:t>
      </w:r>
      <w:r>
        <w:rPr>
          <w:sz w:val="24"/>
          <w:szCs w:val="24"/>
          <w:lang w:val="en-US"/>
        </w:rPr>
        <w:t>t emerged from the DGIdb and were</w:t>
      </w:r>
      <w:r w:rsidRPr="001E7794">
        <w:rPr>
          <w:sz w:val="24"/>
          <w:szCs w:val="24"/>
          <w:lang w:val="en-US"/>
        </w:rPr>
        <w:t xml:space="preserve"> found in the drug panel used in the screening. Some of the drugs targeted multiple genes (B) that we</w:t>
      </w:r>
      <w:r>
        <w:rPr>
          <w:sz w:val="24"/>
          <w:szCs w:val="24"/>
          <w:lang w:val="en-US"/>
        </w:rPr>
        <w:t>re</w:t>
      </w:r>
      <w:r w:rsidRPr="001E7794">
        <w:rPr>
          <w:sz w:val="24"/>
          <w:szCs w:val="24"/>
          <w:lang w:val="en-US"/>
        </w:rPr>
        <w:t xml:space="preserve"> identified in different liposarcoma subtypes (A). The DSS, EC50</w:t>
      </w:r>
      <w:r>
        <w:rPr>
          <w:sz w:val="24"/>
          <w:szCs w:val="24"/>
          <w:lang w:val="en-US"/>
        </w:rPr>
        <w:t>,</w:t>
      </w:r>
      <w:r w:rsidRPr="001E7794">
        <w:rPr>
          <w:sz w:val="24"/>
          <w:szCs w:val="24"/>
          <w:lang w:val="en-US"/>
        </w:rPr>
        <w:t xml:space="preserve"> and sDSS values are presented in separate sheets.</w:t>
      </w:r>
    </w:p>
    <w:p w:rsidR="00791A4E" w:rsidRPr="001E7794" w:rsidRDefault="00791A4E" w:rsidP="00791A4E">
      <w:pPr>
        <w:rPr>
          <w:sz w:val="24"/>
          <w:szCs w:val="24"/>
          <w:lang w:val="en-US"/>
        </w:rPr>
      </w:pPr>
      <w:r w:rsidRPr="001E7794">
        <w:rPr>
          <w:b/>
          <w:sz w:val="24"/>
          <w:szCs w:val="24"/>
          <w:lang w:val="en-US"/>
        </w:rPr>
        <w:t xml:space="preserve">Supplementary Table </w:t>
      </w:r>
      <w:r>
        <w:rPr>
          <w:b/>
          <w:sz w:val="24"/>
          <w:szCs w:val="24"/>
          <w:lang w:val="en-US"/>
        </w:rPr>
        <w:t>S4</w:t>
      </w:r>
      <w:r w:rsidRPr="001E7794">
        <w:rPr>
          <w:b/>
          <w:sz w:val="24"/>
          <w:szCs w:val="24"/>
          <w:lang w:val="en-US"/>
        </w:rPr>
        <w:t>.</w:t>
      </w:r>
      <w:r w:rsidRPr="001E7794">
        <w:rPr>
          <w:sz w:val="24"/>
          <w:szCs w:val="24"/>
          <w:lang w:val="en-US"/>
        </w:rPr>
        <w:t xml:space="preserve"> </w:t>
      </w:r>
      <w:r w:rsidRPr="00B178DE">
        <w:rPr>
          <w:sz w:val="24"/>
          <w:szCs w:val="24"/>
          <w:lang w:val="en-US"/>
        </w:rPr>
        <w:t xml:space="preserve">Synergy DSRT results in SA4 and GOT3 cell lines. </w:t>
      </w:r>
      <w:r>
        <w:rPr>
          <w:sz w:val="24"/>
          <w:szCs w:val="24"/>
          <w:lang w:val="en-US"/>
        </w:rPr>
        <w:t>A. Drug name, B. Drug target, C. DSS values of the drugs, D. DSS values of the drugs in combination with 100 nM anagrelide. Drugs for closer synergy examination (highlighted in green) were chosen by subtracting the DSS values of the tested drug and ANA (24.2 in SA4 and 6.4 in GOT3) from the combination DSS value (E). Results of SA4, GOT3, and combination presented in separate sheets.</w:t>
      </w:r>
    </w:p>
    <w:p w:rsidR="00791A4E" w:rsidRPr="00B178DE" w:rsidRDefault="00791A4E" w:rsidP="00791A4E">
      <w:pPr>
        <w:rPr>
          <w:sz w:val="24"/>
          <w:szCs w:val="24"/>
          <w:lang w:val="en-US"/>
        </w:rPr>
      </w:pPr>
      <w:r w:rsidRPr="001E7794">
        <w:rPr>
          <w:b/>
          <w:sz w:val="24"/>
          <w:szCs w:val="24"/>
          <w:lang w:val="en-US"/>
        </w:rPr>
        <w:t>Supplementary Figure S1.</w:t>
      </w:r>
      <w:r w:rsidRPr="001E7794">
        <w:rPr>
          <w:sz w:val="24"/>
          <w:szCs w:val="24"/>
          <w:lang w:val="en-US"/>
        </w:rPr>
        <w:t xml:space="preserve"> </w:t>
      </w:r>
      <w:r>
        <w:rPr>
          <w:sz w:val="24"/>
          <w:szCs w:val="24"/>
          <w:lang w:val="en-US"/>
        </w:rPr>
        <w:t>Vi</w:t>
      </w:r>
      <w:r w:rsidRPr="001E7794">
        <w:rPr>
          <w:sz w:val="24"/>
          <w:szCs w:val="24"/>
          <w:lang w:val="en-US"/>
        </w:rPr>
        <w:t xml:space="preserve">sual presentation of </w:t>
      </w:r>
      <w:r>
        <w:rPr>
          <w:sz w:val="24"/>
          <w:szCs w:val="24"/>
          <w:lang w:val="en-US"/>
        </w:rPr>
        <w:t xml:space="preserve">different </w:t>
      </w:r>
      <w:r w:rsidRPr="001E7794">
        <w:rPr>
          <w:sz w:val="24"/>
          <w:szCs w:val="24"/>
          <w:lang w:val="en-US"/>
        </w:rPr>
        <w:t xml:space="preserve">PDE3A </w:t>
      </w:r>
      <w:r>
        <w:rPr>
          <w:sz w:val="24"/>
          <w:szCs w:val="24"/>
          <w:lang w:val="en-US"/>
        </w:rPr>
        <w:t xml:space="preserve">expressions detected by </w:t>
      </w:r>
      <w:r w:rsidRPr="00B178DE">
        <w:rPr>
          <w:sz w:val="24"/>
          <w:szCs w:val="24"/>
          <w:lang w:val="en-US"/>
        </w:rPr>
        <w:t>immunohistochemistry in 9 soft tissue sarcoma (STS) types.</w:t>
      </w:r>
    </w:p>
    <w:p w:rsidR="00791A4E" w:rsidRDefault="00791A4E" w:rsidP="00791A4E">
      <w:pPr>
        <w:rPr>
          <w:sz w:val="24"/>
          <w:szCs w:val="24"/>
          <w:lang w:val="en-US"/>
        </w:rPr>
      </w:pPr>
      <w:r w:rsidRPr="00B178DE">
        <w:rPr>
          <w:b/>
          <w:sz w:val="24"/>
          <w:szCs w:val="24"/>
          <w:lang w:val="en-US"/>
        </w:rPr>
        <w:t>Supplementary Figure S2.</w:t>
      </w:r>
      <w:r w:rsidRPr="00B178DE">
        <w:rPr>
          <w:sz w:val="24"/>
          <w:szCs w:val="24"/>
          <w:lang w:val="en-US"/>
        </w:rPr>
        <w:t xml:space="preserve"> PDE3A mRNA results in liposarcoma patient series to validate immunohistochemistry results. </w:t>
      </w:r>
    </w:p>
    <w:p w:rsidR="00791A4E" w:rsidRDefault="00791A4E" w:rsidP="00791A4E">
      <w:pPr>
        <w:rPr>
          <w:sz w:val="24"/>
          <w:szCs w:val="24"/>
          <w:lang w:val="en-US"/>
        </w:rPr>
      </w:pPr>
      <w:r w:rsidRPr="00B178DE">
        <w:rPr>
          <w:b/>
          <w:sz w:val="24"/>
          <w:szCs w:val="24"/>
          <w:lang w:val="en-US"/>
        </w:rPr>
        <w:lastRenderedPageBreak/>
        <w:t>Supplementary Figure</w:t>
      </w:r>
      <w:r>
        <w:rPr>
          <w:b/>
          <w:sz w:val="24"/>
          <w:szCs w:val="24"/>
          <w:lang w:val="en-US"/>
        </w:rPr>
        <w:t xml:space="preserve"> S3</w:t>
      </w:r>
      <w:r w:rsidRPr="00B178DE">
        <w:rPr>
          <w:b/>
          <w:sz w:val="24"/>
          <w:szCs w:val="24"/>
          <w:lang w:val="en-US"/>
        </w:rPr>
        <w:t>.</w:t>
      </w:r>
      <w:r w:rsidRPr="00B178DE">
        <w:rPr>
          <w:sz w:val="24"/>
          <w:szCs w:val="24"/>
          <w:lang w:val="en-US"/>
        </w:rPr>
        <w:t xml:space="preserve"> </w:t>
      </w:r>
      <w:r>
        <w:rPr>
          <w:sz w:val="24"/>
          <w:szCs w:val="24"/>
          <w:lang w:val="en-US"/>
        </w:rPr>
        <w:t>Example of the dose-response matrix used to define synergies. ZIP synergy scores were calculated from these experiments.</w:t>
      </w:r>
    </w:p>
    <w:p w:rsidR="00791A4E" w:rsidRDefault="00791A4E" w:rsidP="00791A4E">
      <w:pPr>
        <w:rPr>
          <w:sz w:val="24"/>
          <w:szCs w:val="24"/>
          <w:lang w:val="en-US"/>
        </w:rPr>
      </w:pPr>
      <w:r w:rsidRPr="00B178DE">
        <w:rPr>
          <w:b/>
          <w:sz w:val="24"/>
          <w:szCs w:val="24"/>
          <w:lang w:val="en-US"/>
        </w:rPr>
        <w:t>Supplementary Figure</w:t>
      </w:r>
      <w:r>
        <w:rPr>
          <w:b/>
          <w:sz w:val="24"/>
          <w:szCs w:val="24"/>
          <w:lang w:val="en-US"/>
        </w:rPr>
        <w:t xml:space="preserve"> S4</w:t>
      </w:r>
      <w:r w:rsidRPr="00B178DE">
        <w:rPr>
          <w:b/>
          <w:sz w:val="24"/>
          <w:szCs w:val="24"/>
          <w:lang w:val="en-US"/>
        </w:rPr>
        <w:t>.</w:t>
      </w:r>
      <w:r w:rsidRPr="00B178DE">
        <w:rPr>
          <w:sz w:val="24"/>
          <w:szCs w:val="24"/>
          <w:lang w:val="en-US"/>
        </w:rPr>
        <w:t xml:space="preserve"> </w:t>
      </w:r>
      <w:r>
        <w:rPr>
          <w:sz w:val="24"/>
          <w:szCs w:val="24"/>
          <w:lang w:val="en-US"/>
        </w:rPr>
        <w:t>Drug combination responses of (a) anagrelide and A-1155463 in anagrelide insensitive cell lines, and (b) cilostazol and A-1155463 in cell lines of different anagrelide sensitivities.</w:t>
      </w:r>
    </w:p>
    <w:p w:rsidR="00791A4E" w:rsidRDefault="00791A4E" w:rsidP="00791A4E">
      <w:pPr>
        <w:rPr>
          <w:sz w:val="24"/>
          <w:szCs w:val="24"/>
          <w:lang w:val="en-US"/>
        </w:rPr>
      </w:pPr>
      <w:r w:rsidRPr="00B178DE">
        <w:rPr>
          <w:b/>
          <w:sz w:val="24"/>
          <w:szCs w:val="24"/>
          <w:lang w:val="en-US"/>
        </w:rPr>
        <w:t>Supplementary Figure</w:t>
      </w:r>
      <w:r>
        <w:rPr>
          <w:b/>
          <w:sz w:val="24"/>
          <w:szCs w:val="24"/>
          <w:lang w:val="en-US"/>
        </w:rPr>
        <w:t xml:space="preserve"> S5</w:t>
      </w:r>
      <w:r w:rsidRPr="00B178DE">
        <w:rPr>
          <w:b/>
          <w:sz w:val="24"/>
          <w:szCs w:val="24"/>
          <w:lang w:val="en-US"/>
        </w:rPr>
        <w:t>.</w:t>
      </w:r>
      <w:r w:rsidRPr="00B178DE">
        <w:rPr>
          <w:sz w:val="24"/>
          <w:szCs w:val="24"/>
          <w:lang w:val="en-US"/>
        </w:rPr>
        <w:t xml:space="preserve"> </w:t>
      </w:r>
      <w:r>
        <w:rPr>
          <w:sz w:val="24"/>
          <w:szCs w:val="24"/>
          <w:lang w:val="en-US"/>
        </w:rPr>
        <w:t>Drug responses in anagrelide sensitive cell lines treated separately and simultaneously with anagrelide and A-1155463 combined.</w:t>
      </w:r>
    </w:p>
    <w:p w:rsidR="00791A4E" w:rsidRDefault="00791A4E" w:rsidP="00791A4E">
      <w:pPr>
        <w:rPr>
          <w:sz w:val="24"/>
          <w:szCs w:val="24"/>
          <w:lang w:val="en-US"/>
        </w:rPr>
      </w:pPr>
      <w:r w:rsidRPr="00B178DE">
        <w:rPr>
          <w:b/>
          <w:sz w:val="24"/>
          <w:szCs w:val="24"/>
          <w:lang w:val="en-US"/>
        </w:rPr>
        <w:t>Supplementary Figure</w:t>
      </w:r>
      <w:r>
        <w:rPr>
          <w:b/>
          <w:sz w:val="24"/>
          <w:szCs w:val="24"/>
          <w:lang w:val="en-US"/>
        </w:rPr>
        <w:t xml:space="preserve"> S6.</w:t>
      </w:r>
      <w:r w:rsidRPr="00B178DE">
        <w:rPr>
          <w:sz w:val="24"/>
          <w:szCs w:val="24"/>
          <w:lang w:val="en-US"/>
        </w:rPr>
        <w:t xml:space="preserve"> </w:t>
      </w:r>
      <w:r>
        <w:rPr>
          <w:sz w:val="24"/>
          <w:szCs w:val="24"/>
          <w:lang w:val="en-US"/>
        </w:rPr>
        <w:t>Immunoblotting quantification results of apoptotic markers in cell lines treated with drug combination.</w:t>
      </w:r>
    </w:p>
    <w:p w:rsidR="00791A4E" w:rsidRDefault="00791A4E" w:rsidP="00791A4E">
      <w:pPr>
        <w:rPr>
          <w:sz w:val="24"/>
          <w:szCs w:val="24"/>
          <w:lang w:val="en-US"/>
        </w:rPr>
      </w:pPr>
      <w:r w:rsidRPr="00B178DE">
        <w:rPr>
          <w:b/>
          <w:sz w:val="24"/>
          <w:szCs w:val="24"/>
          <w:lang w:val="en-US"/>
        </w:rPr>
        <w:t>Supplementary Figure</w:t>
      </w:r>
      <w:r>
        <w:rPr>
          <w:b/>
          <w:sz w:val="24"/>
          <w:szCs w:val="24"/>
          <w:lang w:val="en-US"/>
        </w:rPr>
        <w:t xml:space="preserve"> S7.</w:t>
      </w:r>
      <w:r w:rsidRPr="00B178DE">
        <w:rPr>
          <w:sz w:val="24"/>
          <w:szCs w:val="24"/>
          <w:lang w:val="en-US"/>
        </w:rPr>
        <w:t xml:space="preserve"> </w:t>
      </w:r>
      <w:r>
        <w:rPr>
          <w:sz w:val="24"/>
          <w:szCs w:val="24"/>
          <w:lang w:val="en-US"/>
        </w:rPr>
        <w:t>Immunoblotting results of antiapoptotic protein expressions in cell lines with and without anagrelide treatment.</w:t>
      </w:r>
    </w:p>
    <w:p w:rsidR="00791A4E" w:rsidRPr="000C4148" w:rsidRDefault="00791A4E" w:rsidP="00791A4E">
      <w:pPr>
        <w:rPr>
          <w:sz w:val="24"/>
          <w:szCs w:val="24"/>
          <w:lang w:val="en-US"/>
        </w:rPr>
      </w:pPr>
      <w:r w:rsidRPr="00B178DE">
        <w:rPr>
          <w:b/>
          <w:sz w:val="24"/>
          <w:szCs w:val="24"/>
          <w:lang w:val="en-US"/>
        </w:rPr>
        <w:t>Supplementary Figure</w:t>
      </w:r>
      <w:r>
        <w:rPr>
          <w:b/>
          <w:sz w:val="24"/>
          <w:szCs w:val="24"/>
          <w:lang w:val="en-US"/>
        </w:rPr>
        <w:t xml:space="preserve"> </w:t>
      </w:r>
      <w:r w:rsidRPr="000C4148">
        <w:rPr>
          <w:b/>
          <w:sz w:val="24"/>
          <w:szCs w:val="24"/>
          <w:lang w:val="en-US"/>
        </w:rPr>
        <w:t>S</w:t>
      </w:r>
      <w:r>
        <w:rPr>
          <w:b/>
          <w:sz w:val="24"/>
          <w:szCs w:val="24"/>
          <w:lang w:val="en-US"/>
        </w:rPr>
        <w:t>8</w:t>
      </w:r>
      <w:r w:rsidRPr="000C4148">
        <w:rPr>
          <w:b/>
          <w:sz w:val="24"/>
          <w:szCs w:val="24"/>
          <w:lang w:val="en-US"/>
        </w:rPr>
        <w:t>.</w:t>
      </w:r>
      <w:r w:rsidRPr="000C4148">
        <w:rPr>
          <w:sz w:val="24"/>
          <w:szCs w:val="24"/>
          <w:lang w:val="en-US"/>
        </w:rPr>
        <w:t xml:space="preserve"> Drug combination responses of (a) DNMDP and A-1155463, (b) DNMDP and navitoclax, (c) </w:t>
      </w:r>
      <w:r w:rsidRPr="000C4148">
        <w:rPr>
          <w:sz w:val="24"/>
          <w:szCs w:val="24"/>
          <w:shd w:val="clear" w:color="auto" w:fill="FFFFFF"/>
          <w:lang w:val="en-US"/>
        </w:rPr>
        <w:t>3’-hydroxy anagrelide</w:t>
      </w:r>
      <w:r w:rsidRPr="000C4148">
        <w:rPr>
          <w:sz w:val="24"/>
          <w:szCs w:val="24"/>
          <w:lang w:val="en-US"/>
        </w:rPr>
        <w:t xml:space="preserve"> and A-1155463</w:t>
      </w:r>
      <w:r>
        <w:rPr>
          <w:sz w:val="24"/>
          <w:szCs w:val="24"/>
          <w:lang w:val="en-US"/>
        </w:rPr>
        <w:t xml:space="preserve">, and (d) </w:t>
      </w:r>
      <w:r w:rsidRPr="000C4148">
        <w:rPr>
          <w:sz w:val="24"/>
          <w:szCs w:val="24"/>
          <w:shd w:val="clear" w:color="auto" w:fill="FFFFFF"/>
          <w:lang w:val="en-US"/>
        </w:rPr>
        <w:t>3’-hydroxy anagrelide</w:t>
      </w:r>
      <w:r w:rsidRPr="000C4148">
        <w:rPr>
          <w:sz w:val="24"/>
          <w:szCs w:val="24"/>
          <w:lang w:val="en-US"/>
        </w:rPr>
        <w:t xml:space="preserve"> and navitoclax</w:t>
      </w:r>
      <w:r>
        <w:rPr>
          <w:sz w:val="24"/>
          <w:szCs w:val="24"/>
          <w:lang w:val="en-US"/>
        </w:rPr>
        <w:t>, in anagrelide sensitive cell lines. The same DMSO control and PDE3A modulator treatments are presented in panels a and b, and c and d, as they are from the same experiments, but are presented separately for clarity.</w:t>
      </w:r>
    </w:p>
    <w:p w:rsidR="0070194F" w:rsidRPr="0070194F" w:rsidRDefault="00FC4093" w:rsidP="006E7987">
      <w:pPr>
        <w:pStyle w:val="Heading3"/>
        <w:rPr>
          <w:lang w:val="en-US"/>
        </w:rPr>
      </w:pPr>
      <w:r>
        <w:rPr>
          <w:noProof/>
          <w:lang w:val="en-US"/>
        </w:rPr>
        <w:lastRenderedPageBreak/>
        <w:drawing>
          <wp:inline distT="0" distB="0" distL="0" distR="0">
            <wp:extent cx="5142369" cy="7614861"/>
            <wp:effectExtent l="0" t="0" r="127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HC Supplement.jpg"/>
                    <pic:cNvPicPr/>
                  </pic:nvPicPr>
                  <pic:blipFill>
                    <a:blip r:embed="rId8">
                      <a:extLst>
                        <a:ext uri="{28A0092B-C50C-407E-A947-70E740481C1C}">
                          <a14:useLocalDpi xmlns:a14="http://schemas.microsoft.com/office/drawing/2010/main" val="0"/>
                        </a:ext>
                      </a:extLst>
                    </a:blip>
                    <a:stretch>
                      <a:fillRect/>
                    </a:stretch>
                  </pic:blipFill>
                  <pic:spPr>
                    <a:xfrm>
                      <a:off x="0" y="0"/>
                      <a:ext cx="5145832" cy="7619989"/>
                    </a:xfrm>
                    <a:prstGeom prst="rect">
                      <a:avLst/>
                    </a:prstGeom>
                  </pic:spPr>
                </pic:pic>
              </a:graphicData>
            </a:graphic>
          </wp:inline>
        </w:drawing>
      </w:r>
    </w:p>
    <w:p w:rsidR="005E138C" w:rsidRPr="002336E8" w:rsidRDefault="005E138C" w:rsidP="006E7987">
      <w:pPr>
        <w:pStyle w:val="Heading2"/>
        <w:rPr>
          <w:lang w:val="en-US"/>
        </w:rPr>
      </w:pPr>
    </w:p>
    <w:p w:rsidR="000A44FB" w:rsidRPr="00AD42F3" w:rsidRDefault="005E138C" w:rsidP="00AD42F3">
      <w:pPr>
        <w:pStyle w:val="Caption"/>
        <w:rPr>
          <w:b w:val="0"/>
          <w:lang w:val="en-US"/>
        </w:rPr>
      </w:pPr>
      <w:r>
        <w:rPr>
          <w:lang w:val="en-US"/>
        </w:rPr>
        <w:t>Figure</w:t>
      </w:r>
      <w:r w:rsidRPr="005E138C">
        <w:rPr>
          <w:lang w:val="en-US"/>
        </w:rPr>
        <w:t xml:space="preserve"> S1</w:t>
      </w:r>
      <w:r w:rsidRPr="002336E8">
        <w:rPr>
          <w:lang w:val="en-US"/>
        </w:rPr>
        <w:t>. PD</w:t>
      </w:r>
      <w:r w:rsidR="002336E8">
        <w:rPr>
          <w:lang w:val="en-US"/>
        </w:rPr>
        <w:t xml:space="preserve">E3A staining scores in nine soft </w:t>
      </w:r>
      <w:r w:rsidR="005E109D" w:rsidRPr="002336E8">
        <w:rPr>
          <w:lang w:val="en-US"/>
        </w:rPr>
        <w:t xml:space="preserve">tissue sarcoma </w:t>
      </w:r>
      <w:r w:rsidRPr="002336E8">
        <w:rPr>
          <w:lang w:val="en-US"/>
        </w:rPr>
        <w:t>types.</w:t>
      </w:r>
      <w:r w:rsidR="0036486D">
        <w:rPr>
          <w:b w:val="0"/>
          <w:lang w:val="en-US"/>
        </w:rPr>
        <w:t xml:space="preserve"> 40X images </w:t>
      </w:r>
      <w:r w:rsidR="005E109D">
        <w:rPr>
          <w:b w:val="0"/>
          <w:lang w:val="en-US"/>
        </w:rPr>
        <w:t>were</w:t>
      </w:r>
      <w:r w:rsidR="0036486D">
        <w:rPr>
          <w:b w:val="0"/>
          <w:lang w:val="en-US"/>
        </w:rPr>
        <w:t xml:space="preserve"> acquired from scanned stained TMA slides that were viewed with CaseViewer</w:t>
      </w:r>
      <w:r w:rsidR="005E109D">
        <w:rPr>
          <w:b w:val="0"/>
          <w:lang w:val="en-US"/>
        </w:rPr>
        <w:t>.</w:t>
      </w:r>
      <w:r w:rsidR="0036486D">
        <w:rPr>
          <w:b w:val="0"/>
          <w:lang w:val="en-US"/>
        </w:rPr>
        <w:t xml:space="preserve"> </w:t>
      </w:r>
      <w:r w:rsidRPr="005E138C">
        <w:rPr>
          <w:b w:val="0"/>
          <w:lang w:val="en-US"/>
        </w:rPr>
        <w:t>* Not all staining intensities appeared. ** In some cases, only gland-like epithelial structures of the tumo</w:t>
      </w:r>
      <w:r w:rsidR="005E109D">
        <w:rPr>
          <w:b w:val="0"/>
          <w:lang w:val="en-US"/>
        </w:rPr>
        <w:t>u</w:t>
      </w:r>
      <w:r w:rsidRPr="005E138C">
        <w:rPr>
          <w:b w:val="0"/>
          <w:lang w:val="en-US"/>
        </w:rPr>
        <w:t xml:space="preserve">r </w:t>
      </w:r>
      <w:r w:rsidR="00332E44">
        <w:rPr>
          <w:b w:val="0"/>
          <w:lang w:val="en-US"/>
        </w:rPr>
        <w:t xml:space="preserve">were </w:t>
      </w:r>
      <w:r w:rsidRPr="005E138C">
        <w:rPr>
          <w:b w:val="0"/>
          <w:lang w:val="en-US"/>
        </w:rPr>
        <w:t>stained</w:t>
      </w:r>
      <w:r w:rsidR="006E7987">
        <w:rPr>
          <w:b w:val="0"/>
          <w:lang w:val="en-US"/>
        </w:rPr>
        <w:t>.</w:t>
      </w:r>
    </w:p>
    <w:p w:rsidR="00863CDB" w:rsidRDefault="00F635AD" w:rsidP="00863CDB">
      <w:pPr>
        <w:keepNext/>
      </w:pPr>
      <w:r>
        <w:rPr>
          <w:noProof/>
          <w:lang w:val="en-US"/>
        </w:rPr>
        <w:lastRenderedPageBreak/>
        <w:drawing>
          <wp:inline distT="0" distB="0" distL="0" distR="0">
            <wp:extent cx="6114553" cy="2435626"/>
            <wp:effectExtent l="0" t="0" r="63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2.jpg"/>
                    <pic:cNvPicPr/>
                  </pic:nvPicPr>
                  <pic:blipFill>
                    <a:blip r:embed="rId9">
                      <a:extLst>
                        <a:ext uri="{28A0092B-C50C-407E-A947-70E740481C1C}">
                          <a14:useLocalDpi xmlns:a14="http://schemas.microsoft.com/office/drawing/2010/main" val="0"/>
                        </a:ext>
                      </a:extLst>
                    </a:blip>
                    <a:stretch>
                      <a:fillRect/>
                    </a:stretch>
                  </pic:blipFill>
                  <pic:spPr>
                    <a:xfrm>
                      <a:off x="0" y="0"/>
                      <a:ext cx="6131564" cy="2442402"/>
                    </a:xfrm>
                    <a:prstGeom prst="rect">
                      <a:avLst/>
                    </a:prstGeom>
                  </pic:spPr>
                </pic:pic>
              </a:graphicData>
            </a:graphic>
          </wp:inline>
        </w:drawing>
      </w:r>
    </w:p>
    <w:p w:rsidR="009C69DF" w:rsidRPr="009C69DF" w:rsidRDefault="00863CDB" w:rsidP="00F635AD">
      <w:pPr>
        <w:pStyle w:val="Caption"/>
        <w:rPr>
          <w:lang w:val="en-US"/>
        </w:rPr>
      </w:pPr>
      <w:r w:rsidRPr="00863CDB">
        <w:rPr>
          <w:lang w:val="en-US"/>
        </w:rPr>
        <w:t xml:space="preserve">Figure S2. </w:t>
      </w:r>
      <w:r w:rsidRPr="002336E8">
        <w:rPr>
          <w:lang w:val="en-US"/>
        </w:rPr>
        <w:t xml:space="preserve">Validating PDE3A immunohistochemical staining in </w:t>
      </w:r>
      <w:r w:rsidR="00332E44" w:rsidRPr="002336E8">
        <w:rPr>
          <w:lang w:val="en-US"/>
        </w:rPr>
        <w:t xml:space="preserve">63 </w:t>
      </w:r>
      <w:r w:rsidRPr="002336E8">
        <w:rPr>
          <w:lang w:val="en-US"/>
        </w:rPr>
        <w:t xml:space="preserve">liposarcoma tissue results with </w:t>
      </w:r>
      <w:r w:rsidR="00C2785C" w:rsidRPr="002336E8">
        <w:rPr>
          <w:lang w:val="en-US"/>
        </w:rPr>
        <w:t>RT-</w:t>
      </w:r>
      <w:r w:rsidRPr="002336E8">
        <w:rPr>
          <w:lang w:val="en-US"/>
        </w:rPr>
        <w:t>qPCR.</w:t>
      </w:r>
      <w:r w:rsidR="00AE22E0">
        <w:rPr>
          <w:b w:val="0"/>
          <w:lang w:val="en-US"/>
        </w:rPr>
        <w:t xml:space="preserve"> </w:t>
      </w:r>
      <w:r>
        <w:rPr>
          <w:lang w:val="en-US"/>
        </w:rPr>
        <w:t xml:space="preserve">a, </w:t>
      </w:r>
      <w:r>
        <w:rPr>
          <w:b w:val="0"/>
          <w:lang w:val="en-US"/>
        </w:rPr>
        <w:t xml:space="preserve">Strong PDE3A </w:t>
      </w:r>
      <w:r w:rsidR="0044268A">
        <w:rPr>
          <w:b w:val="0"/>
          <w:lang w:val="en-US"/>
        </w:rPr>
        <w:t xml:space="preserve">expression in myxoid </w:t>
      </w:r>
      <w:r w:rsidR="00F635AD">
        <w:rPr>
          <w:b w:val="0"/>
          <w:lang w:val="en-US"/>
        </w:rPr>
        <w:t>subtype was also</w:t>
      </w:r>
      <w:r w:rsidR="0044268A">
        <w:rPr>
          <w:b w:val="0"/>
          <w:lang w:val="en-US"/>
        </w:rPr>
        <w:t xml:space="preserve"> observed</w:t>
      </w:r>
      <w:r>
        <w:rPr>
          <w:b w:val="0"/>
          <w:lang w:val="en-US"/>
        </w:rPr>
        <w:t xml:space="preserve"> in mRNA level</w:t>
      </w:r>
      <w:r w:rsidR="00F635AD">
        <w:rPr>
          <w:b w:val="0"/>
          <w:lang w:val="en-US"/>
        </w:rPr>
        <w:t xml:space="preserve"> (Kruskall-Wallis test, </w:t>
      </w:r>
      <w:r w:rsidR="00F635AD" w:rsidRPr="004D70FA">
        <w:rPr>
          <w:b w:val="0"/>
          <w:i/>
          <w:lang w:val="en-US"/>
        </w:rPr>
        <w:t>P</w:t>
      </w:r>
      <w:r w:rsidR="00F635AD" w:rsidRPr="00F81961">
        <w:rPr>
          <w:b w:val="0"/>
          <w:lang w:val="en-US"/>
        </w:rPr>
        <w:t> </w:t>
      </w:r>
      <w:r w:rsidR="00F635AD">
        <w:rPr>
          <w:b w:val="0"/>
          <w:lang w:val="en-US"/>
        </w:rPr>
        <w:t>&lt; 0.</w:t>
      </w:r>
      <w:r w:rsidR="00F635AD" w:rsidRPr="00F81961">
        <w:rPr>
          <w:b w:val="0"/>
          <w:lang w:val="en-US"/>
        </w:rPr>
        <w:t>01</w:t>
      </w:r>
      <w:r w:rsidR="00F635AD">
        <w:rPr>
          <w:b w:val="0"/>
          <w:lang w:val="en-US"/>
        </w:rPr>
        <w:t>)</w:t>
      </w:r>
      <w:r>
        <w:rPr>
          <w:b w:val="0"/>
          <w:lang w:val="en-US"/>
        </w:rPr>
        <w:t>.</w:t>
      </w:r>
      <w:r w:rsidR="00791D11">
        <w:rPr>
          <w:b w:val="0"/>
          <w:lang w:val="en-US"/>
        </w:rPr>
        <w:t xml:space="preserve"> </w:t>
      </w:r>
      <w:r w:rsidR="00791D11" w:rsidRPr="00791D11">
        <w:rPr>
          <w:b w:val="0"/>
          <w:lang w:val="en-US"/>
        </w:rPr>
        <w:t>Data are represented as mean ± standard deviation</w:t>
      </w:r>
      <w:r w:rsidR="00791D11">
        <w:rPr>
          <w:b w:val="0"/>
          <w:lang w:val="en-US"/>
        </w:rPr>
        <w:t xml:space="preserve">. </w:t>
      </w:r>
      <w:r>
        <w:rPr>
          <w:lang w:val="en-US"/>
        </w:rPr>
        <w:t xml:space="preserve">b, </w:t>
      </w:r>
      <w:r w:rsidR="00C2785C">
        <w:rPr>
          <w:b w:val="0"/>
          <w:lang w:val="en-US"/>
        </w:rPr>
        <w:t xml:space="preserve">Correlation </w:t>
      </w:r>
      <w:r w:rsidR="0044268A">
        <w:rPr>
          <w:b w:val="0"/>
          <w:lang w:val="en-US"/>
        </w:rPr>
        <w:t>was observed</w:t>
      </w:r>
      <w:r w:rsidR="00F81961">
        <w:rPr>
          <w:b w:val="0"/>
          <w:lang w:val="en-US"/>
        </w:rPr>
        <w:t xml:space="preserve"> </w:t>
      </w:r>
      <w:r w:rsidR="00C2785C">
        <w:rPr>
          <w:b w:val="0"/>
          <w:lang w:val="en-US"/>
        </w:rPr>
        <w:t>between PDE3A</w:t>
      </w:r>
      <w:r w:rsidR="0044268A">
        <w:rPr>
          <w:b w:val="0"/>
          <w:lang w:val="en-US"/>
        </w:rPr>
        <w:t xml:space="preserve"> RT-qPCR and immunohistochemistry results</w:t>
      </w:r>
      <w:r w:rsidR="00C2785C">
        <w:rPr>
          <w:b w:val="0"/>
          <w:lang w:val="en-US"/>
        </w:rPr>
        <w:t xml:space="preserve"> </w:t>
      </w:r>
      <w:r w:rsidR="00F81961">
        <w:rPr>
          <w:b w:val="0"/>
          <w:lang w:val="en-US"/>
        </w:rPr>
        <w:t>(</w:t>
      </w:r>
      <w:r w:rsidR="00F81961" w:rsidRPr="00F81961">
        <w:rPr>
          <w:b w:val="0"/>
          <w:lang w:val="en-US"/>
        </w:rPr>
        <w:t xml:space="preserve">Spearman’s ρ = 0.573, </w:t>
      </w:r>
      <w:r w:rsidR="00F81961" w:rsidRPr="004D70FA">
        <w:rPr>
          <w:b w:val="0"/>
          <w:i/>
          <w:lang w:val="en-US"/>
        </w:rPr>
        <w:t>P</w:t>
      </w:r>
      <w:r w:rsidR="00F81961" w:rsidRPr="00F81961">
        <w:rPr>
          <w:b w:val="0"/>
          <w:lang w:val="en-US"/>
        </w:rPr>
        <w:t> &lt; 0.0001</w:t>
      </w:r>
      <w:r w:rsidR="00F81961">
        <w:rPr>
          <w:b w:val="0"/>
          <w:lang w:val="en-US"/>
        </w:rPr>
        <w:t>).</w:t>
      </w:r>
    </w:p>
    <w:p w:rsidR="00807DF1" w:rsidRPr="001C2B79" w:rsidRDefault="000A44FB" w:rsidP="001C2B79">
      <w:pPr>
        <w:jc w:val="left"/>
        <w:rPr>
          <w:b/>
          <w:iCs/>
          <w:sz w:val="28"/>
          <w:szCs w:val="18"/>
          <w:lang w:val="en-US"/>
        </w:rPr>
      </w:pPr>
      <w:r>
        <w:rPr>
          <w:lang w:val="en-US"/>
        </w:rPr>
        <w:br w:type="page"/>
      </w:r>
    </w:p>
    <w:p w:rsidR="007C14F7" w:rsidRPr="00F81961" w:rsidRDefault="007C14F7">
      <w:pPr>
        <w:jc w:val="left"/>
        <w:rPr>
          <w:noProof/>
          <w:sz w:val="2"/>
          <w:lang w:val="en-US" w:eastAsia="fi-FI"/>
        </w:rPr>
      </w:pPr>
    </w:p>
    <w:p w:rsidR="007C14F7" w:rsidRDefault="008C0354" w:rsidP="007C14F7">
      <w:pPr>
        <w:keepNext/>
        <w:jc w:val="left"/>
      </w:pPr>
      <w:r>
        <w:rPr>
          <w:noProof/>
          <w:lang w:val="en-US"/>
        </w:rPr>
        <w:drawing>
          <wp:inline distT="0" distB="0" distL="0" distR="0">
            <wp:extent cx="5269117" cy="6137848"/>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TI_SynergiaDSRT.jpg"/>
                    <pic:cNvPicPr/>
                  </pic:nvPicPr>
                  <pic:blipFill rotWithShape="1">
                    <a:blip r:embed="rId10">
                      <a:extLst>
                        <a:ext uri="{28A0092B-C50C-407E-A947-70E740481C1C}">
                          <a14:useLocalDpi xmlns:a14="http://schemas.microsoft.com/office/drawing/2010/main" val="0"/>
                        </a:ext>
                      </a:extLst>
                    </a:blip>
                    <a:srcRect l="6098" b="35861"/>
                    <a:stretch/>
                  </pic:blipFill>
                  <pic:spPr bwMode="auto">
                    <a:xfrm>
                      <a:off x="0" y="0"/>
                      <a:ext cx="5295011" cy="6168011"/>
                    </a:xfrm>
                    <a:prstGeom prst="rect">
                      <a:avLst/>
                    </a:prstGeom>
                    <a:ln>
                      <a:noFill/>
                    </a:ln>
                    <a:extLst>
                      <a:ext uri="{53640926-AAD7-44D8-BBD7-CCE9431645EC}">
                        <a14:shadowObscured xmlns:a14="http://schemas.microsoft.com/office/drawing/2010/main"/>
                      </a:ext>
                    </a:extLst>
                  </pic:spPr>
                </pic:pic>
              </a:graphicData>
            </a:graphic>
          </wp:inline>
        </w:drawing>
      </w:r>
    </w:p>
    <w:p w:rsidR="007C14F7" w:rsidRPr="00FC4093" w:rsidRDefault="007C14F7" w:rsidP="00C53ADF">
      <w:pPr>
        <w:pStyle w:val="Caption"/>
        <w:rPr>
          <w:b w:val="0"/>
          <w:lang w:val="en-US"/>
        </w:rPr>
      </w:pPr>
      <w:r w:rsidRPr="007C14F7">
        <w:rPr>
          <w:lang w:val="en-US"/>
        </w:rPr>
        <w:t>Figure</w:t>
      </w:r>
      <w:r w:rsidR="00430A94" w:rsidRPr="00430A94">
        <w:rPr>
          <w:lang w:val="en-US"/>
        </w:rPr>
        <w:t xml:space="preserve"> S3</w:t>
      </w:r>
      <w:r w:rsidRPr="007C14F7">
        <w:rPr>
          <w:lang w:val="en-US"/>
        </w:rPr>
        <w:t xml:space="preserve">. </w:t>
      </w:r>
      <w:r w:rsidR="0044268A" w:rsidRPr="002336E8">
        <w:rPr>
          <w:lang w:val="en-US"/>
        </w:rPr>
        <w:t>Example DSRT dose-</w:t>
      </w:r>
      <w:r w:rsidRPr="002336E8">
        <w:rPr>
          <w:lang w:val="en-US"/>
        </w:rPr>
        <w:t xml:space="preserve">response matrix </w:t>
      </w:r>
      <w:r w:rsidR="00430A94" w:rsidRPr="002336E8">
        <w:rPr>
          <w:lang w:val="en-US"/>
        </w:rPr>
        <w:t xml:space="preserve">of anagrelide and A-1155463 </w:t>
      </w:r>
      <w:r w:rsidRPr="002336E8">
        <w:rPr>
          <w:lang w:val="en-US"/>
        </w:rPr>
        <w:t>in GIST882</w:t>
      </w:r>
      <w:r w:rsidR="00FC4093" w:rsidRPr="002336E8">
        <w:rPr>
          <w:lang w:val="en-US"/>
        </w:rPr>
        <w:t xml:space="preserve"> from which ZIP synergy scores were calculated</w:t>
      </w:r>
      <w:r w:rsidRPr="002336E8">
        <w:rPr>
          <w:lang w:val="en-US"/>
        </w:rPr>
        <w:t>.</w:t>
      </w:r>
      <w:r w:rsidRPr="00430A94">
        <w:rPr>
          <w:b w:val="0"/>
          <w:lang w:val="en-US"/>
        </w:rPr>
        <w:t xml:space="preserve"> The two representative </w:t>
      </w:r>
      <w:r w:rsidR="00430A94" w:rsidRPr="00430A94">
        <w:rPr>
          <w:b w:val="0"/>
          <w:lang w:val="en-US"/>
        </w:rPr>
        <w:t>images</w:t>
      </w:r>
      <w:r w:rsidRPr="00430A94">
        <w:rPr>
          <w:b w:val="0"/>
          <w:lang w:val="en-US"/>
        </w:rPr>
        <w:t xml:space="preserve"> are from two separate</w:t>
      </w:r>
      <w:r w:rsidR="00430A94" w:rsidRPr="00430A94">
        <w:rPr>
          <w:b w:val="0"/>
          <w:lang w:val="en-US"/>
        </w:rPr>
        <w:t xml:space="preserve"> experiments</w:t>
      </w:r>
      <w:r w:rsidR="00E70091">
        <w:rPr>
          <w:b w:val="0"/>
          <w:lang w:val="en-US"/>
        </w:rPr>
        <w:t>.</w:t>
      </w:r>
    </w:p>
    <w:p w:rsidR="007C14F7" w:rsidRPr="007C14F7" w:rsidRDefault="007C14F7">
      <w:pPr>
        <w:jc w:val="left"/>
        <w:rPr>
          <w:noProof/>
          <w:sz w:val="2"/>
          <w:lang w:val="en-US" w:eastAsia="fi-FI"/>
        </w:rPr>
      </w:pPr>
      <w:r w:rsidRPr="007C14F7">
        <w:rPr>
          <w:noProof/>
          <w:sz w:val="2"/>
          <w:lang w:val="en-US" w:eastAsia="fi-FI"/>
        </w:rPr>
        <w:br w:type="page"/>
      </w:r>
    </w:p>
    <w:p w:rsidR="009C3F1E" w:rsidRDefault="009C3F1E" w:rsidP="009C3F1E">
      <w:pPr>
        <w:keepNext/>
      </w:pPr>
      <w:r>
        <w:rPr>
          <w:noProof/>
          <w:sz w:val="2"/>
          <w:lang w:val="en-US"/>
        </w:rPr>
        <w:lastRenderedPageBreak/>
        <w:drawing>
          <wp:inline distT="0" distB="0" distL="0" distR="0">
            <wp:extent cx="6005195" cy="5092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ynergia_resistenteissä_ja_cilolla.jpg"/>
                    <pic:cNvPicPr/>
                  </pic:nvPicPr>
                  <pic:blipFill rotWithShape="1">
                    <a:blip r:embed="rId11" cstate="print">
                      <a:extLst>
                        <a:ext uri="{28A0092B-C50C-407E-A947-70E740481C1C}">
                          <a14:useLocalDpi xmlns:a14="http://schemas.microsoft.com/office/drawing/2010/main" val="0"/>
                        </a:ext>
                      </a:extLst>
                    </a:blip>
                    <a:srcRect b="42731"/>
                    <a:stretch/>
                  </pic:blipFill>
                  <pic:spPr bwMode="auto">
                    <a:xfrm>
                      <a:off x="0" y="0"/>
                      <a:ext cx="6005195" cy="5092700"/>
                    </a:xfrm>
                    <a:prstGeom prst="rect">
                      <a:avLst/>
                    </a:prstGeom>
                    <a:ln>
                      <a:noFill/>
                    </a:ln>
                    <a:extLst>
                      <a:ext uri="{53640926-AAD7-44D8-BBD7-CCE9431645EC}">
                        <a14:shadowObscured xmlns:a14="http://schemas.microsoft.com/office/drawing/2010/main"/>
                      </a:ext>
                    </a:extLst>
                  </pic:spPr>
                </pic:pic>
              </a:graphicData>
            </a:graphic>
          </wp:inline>
        </w:drawing>
      </w:r>
    </w:p>
    <w:p w:rsidR="009C3F1E" w:rsidRDefault="009C3F1E" w:rsidP="009C3F1E">
      <w:pPr>
        <w:pStyle w:val="Caption"/>
        <w:rPr>
          <w:b w:val="0"/>
          <w:lang w:val="en-US"/>
        </w:rPr>
      </w:pPr>
      <w:r>
        <w:rPr>
          <w:lang w:val="en-US"/>
        </w:rPr>
        <w:t>Figure</w:t>
      </w:r>
      <w:r w:rsidRPr="009C3F1E">
        <w:rPr>
          <w:lang w:val="en-US"/>
        </w:rPr>
        <w:t xml:space="preserve"> </w:t>
      </w:r>
      <w:r w:rsidR="00430A94">
        <w:rPr>
          <w:lang w:val="en-US"/>
        </w:rPr>
        <w:t>S4</w:t>
      </w:r>
      <w:r>
        <w:rPr>
          <w:lang w:val="en-US"/>
        </w:rPr>
        <w:t>.</w:t>
      </w:r>
      <w:r w:rsidR="002336E8">
        <w:rPr>
          <w:lang w:val="en-US"/>
        </w:rPr>
        <w:t xml:space="preserve"> Synergy of anagrelide and cilostazol with Bcl-xL inhibitor assessed in anagrelide-sensitive and –insensitive cell lines.</w:t>
      </w:r>
      <w:r>
        <w:rPr>
          <w:lang w:val="en-US"/>
        </w:rPr>
        <w:t xml:space="preserve"> a</w:t>
      </w:r>
      <w:r>
        <w:rPr>
          <w:b w:val="0"/>
          <w:lang w:val="en-US"/>
        </w:rPr>
        <w:t>,</w:t>
      </w:r>
      <w:r w:rsidRPr="009C3F1E">
        <w:rPr>
          <w:lang w:val="en-US"/>
        </w:rPr>
        <w:t xml:space="preserve"> </w:t>
      </w:r>
      <w:r w:rsidRPr="009C3F1E">
        <w:rPr>
          <w:b w:val="0"/>
          <w:lang w:val="en-US"/>
        </w:rPr>
        <w:t xml:space="preserve">Synergy </w:t>
      </w:r>
      <w:r w:rsidR="0044268A">
        <w:rPr>
          <w:b w:val="0"/>
          <w:lang w:val="en-US"/>
        </w:rPr>
        <w:t>between</w:t>
      </w:r>
      <w:r w:rsidRPr="009C3F1E">
        <w:rPr>
          <w:b w:val="0"/>
          <w:lang w:val="en-US"/>
        </w:rPr>
        <w:t xml:space="preserve"> A-1155463 and anagrelide was not </w:t>
      </w:r>
      <w:r w:rsidR="0044268A">
        <w:rPr>
          <w:b w:val="0"/>
          <w:lang w:val="en-US"/>
        </w:rPr>
        <w:t>observed</w:t>
      </w:r>
      <w:r w:rsidRPr="009C3F1E">
        <w:rPr>
          <w:b w:val="0"/>
          <w:lang w:val="en-US"/>
        </w:rPr>
        <w:t xml:space="preserve"> in</w:t>
      </w:r>
      <w:r w:rsidR="0044268A">
        <w:rPr>
          <w:b w:val="0"/>
          <w:lang w:val="en-US"/>
        </w:rPr>
        <w:t xml:space="preserve"> cell lines that do not respond</w:t>
      </w:r>
      <w:r w:rsidRPr="009C3F1E">
        <w:rPr>
          <w:b w:val="0"/>
          <w:lang w:val="en-US"/>
        </w:rPr>
        <w:t xml:space="preserve"> to anagrelide alone</w:t>
      </w:r>
      <w:r w:rsidR="001D24A0">
        <w:rPr>
          <w:b w:val="0"/>
          <w:lang w:val="en-US"/>
        </w:rPr>
        <w:t>.</w:t>
      </w:r>
      <w:r w:rsidR="00791D11" w:rsidRPr="00D56FF8">
        <w:rPr>
          <w:lang w:val="en-US"/>
        </w:rPr>
        <w:t xml:space="preserve"> </w:t>
      </w:r>
      <w:r w:rsidRPr="009C3F1E">
        <w:rPr>
          <w:lang w:val="en-US"/>
        </w:rPr>
        <w:t>b</w:t>
      </w:r>
      <w:r w:rsidRPr="009C3F1E">
        <w:rPr>
          <w:b w:val="0"/>
          <w:lang w:val="en-US"/>
        </w:rPr>
        <w:t>,</w:t>
      </w:r>
      <w:r w:rsidR="0044268A">
        <w:rPr>
          <w:b w:val="0"/>
          <w:lang w:val="en-US"/>
        </w:rPr>
        <w:t xml:space="preserve"> Synergy </w:t>
      </w:r>
      <w:r>
        <w:rPr>
          <w:b w:val="0"/>
          <w:lang w:val="en-US"/>
        </w:rPr>
        <w:t>was not observed between A-1155463 and cilostazol in any of the cell lines</w:t>
      </w:r>
      <w:r w:rsidR="001D24A0">
        <w:rPr>
          <w:b w:val="0"/>
          <w:lang w:val="en-US"/>
        </w:rPr>
        <w:t xml:space="preserve">. </w:t>
      </w:r>
      <w:r w:rsidR="001D24A0" w:rsidRPr="00791D11">
        <w:rPr>
          <w:b w:val="0"/>
          <w:lang w:val="en-US"/>
        </w:rPr>
        <w:t>Data are represented as mean ± standard deviation of eight replicates</w:t>
      </w:r>
      <w:r w:rsidR="001D24A0">
        <w:rPr>
          <w:b w:val="0"/>
          <w:lang w:val="en-US"/>
        </w:rPr>
        <w:t xml:space="preserve"> from two separate experiments</w:t>
      </w:r>
      <w:r w:rsidR="001D24A0" w:rsidRPr="00791D11">
        <w:rPr>
          <w:b w:val="0"/>
          <w:lang w:val="en-US"/>
        </w:rPr>
        <w:t>.</w:t>
      </w:r>
    </w:p>
    <w:p w:rsidR="00C429EB" w:rsidRDefault="00C429EB" w:rsidP="00C429EB">
      <w:pPr>
        <w:keepNext/>
      </w:pPr>
      <w:r>
        <w:rPr>
          <w:noProof/>
          <w:lang w:val="en-US"/>
        </w:rPr>
        <w:lastRenderedPageBreak/>
        <w:drawing>
          <wp:inline distT="0" distB="0" distL="0" distR="0">
            <wp:extent cx="6004878" cy="1711105"/>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equentialSynergy.jpg"/>
                    <pic:cNvPicPr/>
                  </pic:nvPicPr>
                  <pic:blipFill rotWithShape="1">
                    <a:blip r:embed="rId12" cstate="print">
                      <a:extLst>
                        <a:ext uri="{28A0092B-C50C-407E-A947-70E740481C1C}">
                          <a14:useLocalDpi xmlns:a14="http://schemas.microsoft.com/office/drawing/2010/main" val="0"/>
                        </a:ext>
                      </a:extLst>
                    </a:blip>
                    <a:srcRect b="80757"/>
                    <a:stretch/>
                  </pic:blipFill>
                  <pic:spPr bwMode="auto">
                    <a:xfrm>
                      <a:off x="0" y="0"/>
                      <a:ext cx="6005195" cy="1711195"/>
                    </a:xfrm>
                    <a:prstGeom prst="rect">
                      <a:avLst/>
                    </a:prstGeom>
                    <a:ln>
                      <a:noFill/>
                    </a:ln>
                    <a:extLst>
                      <a:ext uri="{53640926-AAD7-44D8-BBD7-CCE9431645EC}">
                        <a14:shadowObscured xmlns:a14="http://schemas.microsoft.com/office/drawing/2010/main"/>
                      </a:ext>
                    </a:extLst>
                  </pic:spPr>
                </pic:pic>
              </a:graphicData>
            </a:graphic>
          </wp:inline>
        </w:drawing>
      </w:r>
    </w:p>
    <w:p w:rsidR="00C126A2" w:rsidRPr="002336E8" w:rsidRDefault="00C429EB" w:rsidP="002336E8">
      <w:pPr>
        <w:pStyle w:val="Caption"/>
        <w:rPr>
          <w:b w:val="0"/>
          <w:noProof/>
          <w:lang w:val="en-US"/>
        </w:rPr>
      </w:pPr>
      <w:r w:rsidRPr="00C429EB">
        <w:rPr>
          <w:lang w:val="en-US"/>
        </w:rPr>
        <w:t>Figure</w:t>
      </w:r>
      <w:r w:rsidR="00430A94">
        <w:rPr>
          <w:lang w:val="en-US"/>
        </w:rPr>
        <w:t xml:space="preserve"> S5</w:t>
      </w:r>
      <w:r w:rsidRPr="00C429EB">
        <w:rPr>
          <w:lang w:val="en-US"/>
        </w:rPr>
        <w:t>.</w:t>
      </w:r>
      <w:r w:rsidR="002336E8">
        <w:rPr>
          <w:lang w:val="en-US"/>
        </w:rPr>
        <w:t xml:space="preserve"> Sequential and combined drug exposures assessed in anagrelide-sensitive cell lines. </w:t>
      </w:r>
      <w:r w:rsidR="0044268A">
        <w:rPr>
          <w:b w:val="0"/>
          <w:lang w:val="en-US"/>
        </w:rPr>
        <w:t>Combined exposure to</w:t>
      </w:r>
      <w:r w:rsidRPr="00C429EB">
        <w:rPr>
          <w:b w:val="0"/>
          <w:lang w:val="en-US"/>
        </w:rPr>
        <w:t xml:space="preserve"> anagrelide and A-1155463</w:t>
      </w:r>
      <w:r w:rsidRPr="00C429EB">
        <w:rPr>
          <w:b w:val="0"/>
          <w:noProof/>
          <w:lang w:val="en-US"/>
        </w:rPr>
        <w:t xml:space="preserve"> was most effective compared to sequential exposures.</w:t>
      </w:r>
      <w:r w:rsidR="001D24A0">
        <w:rPr>
          <w:b w:val="0"/>
          <w:noProof/>
          <w:lang w:val="en-US"/>
        </w:rPr>
        <w:t xml:space="preserve"> </w:t>
      </w:r>
      <w:r w:rsidR="001D24A0" w:rsidRPr="00791D11">
        <w:rPr>
          <w:b w:val="0"/>
          <w:lang w:val="en-US"/>
        </w:rPr>
        <w:t>Data are represented as mean ± standard deviation of eight replicates</w:t>
      </w:r>
      <w:r w:rsidR="001D24A0">
        <w:rPr>
          <w:b w:val="0"/>
          <w:lang w:val="en-US"/>
        </w:rPr>
        <w:t xml:space="preserve"> from two separate experiments</w:t>
      </w:r>
      <w:r w:rsidR="001D24A0" w:rsidRPr="00791D11">
        <w:rPr>
          <w:b w:val="0"/>
          <w:lang w:val="en-US"/>
        </w:rPr>
        <w:t>.</w:t>
      </w:r>
    </w:p>
    <w:p w:rsidR="00C126A2" w:rsidRDefault="00C126A2" w:rsidP="00C126A2">
      <w:pPr>
        <w:pStyle w:val="Caption"/>
        <w:keepNext/>
      </w:pPr>
      <w:r>
        <w:rPr>
          <w:b w:val="0"/>
          <w:noProof/>
          <w:lang w:val="en-US"/>
        </w:rPr>
        <w:drawing>
          <wp:inline distT="0" distB="0" distL="0" distR="0">
            <wp:extent cx="5427529" cy="3322622"/>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optoosidensitometria.jpg"/>
                    <pic:cNvPicPr/>
                  </pic:nvPicPr>
                  <pic:blipFill>
                    <a:blip r:embed="rId13">
                      <a:extLst>
                        <a:ext uri="{28A0092B-C50C-407E-A947-70E740481C1C}">
                          <a14:useLocalDpi xmlns:a14="http://schemas.microsoft.com/office/drawing/2010/main" val="0"/>
                        </a:ext>
                      </a:extLst>
                    </a:blip>
                    <a:stretch>
                      <a:fillRect/>
                    </a:stretch>
                  </pic:blipFill>
                  <pic:spPr>
                    <a:xfrm>
                      <a:off x="0" y="0"/>
                      <a:ext cx="5440399" cy="3330501"/>
                    </a:xfrm>
                    <a:prstGeom prst="rect">
                      <a:avLst/>
                    </a:prstGeom>
                  </pic:spPr>
                </pic:pic>
              </a:graphicData>
            </a:graphic>
          </wp:inline>
        </w:drawing>
      </w:r>
    </w:p>
    <w:p w:rsidR="00BF5BB0" w:rsidRPr="00C126A2" w:rsidRDefault="00C126A2" w:rsidP="00C126A2">
      <w:pPr>
        <w:pStyle w:val="Caption"/>
        <w:rPr>
          <w:b w:val="0"/>
          <w:noProof/>
          <w:lang w:val="en-US"/>
        </w:rPr>
      </w:pPr>
      <w:r w:rsidRPr="00C126A2">
        <w:rPr>
          <w:lang w:val="en-US"/>
        </w:rPr>
        <w:t>Figure S6.</w:t>
      </w:r>
      <w:r w:rsidRPr="00C126A2">
        <w:rPr>
          <w:b w:val="0"/>
          <w:lang w:val="en-US"/>
        </w:rPr>
        <w:t xml:space="preserve"> </w:t>
      </w:r>
      <w:r w:rsidR="002E2D05" w:rsidRPr="002336E8">
        <w:rPr>
          <w:lang w:val="en-US"/>
        </w:rPr>
        <w:t>Relative band intensity quantification enabled measuring ratios of the cleaved product to the total protein amount.</w:t>
      </w:r>
      <w:r w:rsidR="002E2D05" w:rsidRPr="002E2D05">
        <w:rPr>
          <w:b w:val="0"/>
          <w:lang w:val="en-US"/>
        </w:rPr>
        <w:t xml:space="preserve"> PARP is highly cleaved in all synergy treated cells, and increased caspase-3 cleavage was detected in synergy treated SA4 and GOT3</w:t>
      </w:r>
      <w:r w:rsidR="002E2D05">
        <w:rPr>
          <w:b w:val="0"/>
          <w:lang w:val="en-US"/>
        </w:rPr>
        <w:t>.</w:t>
      </w:r>
      <w:r w:rsidR="00791D11">
        <w:rPr>
          <w:b w:val="0"/>
          <w:lang w:val="en-US"/>
        </w:rPr>
        <w:t xml:space="preserve"> </w:t>
      </w:r>
      <w:r w:rsidR="00791D11" w:rsidRPr="00791D11">
        <w:rPr>
          <w:b w:val="0"/>
          <w:lang w:val="en-US"/>
        </w:rPr>
        <w:t>Data are represented as mean ± standard deviation</w:t>
      </w:r>
      <w:r w:rsidR="00791D11">
        <w:rPr>
          <w:b w:val="0"/>
          <w:lang w:val="en-US"/>
        </w:rPr>
        <w:t xml:space="preserve"> of three</w:t>
      </w:r>
      <w:r w:rsidR="00791D11" w:rsidRPr="00791D11">
        <w:rPr>
          <w:b w:val="0"/>
          <w:lang w:val="en-US"/>
        </w:rPr>
        <w:t xml:space="preserve"> replicates</w:t>
      </w:r>
      <w:r w:rsidR="00791D11">
        <w:rPr>
          <w:b w:val="0"/>
          <w:lang w:val="en-US"/>
        </w:rPr>
        <w:t>.</w:t>
      </w:r>
    </w:p>
    <w:p w:rsidR="008B77D4" w:rsidRDefault="008B77D4" w:rsidP="008B77D4">
      <w:pPr>
        <w:keepNext/>
        <w:jc w:val="left"/>
      </w:pPr>
      <w:r w:rsidRPr="00071A7A">
        <w:rPr>
          <w:noProof/>
          <w:lang w:val="en-US" w:eastAsia="fi-FI"/>
        </w:rPr>
        <w:br w:type="page"/>
      </w:r>
      <w:r>
        <w:rPr>
          <w:noProof/>
          <w:lang w:val="en-US"/>
        </w:rPr>
        <w:lastRenderedPageBreak/>
        <w:drawing>
          <wp:inline distT="0" distB="0" distL="0" distR="0" wp14:anchorId="65EBEB78" wp14:editId="26B556FA">
            <wp:extent cx="5454594" cy="44630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ntiapoptoottisetWB.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67379" cy="4473522"/>
                    </a:xfrm>
                    <a:prstGeom prst="rect">
                      <a:avLst/>
                    </a:prstGeom>
                  </pic:spPr>
                </pic:pic>
              </a:graphicData>
            </a:graphic>
          </wp:inline>
        </w:drawing>
      </w:r>
    </w:p>
    <w:p w:rsidR="008B77D4" w:rsidRDefault="008B77D4" w:rsidP="008B77D4">
      <w:pPr>
        <w:pStyle w:val="Caption"/>
        <w:rPr>
          <w:b w:val="0"/>
          <w:lang w:val="en-US"/>
        </w:rPr>
      </w:pPr>
      <w:r w:rsidRPr="008B77D4">
        <w:rPr>
          <w:lang w:val="en-US"/>
        </w:rPr>
        <w:t xml:space="preserve">Figure </w:t>
      </w:r>
      <w:r w:rsidR="00C126A2">
        <w:rPr>
          <w:lang w:val="en-US"/>
        </w:rPr>
        <w:t>S7</w:t>
      </w:r>
      <w:r w:rsidRPr="00D335BC">
        <w:rPr>
          <w:lang w:val="en-US"/>
        </w:rPr>
        <w:t xml:space="preserve">. </w:t>
      </w:r>
      <w:r w:rsidRPr="002336E8">
        <w:rPr>
          <w:lang w:val="en-US"/>
        </w:rPr>
        <w:t>Antiapoptotic protein expression levels in DMSO</w:t>
      </w:r>
      <w:r w:rsidR="002336E8">
        <w:rPr>
          <w:lang w:val="en-US"/>
        </w:rPr>
        <w:t>- and anagrelide</w:t>
      </w:r>
      <w:r w:rsidR="0044268A" w:rsidRPr="002336E8">
        <w:rPr>
          <w:lang w:val="en-US"/>
        </w:rPr>
        <w:t>-</w:t>
      </w:r>
      <w:r w:rsidRPr="002336E8">
        <w:rPr>
          <w:lang w:val="en-US"/>
        </w:rPr>
        <w:t>treated cells.</w:t>
      </w:r>
      <w:r w:rsidRPr="00983121">
        <w:rPr>
          <w:b w:val="0"/>
          <w:lang w:val="en-US"/>
        </w:rPr>
        <w:t xml:space="preserve"> </w:t>
      </w:r>
      <w:r>
        <w:rPr>
          <w:lang w:val="en-US"/>
        </w:rPr>
        <w:t>a</w:t>
      </w:r>
      <w:r>
        <w:rPr>
          <w:b w:val="0"/>
          <w:lang w:val="en-US"/>
        </w:rPr>
        <w:t xml:space="preserve">, Immunoblotting </w:t>
      </w:r>
      <w:r w:rsidR="0044268A">
        <w:rPr>
          <w:b w:val="0"/>
          <w:lang w:val="en-US"/>
        </w:rPr>
        <w:t>revealed reduced</w:t>
      </w:r>
      <w:r>
        <w:rPr>
          <w:b w:val="0"/>
          <w:lang w:val="en-US"/>
        </w:rPr>
        <w:t xml:space="preserve"> Mcl-1 expression </w:t>
      </w:r>
      <w:r w:rsidR="0044268A">
        <w:rPr>
          <w:b w:val="0"/>
          <w:lang w:val="en-US"/>
        </w:rPr>
        <w:t>in ANA-</w:t>
      </w:r>
      <w:r>
        <w:rPr>
          <w:b w:val="0"/>
          <w:lang w:val="en-US"/>
        </w:rPr>
        <w:t>sensitive cell lines, GIST882, SA4</w:t>
      </w:r>
      <w:r w:rsidR="0044268A">
        <w:rPr>
          <w:b w:val="0"/>
          <w:lang w:val="en-US"/>
        </w:rPr>
        <w:t>, and GOT3, treated with 100 nM ANA</w:t>
      </w:r>
      <w:r>
        <w:rPr>
          <w:b w:val="0"/>
          <w:lang w:val="en-US"/>
        </w:rPr>
        <w:t>, whereas Bcl-xL</w:t>
      </w:r>
      <w:r w:rsidR="0044268A">
        <w:rPr>
          <w:b w:val="0"/>
          <w:lang w:val="en-US"/>
        </w:rPr>
        <w:t xml:space="preserve"> expression</w:t>
      </w:r>
      <w:r>
        <w:rPr>
          <w:b w:val="0"/>
          <w:lang w:val="en-US"/>
        </w:rPr>
        <w:t xml:space="preserve"> decreased only slightly in GIST48 and SA4, and Bcl-2 in GIST48 and GOT3. </w:t>
      </w:r>
      <w:r>
        <w:rPr>
          <w:lang w:val="en-US"/>
        </w:rPr>
        <w:t>b</w:t>
      </w:r>
      <w:r>
        <w:rPr>
          <w:b w:val="0"/>
          <w:lang w:val="en-US"/>
        </w:rPr>
        <w:t>, Mino</w:t>
      </w:r>
      <w:r w:rsidR="0044268A">
        <w:rPr>
          <w:b w:val="0"/>
          <w:lang w:val="en-US"/>
        </w:rPr>
        <w:t>r expression changes were analys</w:t>
      </w:r>
      <w:r>
        <w:rPr>
          <w:b w:val="0"/>
          <w:lang w:val="en-US"/>
        </w:rPr>
        <w:t>ed by relative band intensity quantifications obtained from two independent experiments using DMSO treatment as reference</w:t>
      </w:r>
      <w:r w:rsidR="0044268A">
        <w:rPr>
          <w:b w:val="0"/>
          <w:lang w:val="en-US"/>
        </w:rPr>
        <w:t>.</w:t>
      </w:r>
      <w:r w:rsidR="00791D11">
        <w:rPr>
          <w:b w:val="0"/>
          <w:lang w:val="en-US"/>
        </w:rPr>
        <w:t xml:space="preserve"> </w:t>
      </w:r>
      <w:r w:rsidR="00791D11" w:rsidRPr="00791D11">
        <w:rPr>
          <w:b w:val="0"/>
          <w:lang w:val="en-US"/>
        </w:rPr>
        <w:t>Data are represented as mean ± standard deviation</w:t>
      </w:r>
      <w:r w:rsidR="00791D11">
        <w:rPr>
          <w:b w:val="0"/>
          <w:lang w:val="en-US"/>
        </w:rPr>
        <w:t xml:space="preserve"> of three</w:t>
      </w:r>
      <w:r w:rsidR="00791D11" w:rsidRPr="00791D11">
        <w:rPr>
          <w:b w:val="0"/>
          <w:lang w:val="en-US"/>
        </w:rPr>
        <w:t xml:space="preserve"> replicates</w:t>
      </w:r>
      <w:r w:rsidR="00791D11">
        <w:rPr>
          <w:b w:val="0"/>
          <w:lang w:val="en-US"/>
        </w:rPr>
        <w:t>.</w:t>
      </w:r>
    </w:p>
    <w:p w:rsidR="008B77D4" w:rsidRDefault="008B77D4" w:rsidP="008B77D4">
      <w:pPr>
        <w:pStyle w:val="Caption"/>
        <w:rPr>
          <w:lang w:val="en-US"/>
        </w:rPr>
      </w:pPr>
    </w:p>
    <w:p w:rsidR="008B77D4" w:rsidRPr="00B011CF" w:rsidRDefault="008B77D4" w:rsidP="008B77D4">
      <w:pPr>
        <w:rPr>
          <w:lang w:val="en-US"/>
        </w:rPr>
      </w:pPr>
    </w:p>
    <w:p w:rsidR="008B77D4" w:rsidRPr="008B77D4" w:rsidRDefault="008B77D4" w:rsidP="008B77D4">
      <w:pPr>
        <w:pStyle w:val="Caption"/>
        <w:jc w:val="left"/>
        <w:rPr>
          <w:noProof/>
          <w:lang w:val="en-US" w:eastAsia="fi-FI"/>
        </w:rPr>
      </w:pPr>
    </w:p>
    <w:p w:rsidR="00FB1389" w:rsidRDefault="00346C75" w:rsidP="00FB1389">
      <w:pPr>
        <w:keepNext/>
      </w:pPr>
      <w:r>
        <w:rPr>
          <w:noProof/>
          <w:lang w:val="en-US"/>
        </w:rPr>
        <w:lastRenderedPageBreak/>
        <w:drawing>
          <wp:inline distT="0" distB="0" distL="0" distR="0">
            <wp:extent cx="6005195" cy="6074875"/>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synergia.jpg"/>
                    <pic:cNvPicPr/>
                  </pic:nvPicPr>
                  <pic:blipFill rotWithShape="1">
                    <a:blip r:embed="rId15" cstate="print">
                      <a:extLst>
                        <a:ext uri="{28A0092B-C50C-407E-A947-70E740481C1C}">
                          <a14:useLocalDpi xmlns:a14="http://schemas.microsoft.com/office/drawing/2010/main" val="0"/>
                        </a:ext>
                      </a:extLst>
                    </a:blip>
                    <a:srcRect b="31686"/>
                    <a:stretch/>
                  </pic:blipFill>
                  <pic:spPr bwMode="auto">
                    <a:xfrm>
                      <a:off x="0" y="0"/>
                      <a:ext cx="6005195" cy="6074875"/>
                    </a:xfrm>
                    <a:prstGeom prst="rect">
                      <a:avLst/>
                    </a:prstGeom>
                    <a:ln>
                      <a:noFill/>
                    </a:ln>
                    <a:extLst>
                      <a:ext uri="{53640926-AAD7-44D8-BBD7-CCE9431645EC}">
                        <a14:shadowObscured xmlns:a14="http://schemas.microsoft.com/office/drawing/2010/main"/>
                      </a:ext>
                    </a:extLst>
                  </pic:spPr>
                </pic:pic>
              </a:graphicData>
            </a:graphic>
          </wp:inline>
        </w:drawing>
      </w:r>
    </w:p>
    <w:p w:rsidR="009F5F0B" w:rsidRPr="00346C75" w:rsidRDefault="00C126A2" w:rsidP="00346C75">
      <w:pPr>
        <w:pStyle w:val="Caption"/>
        <w:rPr>
          <w:b w:val="0"/>
          <w:lang w:val="en-US"/>
        </w:rPr>
      </w:pPr>
      <w:r>
        <w:rPr>
          <w:lang w:val="en-US"/>
        </w:rPr>
        <w:t>Figure S8</w:t>
      </w:r>
      <w:r w:rsidR="00FB1389" w:rsidRPr="00983121">
        <w:rPr>
          <w:lang w:val="en-US"/>
        </w:rPr>
        <w:t xml:space="preserve">. </w:t>
      </w:r>
      <w:r w:rsidR="002336E8">
        <w:rPr>
          <w:lang w:val="en-US"/>
        </w:rPr>
        <w:t xml:space="preserve">Combinations of PDE3A modulators and Bcl-2/Bcl-xL inhibitors assessed in PDE3A modulator –sensitive cell lines. </w:t>
      </w:r>
      <w:r w:rsidR="002336E8">
        <w:rPr>
          <w:b w:val="0"/>
          <w:lang w:val="en-US"/>
        </w:rPr>
        <w:t>Drug r</w:t>
      </w:r>
      <w:r w:rsidR="00983121" w:rsidRPr="00983121">
        <w:rPr>
          <w:b w:val="0"/>
          <w:lang w:val="en-US"/>
        </w:rPr>
        <w:t xml:space="preserve">esponses of </w:t>
      </w:r>
      <w:r w:rsidR="00983121">
        <w:rPr>
          <w:lang w:val="en-US"/>
        </w:rPr>
        <w:t>a</w:t>
      </w:r>
      <w:r w:rsidR="00983121">
        <w:rPr>
          <w:b w:val="0"/>
          <w:lang w:val="en-US"/>
        </w:rPr>
        <w:t xml:space="preserve">, DNMDP and A-1155463; </w:t>
      </w:r>
      <w:r w:rsidR="00983121">
        <w:rPr>
          <w:lang w:val="en-US"/>
        </w:rPr>
        <w:t>b</w:t>
      </w:r>
      <w:r w:rsidR="00983121">
        <w:rPr>
          <w:b w:val="0"/>
          <w:lang w:val="en-US"/>
        </w:rPr>
        <w:t xml:space="preserve">, DNMDP and navitoclax; </w:t>
      </w:r>
      <w:r w:rsidR="00983121">
        <w:rPr>
          <w:lang w:val="en-US"/>
        </w:rPr>
        <w:t>c</w:t>
      </w:r>
      <w:r w:rsidR="00983121">
        <w:rPr>
          <w:b w:val="0"/>
          <w:lang w:val="en-US"/>
        </w:rPr>
        <w:t xml:space="preserve">, 3-hydroxy anagrelide and A-1155463; and </w:t>
      </w:r>
      <w:r w:rsidR="00983121">
        <w:rPr>
          <w:lang w:val="en-US"/>
        </w:rPr>
        <w:t>d</w:t>
      </w:r>
      <w:r w:rsidR="00983121">
        <w:rPr>
          <w:b w:val="0"/>
          <w:lang w:val="en-US"/>
        </w:rPr>
        <w:t>, 3-hydroxy anagrelide and navitoclax, in cell lines</w:t>
      </w:r>
      <w:r w:rsidR="008E401A">
        <w:rPr>
          <w:b w:val="0"/>
          <w:lang w:val="en-US"/>
        </w:rPr>
        <w:t xml:space="preserve"> sensitiv</w:t>
      </w:r>
      <w:r w:rsidR="001D24A0">
        <w:rPr>
          <w:b w:val="0"/>
          <w:lang w:val="en-US"/>
        </w:rPr>
        <w:t>e to PDE3A modulators. All d</w:t>
      </w:r>
      <w:r w:rsidR="001D24A0" w:rsidRPr="00791D11">
        <w:rPr>
          <w:b w:val="0"/>
          <w:lang w:val="en-US"/>
        </w:rPr>
        <w:t>ata are represented as mean ± standard deviation of eight replicates</w:t>
      </w:r>
      <w:r w:rsidR="001D24A0">
        <w:rPr>
          <w:b w:val="0"/>
          <w:lang w:val="en-US"/>
        </w:rPr>
        <w:t xml:space="preserve"> from two separate experiments</w:t>
      </w:r>
      <w:r w:rsidR="00791D11">
        <w:rPr>
          <w:b w:val="0"/>
          <w:lang w:val="en-US"/>
        </w:rPr>
        <w:t>.</w:t>
      </w:r>
      <w:r w:rsidR="00645E86" w:rsidRPr="00645E86">
        <w:rPr>
          <w:lang w:val="en-US"/>
        </w:rPr>
        <w:t xml:space="preserve"> </w:t>
      </w:r>
      <w:r w:rsidR="00645E86" w:rsidRPr="00645E86">
        <w:rPr>
          <w:b w:val="0"/>
          <w:lang w:val="en-US"/>
        </w:rPr>
        <w:t xml:space="preserve">With both PDE3A modulators, 10 nM concentration was used since it corresponded to the 100 nM ANA concentration </w:t>
      </w:r>
      <w:r w:rsidR="00645E86">
        <w:rPr>
          <w:b w:val="0"/>
          <w:lang w:val="en-US"/>
        </w:rPr>
        <w:t>in cell lines.</w:t>
      </w:r>
      <w:r w:rsidR="00332E44">
        <w:rPr>
          <w:b w:val="0"/>
          <w:lang w:val="en-US"/>
        </w:rPr>
        <w:t xml:space="preserve"> </w:t>
      </w:r>
      <w:r w:rsidR="0044268A">
        <w:rPr>
          <w:b w:val="0"/>
          <w:lang w:val="en-US"/>
        </w:rPr>
        <w:t>The treatments in panels</w:t>
      </w:r>
      <w:r w:rsidR="00346C75">
        <w:rPr>
          <w:b w:val="0"/>
          <w:lang w:val="en-US"/>
        </w:rPr>
        <w:t xml:space="preserve"> a and b, and c and d, </w:t>
      </w:r>
      <w:r w:rsidR="0044268A">
        <w:rPr>
          <w:b w:val="0"/>
          <w:lang w:val="en-US"/>
        </w:rPr>
        <w:t>are from the same dataset, but</w:t>
      </w:r>
      <w:r w:rsidR="00346C75">
        <w:rPr>
          <w:b w:val="0"/>
          <w:lang w:val="en-US"/>
        </w:rPr>
        <w:t xml:space="preserve"> a</w:t>
      </w:r>
      <w:r w:rsidR="0044268A">
        <w:rPr>
          <w:b w:val="0"/>
          <w:lang w:val="en-US"/>
        </w:rPr>
        <w:t>re presented in separately for clarity</w:t>
      </w:r>
      <w:r w:rsidR="00346C75">
        <w:rPr>
          <w:b w:val="0"/>
          <w:lang w:val="en-US"/>
        </w:rPr>
        <w:t xml:space="preserve">. </w:t>
      </w:r>
      <w:r w:rsidR="00662EFF">
        <w:rPr>
          <w:b w:val="0"/>
          <w:lang w:val="en-US"/>
        </w:rPr>
        <w:t>*</w:t>
      </w:r>
      <w:r w:rsidR="00332E44">
        <w:rPr>
          <w:b w:val="0"/>
          <w:i/>
          <w:lang w:val="en-US"/>
        </w:rPr>
        <w:t>P</w:t>
      </w:r>
      <w:r w:rsidR="008E401A">
        <w:rPr>
          <w:b w:val="0"/>
          <w:lang w:val="en-US"/>
        </w:rPr>
        <w:t xml:space="preserve"> &lt; 0.0001, when mean compared to DMSO-treated </w:t>
      </w:r>
      <w:r w:rsidR="0044268A">
        <w:rPr>
          <w:b w:val="0"/>
          <w:lang w:val="en-US"/>
        </w:rPr>
        <w:t xml:space="preserve">cells </w:t>
      </w:r>
      <w:r w:rsidR="008E401A">
        <w:rPr>
          <w:b w:val="0"/>
          <w:lang w:val="en-US"/>
        </w:rPr>
        <w:t>using independent-samples t-test</w:t>
      </w:r>
      <w:r w:rsidR="0044268A">
        <w:rPr>
          <w:b w:val="0"/>
          <w:lang w:val="en-US"/>
        </w:rPr>
        <w:t>.</w:t>
      </w:r>
      <w:r w:rsidR="00D460AD" w:rsidRPr="00D460AD">
        <w:rPr>
          <w:lang w:val="en-US"/>
        </w:rPr>
        <w:t xml:space="preserve"> </w:t>
      </w:r>
      <w:r w:rsidR="00D460AD">
        <w:rPr>
          <w:b w:val="0"/>
          <w:lang w:val="en-US"/>
        </w:rPr>
        <w:t xml:space="preserve">The combination of DNMDP and A-1155463 was more effective than the combination of DNMDP and navitoclax (GIST882: </w:t>
      </w:r>
      <w:r w:rsidR="00D460AD" w:rsidRPr="00D460AD">
        <w:rPr>
          <w:b w:val="0"/>
          <w:i/>
          <w:lang w:val="en-US"/>
        </w:rPr>
        <w:t>P</w:t>
      </w:r>
      <w:r w:rsidR="00D460AD" w:rsidRPr="00D460AD">
        <w:rPr>
          <w:b w:val="0"/>
          <w:lang w:val="en-US"/>
        </w:rPr>
        <w:t xml:space="preserve"> = 0.008</w:t>
      </w:r>
      <w:r w:rsidR="00D460AD">
        <w:rPr>
          <w:b w:val="0"/>
          <w:lang w:val="en-US"/>
        </w:rPr>
        <w:t>,</w:t>
      </w:r>
      <w:r w:rsidR="00D460AD" w:rsidRPr="00D460AD">
        <w:rPr>
          <w:b w:val="0"/>
          <w:lang w:val="en-US"/>
        </w:rPr>
        <w:t xml:space="preserve"> SA4</w:t>
      </w:r>
      <w:r w:rsidR="00D460AD">
        <w:rPr>
          <w:b w:val="0"/>
          <w:lang w:val="en-US"/>
        </w:rPr>
        <w:t xml:space="preserve">: </w:t>
      </w:r>
      <w:r w:rsidR="00D460AD" w:rsidRPr="00D460AD">
        <w:rPr>
          <w:b w:val="0"/>
          <w:i/>
          <w:lang w:val="en-US"/>
        </w:rPr>
        <w:t>P</w:t>
      </w:r>
      <w:r w:rsidR="00D460AD" w:rsidRPr="00D460AD">
        <w:rPr>
          <w:b w:val="0"/>
          <w:lang w:val="en-US"/>
        </w:rPr>
        <w:t xml:space="preserve"> &lt; 0.0001</w:t>
      </w:r>
      <w:r w:rsidR="00D460AD">
        <w:rPr>
          <w:b w:val="0"/>
          <w:lang w:val="en-US"/>
        </w:rPr>
        <w:t>,</w:t>
      </w:r>
      <w:r w:rsidR="00D460AD" w:rsidRPr="00D460AD">
        <w:rPr>
          <w:b w:val="0"/>
          <w:lang w:val="en-US"/>
        </w:rPr>
        <w:t xml:space="preserve"> GOT3</w:t>
      </w:r>
      <w:r w:rsidR="00D460AD">
        <w:rPr>
          <w:b w:val="0"/>
          <w:lang w:val="en-US"/>
        </w:rPr>
        <w:t xml:space="preserve">: </w:t>
      </w:r>
      <w:r w:rsidR="00D460AD" w:rsidRPr="00D460AD">
        <w:rPr>
          <w:b w:val="0"/>
          <w:i/>
          <w:lang w:val="en-US"/>
        </w:rPr>
        <w:t>P</w:t>
      </w:r>
      <w:r w:rsidR="00D460AD" w:rsidRPr="00D460AD">
        <w:rPr>
          <w:b w:val="0"/>
          <w:lang w:val="en-US"/>
        </w:rPr>
        <w:t xml:space="preserve"> &lt; 0.0001)</w:t>
      </w:r>
      <w:r w:rsidR="00D460AD">
        <w:rPr>
          <w:b w:val="0"/>
          <w:lang w:val="en-US"/>
        </w:rPr>
        <w:t xml:space="preserve">. </w:t>
      </w:r>
      <w:r w:rsidR="00D460AD" w:rsidRPr="00D460AD">
        <w:rPr>
          <w:b w:val="0"/>
          <w:lang w:val="en-US"/>
        </w:rPr>
        <w:t>Sign</w:t>
      </w:r>
      <w:r w:rsidR="00D460AD">
        <w:rPr>
          <w:b w:val="0"/>
          <w:lang w:val="en-US"/>
        </w:rPr>
        <w:t xml:space="preserve">ificant differences between </w:t>
      </w:r>
      <w:r w:rsidR="00D460AD" w:rsidRPr="00D460AD">
        <w:rPr>
          <w:b w:val="0"/>
          <w:lang w:val="en-US"/>
        </w:rPr>
        <w:t>3-OH</w:t>
      </w:r>
      <w:r w:rsidR="00D460AD">
        <w:rPr>
          <w:b w:val="0"/>
          <w:lang w:val="en-US"/>
        </w:rPr>
        <w:t xml:space="preserve"> + </w:t>
      </w:r>
      <w:r w:rsidR="00D460AD" w:rsidRPr="00D460AD">
        <w:rPr>
          <w:b w:val="0"/>
          <w:lang w:val="en-US"/>
        </w:rPr>
        <w:t>A-</w:t>
      </w:r>
      <w:r w:rsidR="00D460AD" w:rsidRPr="00D460AD">
        <w:rPr>
          <w:b w:val="0"/>
          <w:lang w:val="en-US"/>
        </w:rPr>
        <w:lastRenderedPageBreak/>
        <w:t>1155463</w:t>
      </w:r>
      <w:r w:rsidR="00D460AD">
        <w:rPr>
          <w:b w:val="0"/>
          <w:lang w:val="en-US"/>
        </w:rPr>
        <w:t xml:space="preserve"> –combination and </w:t>
      </w:r>
      <w:r w:rsidR="00D460AD" w:rsidRPr="00D460AD">
        <w:rPr>
          <w:b w:val="0"/>
          <w:lang w:val="en-US"/>
        </w:rPr>
        <w:t>3-OH ANA</w:t>
      </w:r>
      <w:r w:rsidR="00D460AD">
        <w:rPr>
          <w:b w:val="0"/>
          <w:lang w:val="en-US"/>
        </w:rPr>
        <w:t xml:space="preserve"> + navitoclax –combination was</w:t>
      </w:r>
      <w:r w:rsidR="00D460AD" w:rsidRPr="00D460AD">
        <w:rPr>
          <w:b w:val="0"/>
          <w:lang w:val="en-US"/>
        </w:rPr>
        <w:t xml:space="preserve"> </w:t>
      </w:r>
      <w:r w:rsidR="00D460AD">
        <w:rPr>
          <w:b w:val="0"/>
          <w:lang w:val="en-US"/>
        </w:rPr>
        <w:t xml:space="preserve">not observed in GIST882 and SA4. Instead, </w:t>
      </w:r>
      <w:r w:rsidR="00D460AD" w:rsidRPr="00D460AD">
        <w:rPr>
          <w:b w:val="0"/>
          <w:lang w:val="en-US"/>
        </w:rPr>
        <w:t>the combination of A-1155463 and 3-OH ANA resulted in significantly lower cell viabilities (104%) than navitoclax and 3-OH ANA (213%) in GOT3 (</w:t>
      </w:r>
      <w:r w:rsidR="00D460AD" w:rsidRPr="004D781E">
        <w:rPr>
          <w:b w:val="0"/>
          <w:i/>
          <w:lang w:val="en-US"/>
        </w:rPr>
        <w:t>P</w:t>
      </w:r>
      <w:r w:rsidR="00D460AD" w:rsidRPr="00D460AD">
        <w:rPr>
          <w:b w:val="0"/>
          <w:lang w:val="en-US"/>
        </w:rPr>
        <w:t xml:space="preserve"> &lt; 0.0001).</w:t>
      </w:r>
      <w:bookmarkStart w:id="0" w:name="_GoBack"/>
      <w:bookmarkEnd w:id="0"/>
    </w:p>
    <w:sectPr w:rsidR="009F5F0B" w:rsidRPr="00346C75">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69DF" w:rsidRDefault="009C69DF" w:rsidP="009C69DF">
      <w:pPr>
        <w:spacing w:before="0" w:after="0" w:line="240" w:lineRule="auto"/>
      </w:pPr>
      <w:r>
        <w:separator/>
      </w:r>
    </w:p>
  </w:endnote>
  <w:endnote w:type="continuationSeparator" w:id="0">
    <w:p w:rsidR="009C69DF" w:rsidRDefault="009C69DF" w:rsidP="009C69D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69DF" w:rsidRDefault="009C69DF" w:rsidP="009C69DF">
      <w:pPr>
        <w:spacing w:before="0" w:after="0" w:line="240" w:lineRule="auto"/>
      </w:pPr>
      <w:r>
        <w:separator/>
      </w:r>
    </w:p>
  </w:footnote>
  <w:footnote w:type="continuationSeparator" w:id="0">
    <w:p w:rsidR="009C69DF" w:rsidRDefault="009C69DF" w:rsidP="009C69D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FA36E6"/>
    <w:multiLevelType w:val="hybridMultilevel"/>
    <w:tmpl w:val="9E16507A"/>
    <w:lvl w:ilvl="0" w:tplc="975A067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5B0"/>
    <w:rsid w:val="00041957"/>
    <w:rsid w:val="00051C62"/>
    <w:rsid w:val="00065CE3"/>
    <w:rsid w:val="00071A7A"/>
    <w:rsid w:val="00094546"/>
    <w:rsid w:val="000A1D32"/>
    <w:rsid w:val="000A44FB"/>
    <w:rsid w:val="000B4DC1"/>
    <w:rsid w:val="000C626A"/>
    <w:rsid w:val="000F2345"/>
    <w:rsid w:val="000F38AA"/>
    <w:rsid w:val="000F620A"/>
    <w:rsid w:val="00126E7D"/>
    <w:rsid w:val="00145A49"/>
    <w:rsid w:val="001A4735"/>
    <w:rsid w:val="001C2B79"/>
    <w:rsid w:val="001D24A0"/>
    <w:rsid w:val="002010E4"/>
    <w:rsid w:val="002016BC"/>
    <w:rsid w:val="002336E8"/>
    <w:rsid w:val="00240631"/>
    <w:rsid w:val="002E2D05"/>
    <w:rsid w:val="0032039C"/>
    <w:rsid w:val="00332E44"/>
    <w:rsid w:val="00346C75"/>
    <w:rsid w:val="0036486D"/>
    <w:rsid w:val="003C55B0"/>
    <w:rsid w:val="003E57C2"/>
    <w:rsid w:val="00407A77"/>
    <w:rsid w:val="004201C2"/>
    <w:rsid w:val="00430A94"/>
    <w:rsid w:val="0044268A"/>
    <w:rsid w:val="00450312"/>
    <w:rsid w:val="004838D6"/>
    <w:rsid w:val="004B6692"/>
    <w:rsid w:val="004D70FA"/>
    <w:rsid w:val="004D781E"/>
    <w:rsid w:val="00540FA2"/>
    <w:rsid w:val="00544AFF"/>
    <w:rsid w:val="005879BE"/>
    <w:rsid w:val="005C0376"/>
    <w:rsid w:val="005E109D"/>
    <w:rsid w:val="005E138C"/>
    <w:rsid w:val="00645E86"/>
    <w:rsid w:val="00662EFF"/>
    <w:rsid w:val="00684A4D"/>
    <w:rsid w:val="006B43A4"/>
    <w:rsid w:val="006E7987"/>
    <w:rsid w:val="0070194F"/>
    <w:rsid w:val="0075157E"/>
    <w:rsid w:val="00770306"/>
    <w:rsid w:val="00791A4E"/>
    <w:rsid w:val="00791D11"/>
    <w:rsid w:val="007A5A89"/>
    <w:rsid w:val="007C14F7"/>
    <w:rsid w:val="007C2F45"/>
    <w:rsid w:val="007C6FE3"/>
    <w:rsid w:val="00807DF1"/>
    <w:rsid w:val="00863CDB"/>
    <w:rsid w:val="008A6F8F"/>
    <w:rsid w:val="008B77D4"/>
    <w:rsid w:val="008C0354"/>
    <w:rsid w:val="008E401A"/>
    <w:rsid w:val="008F39A8"/>
    <w:rsid w:val="00983121"/>
    <w:rsid w:val="009C3F1E"/>
    <w:rsid w:val="009C69DF"/>
    <w:rsid w:val="009D6E14"/>
    <w:rsid w:val="009F5F0B"/>
    <w:rsid w:val="00A75C93"/>
    <w:rsid w:val="00AD42F3"/>
    <w:rsid w:val="00AE22E0"/>
    <w:rsid w:val="00B011CF"/>
    <w:rsid w:val="00B32386"/>
    <w:rsid w:val="00B74078"/>
    <w:rsid w:val="00B74658"/>
    <w:rsid w:val="00BF5BB0"/>
    <w:rsid w:val="00C126A2"/>
    <w:rsid w:val="00C2785C"/>
    <w:rsid w:val="00C33C4E"/>
    <w:rsid w:val="00C429EB"/>
    <w:rsid w:val="00C53ADF"/>
    <w:rsid w:val="00C907CB"/>
    <w:rsid w:val="00CA6FFE"/>
    <w:rsid w:val="00CB3872"/>
    <w:rsid w:val="00CD1713"/>
    <w:rsid w:val="00D17EF4"/>
    <w:rsid w:val="00D335BC"/>
    <w:rsid w:val="00D346BE"/>
    <w:rsid w:val="00D460AD"/>
    <w:rsid w:val="00D571FE"/>
    <w:rsid w:val="00D676A9"/>
    <w:rsid w:val="00DC34B4"/>
    <w:rsid w:val="00E70091"/>
    <w:rsid w:val="00EA1106"/>
    <w:rsid w:val="00EA3339"/>
    <w:rsid w:val="00EF3B2F"/>
    <w:rsid w:val="00F635AD"/>
    <w:rsid w:val="00F81961"/>
    <w:rsid w:val="00FB1389"/>
    <w:rsid w:val="00FC4093"/>
    <w:rsid w:val="00FD5AD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30"/>
  <w15:chartTrackingRefBased/>
  <w15:docId w15:val="{6955FD22-B916-4DA2-B968-E3CABEC3A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8"/>
        <w:lang w:val="fi-FI" w:eastAsia="en-US" w:bidi="ar-SA"/>
      </w:rPr>
    </w:rPrDefault>
    <w:pPrDefault>
      <w:pPr>
        <w:spacing w:before="240"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55B0"/>
    <w:pPr>
      <w:jc w:val="both"/>
    </w:pPr>
    <w:rPr>
      <w:sz w:val="27"/>
    </w:rPr>
  </w:style>
  <w:style w:type="paragraph" w:styleId="Heading1">
    <w:name w:val="heading 1"/>
    <w:basedOn w:val="Normal"/>
    <w:next w:val="Normal"/>
    <w:link w:val="Heading1Char"/>
    <w:uiPriority w:val="9"/>
    <w:qFormat/>
    <w:rsid w:val="00EF3B2F"/>
    <w:pPr>
      <w:keepNext/>
      <w:keepLines/>
      <w:spacing w:after="12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EF3B2F"/>
    <w:pPr>
      <w:keepNext/>
      <w:keepLines/>
      <w:spacing w:before="40" w:after="0"/>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EF3B2F"/>
    <w:pPr>
      <w:keepNext/>
      <w:keepLines/>
      <w:spacing w:before="40" w:after="0"/>
      <w:outlineLvl w:val="2"/>
    </w:pPr>
    <w:rPr>
      <w:rFonts w:eastAsiaTheme="majorEastAsia" w:cstheme="majorBidi"/>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B2F"/>
    <w:rPr>
      <w:rFonts w:eastAsiaTheme="majorEastAsia" w:cstheme="majorBidi"/>
      <w:sz w:val="32"/>
      <w:szCs w:val="32"/>
    </w:rPr>
  </w:style>
  <w:style w:type="character" w:customStyle="1" w:styleId="Heading2Char">
    <w:name w:val="Heading 2 Char"/>
    <w:basedOn w:val="DefaultParagraphFont"/>
    <w:link w:val="Heading2"/>
    <w:uiPriority w:val="9"/>
    <w:rsid w:val="00EF3B2F"/>
    <w:rPr>
      <w:rFonts w:eastAsiaTheme="majorEastAsia" w:cstheme="majorBidi"/>
      <w:szCs w:val="26"/>
    </w:rPr>
  </w:style>
  <w:style w:type="character" w:customStyle="1" w:styleId="Heading3Char">
    <w:name w:val="Heading 3 Char"/>
    <w:basedOn w:val="DefaultParagraphFont"/>
    <w:link w:val="Heading3"/>
    <w:uiPriority w:val="9"/>
    <w:rsid w:val="00EF3B2F"/>
    <w:rPr>
      <w:rFonts w:eastAsiaTheme="majorEastAsia" w:cstheme="majorBidi"/>
      <w:sz w:val="26"/>
      <w:szCs w:val="24"/>
    </w:rPr>
  </w:style>
  <w:style w:type="paragraph" w:styleId="Caption">
    <w:name w:val="caption"/>
    <w:basedOn w:val="Normal"/>
    <w:next w:val="Normal"/>
    <w:uiPriority w:val="35"/>
    <w:unhideWhenUsed/>
    <w:qFormat/>
    <w:rsid w:val="00DC34B4"/>
    <w:pPr>
      <w:spacing w:before="0" w:after="200" w:line="240" w:lineRule="auto"/>
    </w:pPr>
    <w:rPr>
      <w:b/>
      <w:iCs/>
      <w:sz w:val="28"/>
      <w:szCs w:val="18"/>
    </w:rPr>
  </w:style>
  <w:style w:type="paragraph" w:styleId="Header">
    <w:name w:val="header"/>
    <w:basedOn w:val="Normal"/>
    <w:link w:val="HeaderChar"/>
    <w:uiPriority w:val="99"/>
    <w:unhideWhenUsed/>
    <w:rsid w:val="009C69DF"/>
    <w:pPr>
      <w:tabs>
        <w:tab w:val="center" w:pos="4819"/>
        <w:tab w:val="right" w:pos="9638"/>
      </w:tabs>
      <w:spacing w:before="0" w:after="0" w:line="240" w:lineRule="auto"/>
    </w:pPr>
  </w:style>
  <w:style w:type="character" w:customStyle="1" w:styleId="HeaderChar">
    <w:name w:val="Header Char"/>
    <w:basedOn w:val="DefaultParagraphFont"/>
    <w:link w:val="Header"/>
    <w:uiPriority w:val="99"/>
    <w:rsid w:val="009C69DF"/>
    <w:rPr>
      <w:sz w:val="27"/>
    </w:rPr>
  </w:style>
  <w:style w:type="paragraph" w:styleId="Footer">
    <w:name w:val="footer"/>
    <w:basedOn w:val="Normal"/>
    <w:link w:val="FooterChar"/>
    <w:uiPriority w:val="99"/>
    <w:unhideWhenUsed/>
    <w:rsid w:val="009C69DF"/>
    <w:pPr>
      <w:tabs>
        <w:tab w:val="center" w:pos="4819"/>
        <w:tab w:val="right" w:pos="9638"/>
      </w:tabs>
      <w:spacing w:before="0" w:after="0" w:line="240" w:lineRule="auto"/>
    </w:pPr>
  </w:style>
  <w:style w:type="character" w:customStyle="1" w:styleId="FooterChar">
    <w:name w:val="Footer Char"/>
    <w:basedOn w:val="DefaultParagraphFont"/>
    <w:link w:val="Footer"/>
    <w:uiPriority w:val="99"/>
    <w:rsid w:val="009C69DF"/>
    <w:rPr>
      <w:sz w:val="27"/>
    </w:rPr>
  </w:style>
  <w:style w:type="character" w:styleId="Hyperlink">
    <w:name w:val="Hyperlink"/>
    <w:basedOn w:val="DefaultParagraphFont"/>
    <w:uiPriority w:val="99"/>
    <w:semiHidden/>
    <w:unhideWhenUsed/>
    <w:rsid w:val="007C2F45"/>
    <w:rPr>
      <w:color w:val="0563C1"/>
      <w:u w:val="single"/>
    </w:rPr>
  </w:style>
  <w:style w:type="character" w:styleId="FollowedHyperlink">
    <w:name w:val="FollowedHyperlink"/>
    <w:basedOn w:val="DefaultParagraphFont"/>
    <w:uiPriority w:val="99"/>
    <w:semiHidden/>
    <w:unhideWhenUsed/>
    <w:rsid w:val="007C2F45"/>
    <w:rPr>
      <w:color w:val="954F72"/>
      <w:u w:val="single"/>
    </w:rPr>
  </w:style>
  <w:style w:type="paragraph" w:customStyle="1" w:styleId="msonormal0">
    <w:name w:val="msonormal"/>
    <w:basedOn w:val="Normal"/>
    <w:rsid w:val="007C2F45"/>
    <w:pPr>
      <w:spacing w:before="100" w:beforeAutospacing="1" w:after="100" w:afterAutospacing="1" w:line="240" w:lineRule="auto"/>
      <w:jc w:val="left"/>
    </w:pPr>
    <w:rPr>
      <w:rFonts w:eastAsia="Times New Roman" w:cs="Times New Roman"/>
      <w:sz w:val="24"/>
      <w:szCs w:val="24"/>
      <w:lang w:eastAsia="fi-FI"/>
    </w:rPr>
  </w:style>
  <w:style w:type="paragraph" w:customStyle="1" w:styleId="xl63">
    <w:name w:val="xl63"/>
    <w:basedOn w:val="Normal"/>
    <w:rsid w:val="007C2F45"/>
    <w:pPr>
      <w:pBdr>
        <w:bottom w:val="single" w:sz="12" w:space="0" w:color="ACCCEA"/>
      </w:pBdr>
      <w:spacing w:before="100" w:beforeAutospacing="1" w:after="100" w:afterAutospacing="1" w:line="240" w:lineRule="auto"/>
      <w:jc w:val="left"/>
    </w:pPr>
    <w:rPr>
      <w:rFonts w:eastAsia="Times New Roman" w:cs="Times New Roman"/>
      <w:b/>
      <w:bCs/>
      <w:color w:val="44546A"/>
      <w:sz w:val="24"/>
      <w:szCs w:val="24"/>
      <w:lang w:eastAsia="fi-FI"/>
    </w:rPr>
  </w:style>
  <w:style w:type="paragraph" w:customStyle="1" w:styleId="xl64">
    <w:name w:val="xl64"/>
    <w:basedOn w:val="Normal"/>
    <w:rsid w:val="007C2F45"/>
    <w:pPr>
      <w:pBdr>
        <w:bottom w:val="single" w:sz="12" w:space="0" w:color="ACCCEA"/>
      </w:pBdr>
      <w:spacing w:before="100" w:beforeAutospacing="1" w:after="100" w:afterAutospacing="1" w:line="240" w:lineRule="auto"/>
      <w:jc w:val="center"/>
      <w:textAlignment w:val="top"/>
    </w:pPr>
    <w:rPr>
      <w:rFonts w:eastAsia="Times New Roman" w:cs="Times New Roman"/>
      <w:b/>
      <w:bCs/>
      <w:color w:val="44546A"/>
      <w:sz w:val="24"/>
      <w:szCs w:val="24"/>
      <w:lang w:eastAsia="fi-FI"/>
    </w:rPr>
  </w:style>
  <w:style w:type="paragraph" w:customStyle="1" w:styleId="xl65">
    <w:name w:val="xl65"/>
    <w:basedOn w:val="Normal"/>
    <w:rsid w:val="007C2F45"/>
    <w:pPr>
      <w:pBdr>
        <w:bottom w:val="single" w:sz="12" w:space="0" w:color="ACCCEA"/>
      </w:pBdr>
      <w:spacing w:before="100" w:beforeAutospacing="1" w:after="100" w:afterAutospacing="1" w:line="240" w:lineRule="auto"/>
      <w:jc w:val="center"/>
      <w:textAlignment w:val="top"/>
    </w:pPr>
    <w:rPr>
      <w:rFonts w:eastAsia="Times New Roman" w:cs="Times New Roman"/>
      <w:b/>
      <w:bCs/>
      <w:color w:val="44546A"/>
      <w:sz w:val="24"/>
      <w:szCs w:val="24"/>
      <w:lang w:eastAsia="fi-FI"/>
    </w:rPr>
  </w:style>
  <w:style w:type="paragraph" w:customStyle="1" w:styleId="xl66">
    <w:name w:val="xl66"/>
    <w:basedOn w:val="Normal"/>
    <w:rsid w:val="007C2F45"/>
    <w:pPr>
      <w:spacing w:before="100" w:beforeAutospacing="1" w:after="100" w:afterAutospacing="1" w:line="240" w:lineRule="auto"/>
      <w:jc w:val="center"/>
      <w:textAlignment w:val="top"/>
    </w:pPr>
    <w:rPr>
      <w:rFonts w:eastAsia="Times New Roman" w:cs="Times New Roman"/>
      <w:sz w:val="24"/>
      <w:szCs w:val="24"/>
      <w:lang w:eastAsia="fi-FI"/>
    </w:rPr>
  </w:style>
  <w:style w:type="paragraph" w:customStyle="1" w:styleId="xl67">
    <w:name w:val="xl67"/>
    <w:basedOn w:val="Normal"/>
    <w:rsid w:val="007C2F45"/>
    <w:pPr>
      <w:spacing w:before="100" w:beforeAutospacing="1" w:after="100" w:afterAutospacing="1" w:line="240" w:lineRule="auto"/>
      <w:jc w:val="center"/>
      <w:textAlignment w:val="top"/>
    </w:pPr>
    <w:rPr>
      <w:rFonts w:eastAsia="Times New Roman" w:cs="Times New Roman"/>
      <w:sz w:val="24"/>
      <w:szCs w:val="24"/>
      <w:lang w:eastAsia="fi-FI"/>
    </w:rPr>
  </w:style>
  <w:style w:type="paragraph" w:styleId="ListParagraph">
    <w:name w:val="List Paragraph"/>
    <w:basedOn w:val="Normal"/>
    <w:uiPriority w:val="34"/>
    <w:qFormat/>
    <w:rsid w:val="00CB38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5986496">
      <w:bodyDiv w:val="1"/>
      <w:marLeft w:val="0"/>
      <w:marRight w:val="0"/>
      <w:marTop w:val="0"/>
      <w:marBottom w:val="0"/>
      <w:divBdr>
        <w:top w:val="none" w:sz="0" w:space="0" w:color="auto"/>
        <w:left w:val="none" w:sz="0" w:space="0" w:color="auto"/>
        <w:bottom w:val="none" w:sz="0" w:space="0" w:color="auto"/>
        <w:right w:val="none" w:sz="0" w:space="0" w:color="auto"/>
      </w:divBdr>
    </w:div>
    <w:div w:id="1911768961">
      <w:bodyDiv w:val="1"/>
      <w:marLeft w:val="0"/>
      <w:marRight w:val="0"/>
      <w:marTop w:val="0"/>
      <w:marBottom w:val="0"/>
      <w:divBdr>
        <w:top w:val="none" w:sz="0" w:space="0" w:color="auto"/>
        <w:left w:val="none" w:sz="0" w:space="0" w:color="auto"/>
        <w:bottom w:val="none" w:sz="0" w:space="0" w:color="auto"/>
        <w:right w:val="none" w:sz="0" w:space="0" w:color="auto"/>
      </w:divBdr>
    </w:div>
    <w:div w:id="204348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8CD8E8-0907-4114-8362-47462AA54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Helsinki</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Toivanen, Kirsi L J</dc:creator>
  <cp:keywords/>
  <dc:description/>
  <cp:lastModifiedBy>Toivanen, Kirsi L J</cp:lastModifiedBy>
  <cp:revision>4</cp:revision>
  <dcterms:created xsi:type="dcterms:W3CDTF">2022-12-06T12:28:00Z</dcterms:created>
  <dcterms:modified xsi:type="dcterms:W3CDTF">2022-12-07T08:19:00Z</dcterms:modified>
</cp:coreProperties>
</file>