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02683D" w14:textId="77777777" w:rsidR="00772160" w:rsidRDefault="00772160" w:rsidP="00772160">
      <w:pPr>
        <w:spacing w:line="360" w:lineRule="auto"/>
        <w:rPr>
          <w:rFonts w:eastAsia="Times New Roman"/>
          <w:b/>
          <w:color w:val="000000"/>
          <w:sz w:val="24"/>
          <w:szCs w:val="24"/>
        </w:rPr>
      </w:pPr>
      <w:r>
        <w:rPr>
          <w:rFonts w:eastAsia="Times New Roman"/>
          <w:b/>
          <w:color w:val="000000"/>
          <w:sz w:val="24"/>
          <w:szCs w:val="24"/>
        </w:rPr>
        <w:t xml:space="preserve">Supplementary information: </w:t>
      </w:r>
    </w:p>
    <w:p w14:paraId="4F65B01F" w14:textId="77777777" w:rsidR="00772160" w:rsidRDefault="00772160" w:rsidP="00772160">
      <w:pPr>
        <w:spacing w:line="360" w:lineRule="auto"/>
        <w:rPr>
          <w:rFonts w:eastAsia="Times New Roman"/>
          <w:b/>
          <w:color w:val="000000"/>
          <w:sz w:val="24"/>
          <w:szCs w:val="24"/>
        </w:rPr>
      </w:pPr>
      <w:r w:rsidRPr="008853B6">
        <w:rPr>
          <w:rFonts w:eastAsia="Times New Roman"/>
          <w:b/>
          <w:color w:val="000000"/>
          <w:sz w:val="24"/>
          <w:szCs w:val="24"/>
        </w:rPr>
        <w:t>Methods</w:t>
      </w:r>
    </w:p>
    <w:p w14:paraId="0B226570" w14:textId="77777777" w:rsidR="00772160" w:rsidRDefault="00772160" w:rsidP="00772160">
      <w:pPr>
        <w:spacing w:line="360" w:lineRule="auto"/>
        <w:rPr>
          <w:rFonts w:eastAsia="Times New Roman"/>
          <w:b/>
          <w:color w:val="000000"/>
          <w:sz w:val="24"/>
          <w:szCs w:val="24"/>
        </w:rPr>
      </w:pPr>
      <w:r>
        <w:rPr>
          <w:rFonts w:eastAsia="Times New Roman"/>
          <w:b/>
          <w:color w:val="000000"/>
          <w:sz w:val="24"/>
          <w:szCs w:val="24"/>
        </w:rPr>
        <w:t>Mouse experiment viruses</w:t>
      </w:r>
    </w:p>
    <w:p w14:paraId="419A3ACD" w14:textId="77777777" w:rsidR="00772160" w:rsidRDefault="00772160" w:rsidP="00772160">
      <w:pPr>
        <w:spacing w:line="360" w:lineRule="auto"/>
        <w:jc w:val="both"/>
        <w:rPr>
          <w:sz w:val="24"/>
          <w:szCs w:val="24"/>
        </w:rPr>
      </w:pPr>
      <w:r w:rsidRPr="00802873">
        <w:rPr>
          <w:rFonts w:eastAsia="Times New Roman"/>
          <w:bCs/>
          <w:i/>
          <w:iCs/>
          <w:color w:val="000000"/>
          <w:sz w:val="24"/>
          <w:szCs w:val="24"/>
        </w:rPr>
        <w:t>Ad5-hACE2 production.</w:t>
      </w:r>
      <w:r>
        <w:rPr>
          <w:sz w:val="24"/>
          <w:szCs w:val="24"/>
        </w:rPr>
        <w:t xml:space="preserve"> </w:t>
      </w:r>
      <w:r w:rsidRPr="00645447">
        <w:rPr>
          <w:sz w:val="24"/>
          <w:szCs w:val="24"/>
        </w:rPr>
        <w:t>A seed stock for an E1/E3 deleted, non-replicating adenoviral vector based on human adenovirus type 5 (Ad5), encoding the human angiotensin converting enzyme-2 receptor (hACE2) under the control of a CMV promoter, was obtained from Iowa Viral Vector Core Facility. High titer stocks of Ad5-hACE2 were generated by amplification in T-Rex™-293 cells (Life Technologies, Carlsbad, CA), and purification with two rounds of cesium chloride (</w:t>
      </w:r>
      <w:proofErr w:type="spellStart"/>
      <w:r w:rsidRPr="00645447">
        <w:rPr>
          <w:sz w:val="24"/>
          <w:szCs w:val="24"/>
        </w:rPr>
        <w:t>CsCl</w:t>
      </w:r>
      <w:proofErr w:type="spellEnd"/>
      <w:r w:rsidRPr="00645447">
        <w:rPr>
          <w:sz w:val="24"/>
          <w:szCs w:val="24"/>
        </w:rPr>
        <w:t xml:space="preserve">) ultracentrifugation. Virus was </w:t>
      </w:r>
      <w:proofErr w:type="spellStart"/>
      <w:r w:rsidRPr="00645447">
        <w:rPr>
          <w:sz w:val="24"/>
          <w:szCs w:val="24"/>
        </w:rPr>
        <w:t>titered</w:t>
      </w:r>
      <w:proofErr w:type="spellEnd"/>
      <w:r w:rsidRPr="00645447">
        <w:rPr>
          <w:sz w:val="24"/>
          <w:szCs w:val="24"/>
        </w:rPr>
        <w:t xml:space="preserve"> on T-Rex™-293, using the tissue culture infectious dose-50 (TCID50) endpoint dilution met</w:t>
      </w:r>
      <w:r>
        <w:rPr>
          <w:sz w:val="24"/>
          <w:szCs w:val="24"/>
        </w:rPr>
        <w:t>hod with titers adjusted to PFU ml</w:t>
      </w:r>
      <w:r w:rsidRPr="000D0692">
        <w:rPr>
          <w:sz w:val="24"/>
          <w:szCs w:val="24"/>
          <w:vertAlign w:val="superscript"/>
        </w:rPr>
        <w:t>-1</w:t>
      </w:r>
      <w:r w:rsidRPr="00645447">
        <w:rPr>
          <w:sz w:val="24"/>
          <w:szCs w:val="24"/>
        </w:rPr>
        <w:t xml:space="preserve"> as described previously</w:t>
      </w:r>
      <w:r>
        <w:rPr>
          <w:sz w:val="24"/>
          <w:szCs w:val="24"/>
        </w:rPr>
        <w:fldChar w:fldCharType="begin" w:fldLock="1"/>
      </w:r>
      <w:r>
        <w:rPr>
          <w:sz w:val="24"/>
          <w:szCs w:val="24"/>
        </w:rPr>
        <w:instrText xml:space="preserve">ADDIN CSL_CITATION {"citationItems":[{"id":"ITEM-1","itemData":{"DOI":"10.1128/JVI.00445-09","ISSN":"0022-538X","abstract":"A key impediment to successful cancer therapy with adenoviral vectors is the inefficient transduction of malignant tissue in vivo. Compounding this problem is the lack of cancer-specific targets, coupled with a shortage of corresponding high-efficiency ligands, permitting selective retargeting. The epithelial cell-specific integrin αvβ6 represents an attractive target for directed therapy since it is generally not expressed on normal epithelium but is upregulated in numerous carcinomas, where it plays a role in tumor progression. We previously have characterized a high-affinity, αvβ6-selective peptide (A20FMDV2) derived from VP1 of foot-and-mouth disease virus. We generated recombinant adenovirus type 5 (Ad5) fiber knob, incorporating A20FMDV2 in the HI loop, for which we validated the selectivity of binding and functional inhibition of αvβ6. The corresponding αvβ6-retargeted virus Ad5-EGFP A20 exhibited up to 50-fold increases in coxsackievirus- and-adenovirus-receptor-independent transduction and up to 480-fold-increased cytotoxicity on a panel of αvβ6-positive human carcinoma lines compared with Ad5-EGFP WT . Using an αvβ6-positive (DX3-β6) xenograft model, we observed a </w:instrText>
      </w:r>
      <w:r>
        <w:rPr>
          <w:rFonts w:ascii="Cambria Math" w:hAnsi="Cambria Math" w:cs="Cambria Math"/>
          <w:sz w:val="24"/>
          <w:szCs w:val="24"/>
        </w:rPr>
        <w:instrText>∼</w:instrText>
      </w:r>
      <w:r>
        <w:rPr>
          <w:sz w:val="24"/>
          <w:szCs w:val="24"/>
        </w:rPr>
        <w:instrText xml:space="preserve">2-fold enhancement in tumor uptake over Ad5-EGFP WT following systemic delivery. Furthermore, </w:instrText>
      </w:r>
      <w:r>
        <w:rPr>
          <w:rFonts w:ascii="Cambria Math" w:hAnsi="Cambria Math" w:cs="Cambria Math"/>
          <w:sz w:val="24"/>
          <w:szCs w:val="24"/>
        </w:rPr>
        <w:instrText>∼</w:instrText>
      </w:r>
      <w:r>
        <w:rPr>
          <w:sz w:val="24"/>
          <w:szCs w:val="24"/>
        </w:rPr>
        <w:instrText>5-fold-fewer Ad5-EGFP A20 genomes were detected in the liver ( P = 0.0002), correlating with reduced serum transaminase levels and E1A expression. Warfarin pretreatment, to deplete coagulation factors, did not improve tumor uptake significantly with either virus but did significantly reduce liver sequestration and hepatic toxicity. The ability of Ad5-EGFP A20 to improve delivery to αvβ6, combined with its reduced hepatic tropism and toxicity, highlights its potential as a prototype virus for future clinical investigation.","author":[{"dropping-particle":"","family":"Coughlan","given":"Lynda","non-dropping-particle":"","parse-names":false,"suffix":""},{"dropping-particle":"","family":"Vallath","given":"Sabari","non-dropping-particle":"","parse-names":false,"suffix":""},{"dropping-particle":"","family":"Saha","given":"Antonio","non-dropping-particle":"","parse-names":false,"suffix":""},{"dropping-particle":"","family":"Flak","given":"Magdalena","non-dropping-particle":"","parse-names":false,"suffix":""},{"dropping-particle":"","family":"McNeish","given":"Iain A.","non-dropping-particle":"","parse-names":false,"suffix":""},{"dropping-particle":"","family":"Vassaux","given":"Georges","non-dropping-particle":"","parse-names":false,"suffix":""},{"dropping-particle":"","family":"Marshall","given":"John F.","non-dropping-particle":"","parse-names":false,"suffix":""},{"dropping-particle":"","family":"Hart","given":"Ian R.","non-dropping-particle":"","parse-names":false,"suffix":""},{"dropping-particle":"","family":"Thomas","given":"Gareth J.","non-dropping-particle":"","parse-names":false,"suffix":""}],"container-title":"Journal of Virology","id":"ITEM-1","issue":"13","issued":{"date-parts":[["2009","7","1"]]},"page":"6416-6428","title":"In Vivo Retargeting of Adenovirus Type 5 to αvβ6 Integrin Results in Reduced Hepatotoxicity and Improved Tumor Uptake following Systemic Delivery","type":"article-journal","volume":"83"},"uris":["http://www.mendeley.com/documents/?uuid=5926bcc8-6016-4a2c-99d5-8c8037661c0a"]},{"id":"ITEM-2","itemData":{"DOI":"10.1038/mt.2012.162","ISSN":"15250016","author":[{"dropping-particle":"","family":"Coughlan","given":"Lynda","non-dropping-particle":"","parse-names":false,"suffix":""},{"dropping-particle":"","family":"Bradshaw","given":"Angela C","non-dropping-particle":"","parse-names":false,"suffix":""},{"dropping-particle":"","family":"Parker","given":"Alan L","non-dropping-particle":"","parse-names":false,"suffix":""},{"dropping-particle":"","family":"Robinson","given":"Hollie","non-dropping-particle":"","parse-names":false,"suffix":""},{"dropping-particle":"","family":"White","given":"Katie","non-dropping-particle":"","parse-names":false,"suffix":""},{"dropping-particle":"","family":"Custers","given":"Jerome","non-dropping-particle":"","parse-names":false,"suffix":""},{"dropping-particle":"","family":"Goudsmit","given":"Jaap","non-dropping-particle":"","parse-names":false,"suffix":""},{"dropping-particle":"","family":"Roijen","given":"Nico","non-dropping-particle":"Van","parse-names":false,"suffix":""},{"dropping-particle":"","family":"Barouch","given":"Dan H","non-dropping-particle":"","parse-names":false,"suffix":""},{"dropping-particle":"","family":"Nicklin","given":"Stuart A","non-dropping-particle":"","parse-names":false,"suffix":""},{"dropping-particle":"","family":"Baker","given":"Andrew H","non-dropping-particle":"","parse-names":false,"suffix":""}],"container-title":"Molecular Therapy","id":"ITEM-2","issue":"12","issued":{"date-parts":[["2012","12"]]},"page":"2268-2281","title":"Ad5:Ad48 Hexon Hypervariable Region Substitutions Lead to Toxicity and Increased Inflammatory Responses Following Intravenous Delivery","type":"article-journal","volume":"20"},"uris":["http://www.mendeley.com/documents/?uuid=c73aa83b-bdd3-4214-bf90-a1e6b5f2c552"]}],"mendeley":{"formattedCitation":"&lt;sup&gt;50,51&lt;/sup&gt;","plainTextFormattedCitation":"50,51","previouslyFormattedCitation":"&lt;sup&gt;50,51&lt;/sup&gt;"},"properties":{"noteIndex":0},"schema":"https://github.com/citation-style-language/schema/raw/master/csl-citation.json"}</w:instrText>
      </w:r>
      <w:r>
        <w:rPr>
          <w:sz w:val="24"/>
          <w:szCs w:val="24"/>
        </w:rPr>
        <w:fldChar w:fldCharType="separate"/>
      </w:r>
      <w:r w:rsidRPr="008B3275">
        <w:rPr>
          <w:noProof/>
          <w:sz w:val="24"/>
          <w:szCs w:val="24"/>
          <w:vertAlign w:val="superscript"/>
        </w:rPr>
        <w:t>50,51</w:t>
      </w:r>
      <w:r>
        <w:rPr>
          <w:sz w:val="24"/>
          <w:szCs w:val="24"/>
        </w:rPr>
        <w:fldChar w:fldCharType="end"/>
      </w:r>
      <w:r w:rsidRPr="00645447">
        <w:rPr>
          <w:sz w:val="24"/>
          <w:szCs w:val="24"/>
        </w:rPr>
        <w:t>.</w:t>
      </w:r>
    </w:p>
    <w:p w14:paraId="54CE9E64" w14:textId="77777777" w:rsidR="00772160" w:rsidRDefault="00772160" w:rsidP="00772160">
      <w:pPr>
        <w:spacing w:line="360" w:lineRule="auto"/>
        <w:jc w:val="both"/>
        <w:rPr>
          <w:sz w:val="24"/>
          <w:szCs w:val="24"/>
        </w:rPr>
      </w:pPr>
    </w:p>
    <w:p w14:paraId="159F4CF4" w14:textId="77777777" w:rsidR="00772160" w:rsidRPr="00802873" w:rsidRDefault="00772160" w:rsidP="00772160">
      <w:pPr>
        <w:spacing w:line="360" w:lineRule="auto"/>
        <w:jc w:val="both"/>
        <w:rPr>
          <w:sz w:val="24"/>
          <w:szCs w:val="24"/>
        </w:rPr>
      </w:pPr>
      <w:r w:rsidRPr="00802873">
        <w:rPr>
          <w:i/>
          <w:iCs/>
          <w:color w:val="000000"/>
          <w:sz w:val="24"/>
          <w:szCs w:val="24"/>
          <w:shd w:val="clear" w:color="auto" w:fill="FFFFFF"/>
        </w:rPr>
        <w:t>SARS-CoV-2:</w:t>
      </w:r>
      <w:r w:rsidRPr="00802873">
        <w:rPr>
          <w:color w:val="000000"/>
          <w:sz w:val="24"/>
          <w:szCs w:val="24"/>
          <w:shd w:val="clear" w:color="auto" w:fill="FFFFFF"/>
        </w:rPr>
        <w:t xml:space="preserve"> Human isolate USA-WA1/2020 (BEI resources; NR-52281) was propagated in Vero E6 cells under BSL-3 containment in accordance with the biosafety protocols developed by the Icahn School of Medicine at Mount Sinai. Viral stocks were grown in Dulbecco Modified Eagle’s Medium containing 2% fetal bovine serum, 2-[4-(2-</w:t>
      </w:r>
      <w:proofErr w:type="gramStart"/>
      <w:r w:rsidRPr="00802873">
        <w:rPr>
          <w:color w:val="000000"/>
          <w:sz w:val="24"/>
          <w:szCs w:val="24"/>
          <w:shd w:val="clear" w:color="auto" w:fill="FFFFFF"/>
        </w:rPr>
        <w:t>hydroxyethyl)piperazin</w:t>
      </w:r>
      <w:proofErr w:type="gramEnd"/>
      <w:r w:rsidRPr="00802873">
        <w:rPr>
          <w:color w:val="000000"/>
          <w:sz w:val="24"/>
          <w:szCs w:val="24"/>
          <w:shd w:val="clear" w:color="auto" w:fill="FFFFFF"/>
        </w:rPr>
        <w:t>-1-yl]</w:t>
      </w:r>
      <w:proofErr w:type="spellStart"/>
      <w:r w:rsidRPr="00802873">
        <w:rPr>
          <w:color w:val="000000"/>
          <w:sz w:val="24"/>
          <w:szCs w:val="24"/>
          <w:shd w:val="clear" w:color="auto" w:fill="FFFFFF"/>
        </w:rPr>
        <w:t>ethanesulfonic</w:t>
      </w:r>
      <w:proofErr w:type="spellEnd"/>
      <w:r w:rsidRPr="00802873">
        <w:rPr>
          <w:color w:val="000000"/>
          <w:sz w:val="24"/>
          <w:szCs w:val="24"/>
          <w:shd w:val="clear" w:color="auto" w:fill="FFFFFF"/>
        </w:rPr>
        <w:t xml:space="preserve"> acid (HEPES), and penicillin–streptomycin</w:t>
      </w:r>
      <w:r w:rsidRPr="00802873">
        <w:rPr>
          <w:sz w:val="24"/>
          <w:szCs w:val="24"/>
        </w:rPr>
        <w:t xml:space="preserve"> </w:t>
      </w:r>
      <w:r w:rsidRPr="00802873">
        <w:rPr>
          <w:color w:val="000000"/>
          <w:sz w:val="24"/>
          <w:szCs w:val="24"/>
          <w:shd w:val="clear" w:color="auto" w:fill="FFFFFF"/>
        </w:rPr>
        <w:t>for 72 h and were validated by genome sequencing. Cells were infected at a multiplicity of infection (MOI) of 0.1; mice were infected with 1×10</w:t>
      </w:r>
      <w:r w:rsidRPr="00802873">
        <w:rPr>
          <w:color w:val="000000"/>
          <w:sz w:val="24"/>
          <w:szCs w:val="24"/>
          <w:shd w:val="clear" w:color="auto" w:fill="FFFFFF"/>
          <w:vertAlign w:val="superscript"/>
        </w:rPr>
        <w:t>4</w:t>
      </w:r>
      <w:r w:rsidRPr="00802873">
        <w:rPr>
          <w:color w:val="000000"/>
          <w:sz w:val="24"/>
          <w:szCs w:val="24"/>
          <w:shd w:val="clear" w:color="auto" w:fill="FFFFFF"/>
        </w:rPr>
        <w:t xml:space="preserve"> PFU.</w:t>
      </w:r>
    </w:p>
    <w:p w14:paraId="1B57F254" w14:textId="77777777" w:rsidR="00772160" w:rsidRPr="008853B6" w:rsidRDefault="00772160" w:rsidP="00772160">
      <w:pPr>
        <w:spacing w:line="360" w:lineRule="auto"/>
        <w:rPr>
          <w:rFonts w:eastAsia="Times New Roman"/>
          <w:b/>
          <w:color w:val="000000"/>
          <w:sz w:val="24"/>
          <w:szCs w:val="24"/>
        </w:rPr>
      </w:pPr>
    </w:p>
    <w:p w14:paraId="17F83126" w14:textId="77777777" w:rsidR="00772160" w:rsidRDefault="00772160" w:rsidP="00772160">
      <w:pPr>
        <w:spacing w:line="360" w:lineRule="auto"/>
        <w:rPr>
          <w:b/>
          <w:sz w:val="24"/>
          <w:szCs w:val="24"/>
        </w:rPr>
      </w:pPr>
      <w:r>
        <w:rPr>
          <w:b/>
          <w:sz w:val="24"/>
          <w:szCs w:val="24"/>
        </w:rPr>
        <w:t>Viral kinetic model (VK)</w:t>
      </w:r>
    </w:p>
    <w:p w14:paraId="27822DDD" w14:textId="77777777" w:rsidR="00772160" w:rsidRDefault="00772160" w:rsidP="00772160">
      <w:pPr>
        <w:spacing w:after="160" w:line="360" w:lineRule="auto"/>
        <w:jc w:val="both"/>
        <w:rPr>
          <w:sz w:val="24"/>
          <w:szCs w:val="24"/>
          <w:highlight w:val="green"/>
        </w:rPr>
      </w:pPr>
      <w:r>
        <w:rPr>
          <w:sz w:val="24"/>
          <w:szCs w:val="24"/>
        </w:rPr>
        <w:t>We used a previously published model characterizing nasopharyngeal and tracheal SARS-CoV-2 infection kinetics</w:t>
      </w:r>
      <w:r>
        <w:rPr>
          <w:sz w:val="24"/>
          <w:szCs w:val="24"/>
        </w:rPr>
        <w:fldChar w:fldCharType="begin" w:fldLock="1"/>
      </w:r>
      <w:r>
        <w:rPr>
          <w:sz w:val="24"/>
          <w:szCs w:val="24"/>
        </w:rPr>
        <w:instrText>ADDIN CSL_CITATION {"citationItems":[{"id":"ITEM-1","itemData":{"DOI":"10.21203/rs.3.rs-50301/v1","ISSN":"2693-5015","abstract":"Non-human primates infected with SARS-CoV-2 exhibit mild clinical signs. Here we used a mathematical model to characterize in detail the viral dynamics in 31 cynomolgus macaques infected with 106 pfu of SARS-CoV-2 for which nasopharyngeal and tracheal viral load were frequently assessed. We identified that infected cells had a large daily viral production (&amp;gt;104 virus) and a within-host reproductive basic number of 6 and 4 in nasopharyngeal and tracheal compartment, respectively. After peak viral load, infected cells were rapidly cleared with a half-life of 9 hours, with no significant association between cytokine elevation and clearance. Translating our model to the context of human-to-human infection, human mild infection may be characterized by a peak occurring 4 days after infection, a viral shedding of ~11 days and a generation time of 4 days. These results improve the understanding of SARS-CoV-2 viral replication and better understand the infection to SARS-CoV-2 in humans.","author":[{"dropping-particle":"","family":"Gonçalves","given":"Antonio","non-dropping-particle":"","parse-names":false,"suffix":""},{"dropping-particle":"","family":"Maisonnasse","given":"Pauline","non-dropping-particle":"","parse-names":false,"suffix":""},{"dropping-particle":"","family":"Donati","given":"Flora","non-dropping-particle":"","parse-names":false,"suffix":""},{"dropping-particle":"","family":"Albert","given":"Mélanie","non-dropping-particle":"","parse-names":false,"suffix":""},{"dropping-particle":"","family":"Behillil","given":"Sylvie","non-dropping-particle":"","parse-names":false,"suffix":""},{"dropping-particle":"","family":"Contreras","given":"Vanessa","non-dropping-particle":"","parse-names":false,"suffix":""},{"dropping-particle":"","family":"Naninck","given":"Thibaut","non-dropping-particle":"","parse-names":false,"suffix":""},{"dropping-particle":"","family":"Marlin","given":"Romain","non-dropping-particle":"","parse-names":false,"suffix":""},{"dropping-particle":"","family":"Solas","given":"Caroline","non-dropping-particle":"","parse-names":false,"suffix":""},{"dropping-particle":"","family":"Pizzorno","given":"Andres","non-dropping-particle":"","parse-names":false,"suffix":""},{"dropping-particle":"","family":"Lemaitre","given":"Julien","non-dropping-particle":"","parse-names":false,"suffix":""},{"dropping-particle":"","family":"Kahlaoui","given":"Nidhal","non-dropping-particle":"","parse-names":false,"suffix":""},{"dropping-particle":"","family":"Terrier","given":"Olivier","non-dropping-particle":"","parse-names":false,"suffix":""},{"dropping-particle":"","family":"Fang","given":"Raphael Ho Tsong","non-dropping-particle":"","parse-names":false,"suffix":""},{"dropping-particle":"","family":"Enouf","given":"Vincent","non-dropping-particle":"","parse-names":false,"suffix":""},{"dropping-particle":"","family":"Dereuddre-Bosquet","given":"Nathalie","non-dropping-particle":"","parse-names":false,"suffix":""},{"dropping-particle":"","family":"Brisbarre","given":"Angela","non-dropping-particle":"","parse-names":false,"suffix":""},{"dropping-particle":"","family":"Touret","given":"Franck","non-dropping-particle":"","parse-names":false,"suffix":""},{"dropping-particle":"","family":"Chapon","given":"Catherine","non-dropping-particle":"","parse-names":false,"suffix":""},{"dropping-particle":"","family":"Hoen","given":"Bruno","non-dropping-particle":"","parse-names":false,"suffix":""},{"dropping-particle":"","family":"Lina","given":"Bruno","non-dropping-particle":"","parse-names":false,"suffix":""},{"dropping-particle":"","family":"Rosa-Calatrava","given":"Manuel","non-dropping-particle":"","parse-names":false,"suffix":""},{"dropping-particle":"de","family":"Lamballerie","given":"Xavier","non-dropping-particle":"","parse-names":false,"suffix":""},{"dropping-particle":"","family":"Mentré","given":"France","non-dropping-particle":"","parse-names":false,"suffix":""},{"dropping-particle":"Le","family":"Grand","given":"Roger","non-dropping-particle":"","parse-names":false,"suffix":""},{"dropping-particle":"van der","family":"Werf","given":"Sylvie","non-dropping-particle":"","parse-names":false,"suffix":""},{"dropping-particle":"","family":"Guedj","given":"Jeremie","non-dropping-particle":"","parse-names":false,"suffix":""}],"container-title":"Research Square","id":"ITEM-1","issued":{"date-parts":[["2021"]]},"title":"Viral dynamic modeling of SARS-CoV-2 in non-human primates","type":"article-journal"},"uris":["http://www.mendeley.com/documents/?uuid=c34be388-7e5e-465f-bfea-77da1d798452"]}],"mendeley":{"formattedCitation":"&lt;sup&gt;28&lt;/sup&gt;","plainTextFormattedCitation":"28","previouslyFormattedCitation":"&lt;sup&gt;28&lt;/sup&gt;"},"properties":{"noteIndex":0},"schema":"https://github.com/citation-style-language/schema/raw/master/csl-citation.json"}</w:instrText>
      </w:r>
      <w:r>
        <w:rPr>
          <w:sz w:val="24"/>
          <w:szCs w:val="24"/>
        </w:rPr>
        <w:fldChar w:fldCharType="separate"/>
      </w:r>
      <w:r w:rsidRPr="008B3275">
        <w:rPr>
          <w:noProof/>
          <w:sz w:val="24"/>
          <w:szCs w:val="24"/>
          <w:vertAlign w:val="superscript"/>
        </w:rPr>
        <w:t>28</w:t>
      </w:r>
      <w:r>
        <w:rPr>
          <w:sz w:val="24"/>
          <w:szCs w:val="24"/>
        </w:rPr>
        <w:fldChar w:fldCharType="end"/>
      </w:r>
      <w:r>
        <w:rPr>
          <w:sz w:val="24"/>
          <w:szCs w:val="24"/>
        </w:rPr>
        <w:t>. In this model, nasopharynx and trachea are modeled as two separated compartments described by a target cell limited model</w:t>
      </w:r>
      <w:r>
        <w:rPr>
          <w:sz w:val="24"/>
          <w:szCs w:val="24"/>
        </w:rPr>
        <w:fldChar w:fldCharType="begin" w:fldLock="1"/>
      </w:r>
      <w:r>
        <w:rPr>
          <w:sz w:val="24"/>
          <w:szCs w:val="24"/>
        </w:rPr>
        <w:instrText xml:space="preserve">ADDIN CSL_CITATION {"citationItems":[{"id":"ITEM-1","itemData":{"DOI":"10.1128/jvi.01623-05","ISSN":"0022-538X","PMID":"16840338","abstract":" Currently, little is known about the viral kinetics of influenza A during infection within an individual. We utilize a series of mathematical models of increasing complexity, which incorporate target cell limitation and the innate interferon response, to examine influenza A virus kinetics in the upper respiratory tracts of experimentally infected adults. The models were fit to data from an experimental H1N1 influenza A/Hong Kong/123/77 infection and suggest that it is important to include the eclipse phase of the viral life cycle in viral dynamic models. Doing so, we estimate that after a delay of </w:instrText>
      </w:r>
      <w:r>
        <w:rPr>
          <w:rFonts w:ascii="Cambria Math" w:hAnsi="Cambria Math" w:cs="Cambria Math"/>
          <w:sz w:val="24"/>
          <w:szCs w:val="24"/>
        </w:rPr>
        <w:instrText>∼</w:instrText>
      </w:r>
      <w:r>
        <w:rPr>
          <w:sz w:val="24"/>
          <w:szCs w:val="24"/>
        </w:rPr>
        <w:instrText xml:space="preserve">6 h, infected cells begin producing influenza virus and continue to do so for </w:instrText>
      </w:r>
      <w:r>
        <w:rPr>
          <w:rFonts w:ascii="Cambria Math" w:hAnsi="Cambria Math" w:cs="Cambria Math"/>
          <w:sz w:val="24"/>
          <w:szCs w:val="24"/>
        </w:rPr>
        <w:instrText>∼</w:instrText>
      </w:r>
      <w:r>
        <w:rPr>
          <w:sz w:val="24"/>
          <w:szCs w:val="24"/>
        </w:rPr>
        <w:instrText xml:space="preserve">5 h. The average lifetime of infected cells is </w:instrText>
      </w:r>
      <w:r>
        <w:rPr>
          <w:rFonts w:ascii="Cambria Math" w:hAnsi="Cambria Math" w:cs="Cambria Math"/>
          <w:sz w:val="24"/>
          <w:szCs w:val="24"/>
        </w:rPr>
        <w:instrText>∼</w:instrText>
      </w:r>
      <w:r>
        <w:rPr>
          <w:sz w:val="24"/>
          <w:szCs w:val="24"/>
        </w:rPr>
        <w:instrText xml:space="preserve">11 h, and the half-life of free infectious virus is </w:instrText>
      </w:r>
      <w:r>
        <w:rPr>
          <w:rFonts w:ascii="Cambria Math" w:hAnsi="Cambria Math" w:cs="Cambria Math"/>
          <w:sz w:val="24"/>
          <w:szCs w:val="24"/>
        </w:rPr>
        <w:instrText>∼</w:instrText>
      </w:r>
      <w:r>
        <w:rPr>
          <w:sz w:val="24"/>
          <w:szCs w:val="24"/>
        </w:rPr>
        <w:instrText xml:space="preserve">3 h. We calculated the basic reproductive number, R 0 , which indicated that a single infected cell could produce </w:instrText>
      </w:r>
      <w:r>
        <w:rPr>
          <w:rFonts w:ascii="Cambria Math" w:hAnsi="Cambria Math" w:cs="Cambria Math"/>
          <w:sz w:val="24"/>
          <w:szCs w:val="24"/>
        </w:rPr>
        <w:instrText>∼</w:instrText>
      </w:r>
      <w:r>
        <w:rPr>
          <w:sz w:val="24"/>
          <w:szCs w:val="24"/>
        </w:rPr>
        <w:instrText>22 new productive infections. This suggests that antiviral treatments have a large hurdle to overcome in moderating symptoms and limiting infectiousness and that treatment has to be initiated as early as possible. For about 50% of patients, the curve of viral titer versus time has two peaks. This bimodal behavior can be explained by incorporating the antiviral effects of interferon into the model. Our model also compared well to an additional data set on viral titer after experimental infection and treatment with the neuraminidase inhibitor zanamivir, which suggests that such models may prove useful in estimating the efficacies of different antiviral therapies for influenza A infection. ","author":[{"dropping-particle":"","family":"Baccam","given":"Prasith","non-dropping-particle":"","parse-names":false,"suffix":""},{"dropping-particle":"","family":"Beauchemin","given":"Catherine","non-dropping-particle":"","parse-names":false,"suffix":""},{"dropping-particle":"","family":"Macken","given":"Catherine A.","non-dropping-particle":"","parse-names":false,"suffix":""},{"dropping-particle":"","family":"Hayden","given":"Frederick G.","non-dropping-particle":"","parse-names":false,"suffix":""},{"dropping-particle":"","family":"Perelson","given":"Alan S.","non-dropping-particle":"","parse-names":false,"suffix":""}],"container-title":"Journal of Virology","id":"ITEM-1","issue":"15","issued":{"date-parts":[["2006","8","1"]]},"page":"7590-7599","publisher":"American Society for Microbiology","title":"Kinetics of Influenza A Virus Infection in Humans","type":"article-journal","volume":"80"},"uris":["http://www.mendeley.com/documents/?uuid=03d2f53a-3904-3f50-8f4b-c22949f342da"]},{"id":"ITEM-2","itemData":{"DOI":"10.1073/pnas.1704011114","ISSN":"10916490","PMID":"28765371","abstract":"The recent outbreak of Zika virus (ZIKV) has been associated with fetal abnormalities and neurological complications, prompting global concern. Here we present a mathematical analysis of the within-host dynamics of plasma ZIKV burden in a nonhuman primate model, allowing for characterization of the growth and clearance of ZIKV within individual macaques. We estimate that the eclipse phase for ZIKV, the time between cell infection and viral production, is most likely short (</w:instrText>
      </w:r>
      <w:r>
        <w:rPr>
          <w:rFonts w:ascii="Cambria Math" w:hAnsi="Cambria Math" w:cs="Cambria Math"/>
          <w:sz w:val="24"/>
          <w:szCs w:val="24"/>
        </w:rPr>
        <w:instrText>∼</w:instrText>
      </w:r>
      <w:r>
        <w:rPr>
          <w:sz w:val="24"/>
          <w:szCs w:val="24"/>
        </w:rPr>
        <w:instrText xml:space="preserve">4 h), the median within-host basic reproductive number R0 is 10.7, the rate of viral production is rapid (&gt;25,000 virions d−1), and the lifetime of an infected cell while producing virus is </w:instrText>
      </w:r>
      <w:r>
        <w:rPr>
          <w:rFonts w:ascii="Cambria Math" w:hAnsi="Cambria Math" w:cs="Cambria Math"/>
          <w:sz w:val="24"/>
          <w:szCs w:val="24"/>
        </w:rPr>
        <w:instrText>∼</w:instrText>
      </w:r>
      <w:r>
        <w:rPr>
          <w:sz w:val="24"/>
          <w:szCs w:val="24"/>
        </w:rPr>
        <w:instrText xml:space="preserve">5 h. We also estimate that the minimum number of virions produced by an infected cell over its lifetime is </w:instrText>
      </w:r>
      <w:r>
        <w:rPr>
          <w:rFonts w:ascii="Cambria Math" w:hAnsi="Cambria Math" w:cs="Cambria Math"/>
          <w:sz w:val="24"/>
          <w:szCs w:val="24"/>
        </w:rPr>
        <w:instrText>∼</w:instrText>
      </w:r>
      <w:r>
        <w:rPr>
          <w:sz w:val="24"/>
          <w:szCs w:val="24"/>
        </w:rPr>
        <w:instrText xml:space="preserve">5,500. We assess the potential effect of an antiviral treatment that blocks viral replication, showing that the median time to undetectable plasma viral load (VL) can be reduced from </w:instrText>
      </w:r>
      <w:r>
        <w:rPr>
          <w:rFonts w:ascii="Cambria Math" w:hAnsi="Cambria Math" w:cs="Cambria Math"/>
          <w:sz w:val="24"/>
          <w:szCs w:val="24"/>
        </w:rPr>
        <w:instrText>∼</w:instrText>
      </w:r>
      <w:r>
        <w:rPr>
          <w:sz w:val="24"/>
          <w:szCs w:val="24"/>
        </w:rPr>
        <w:instrText xml:space="preserve">5 d to </w:instrText>
      </w:r>
      <w:r>
        <w:rPr>
          <w:rFonts w:ascii="Cambria Math" w:hAnsi="Cambria Math" w:cs="Cambria Math"/>
          <w:sz w:val="24"/>
          <w:szCs w:val="24"/>
        </w:rPr>
        <w:instrText>∼</w:instrText>
      </w:r>
      <w:r>
        <w:rPr>
          <w:sz w:val="24"/>
          <w:szCs w:val="24"/>
        </w:rPr>
        <w:instrText xml:space="preserve">3 d with a drug concentration </w:instrText>
      </w:r>
      <w:r>
        <w:rPr>
          <w:rFonts w:ascii="Cambria Math" w:hAnsi="Cambria Math" w:cs="Cambria Math"/>
          <w:sz w:val="24"/>
          <w:szCs w:val="24"/>
        </w:rPr>
        <w:instrText>∼</w:instrText>
      </w:r>
      <w:r>
        <w:rPr>
          <w:sz w:val="24"/>
          <w:szCs w:val="24"/>
        </w:rPr>
        <w:instrText xml:space="preserve">15 times the drug’s EC50 when treatment is given prophylactically starting at the time of infection. In the case of favipiravir, a polymerase inhibitor with activity against ZIKV, we predict a dose of 150 mg/kg given twice a day initiated at the time of infection can reduce the peak median VL by </w:instrText>
      </w:r>
      <w:r>
        <w:rPr>
          <w:rFonts w:ascii="Cambria Math" w:hAnsi="Cambria Math" w:cs="Cambria Math"/>
          <w:sz w:val="24"/>
          <w:szCs w:val="24"/>
        </w:rPr>
        <w:instrText>∼</w:instrText>
      </w:r>
      <w:r>
        <w:rPr>
          <w:sz w:val="24"/>
          <w:szCs w:val="24"/>
        </w:rPr>
        <w:instrText xml:space="preserve">3 logs and shorten the time to undetectable median VL by </w:instrText>
      </w:r>
      <w:r>
        <w:rPr>
          <w:rFonts w:ascii="Cambria Math" w:hAnsi="Cambria Math" w:cs="Cambria Math"/>
          <w:sz w:val="24"/>
          <w:szCs w:val="24"/>
        </w:rPr>
        <w:instrText>∼</w:instrText>
      </w:r>
      <w:r>
        <w:rPr>
          <w:sz w:val="24"/>
          <w:szCs w:val="24"/>
        </w:rPr>
        <w:instrText>2 d, whereas treatment given 2 d postinfection is mostly ineffective in accelerating plasma VL loss in macaques.","author":[{"dropping-particle":"","family":"Best","given":"Katharine","non-dropping-particle":"","parse-names":false,"suffix":""},{"dropping-particle":"","family":"Guedj","given":"Jeremie","non-dropping-particle":"","parse-names":false,"suffix":""},{"dropping-particle":"","family":"Madelain","given":"Vincent","non-dropping-particle":"","parse-names":false,"suffix":""},{"dropping-particle":"","family":"Lamballerie","given":"Xavier","non-dropping-particle":"De","parse-names":false,"suffix":""},{"dropping-particle":"","family":"Lim","given":"So Yon","non-dropping-particle":"","parse-names":false,"suffix":""},{"dropping-particle":"","family":"Osuna","given":"Christa E.","non-dropping-particle":"","parse-names":false,"suffix":""},{"dropping-particle":"","family":"Whitney","given":"James B.","non-dropping-particle":"","parse-names":false,"suffix":""},{"dropping-particle":"","family":"Perelson","given":"Alan S.","non-dropping-particle":"","parse-names":false,"suffix":""}],"container-title":"Proceedings of the National Academy of Sciences of the United States of America","id":"ITEM-2","issue":"33","issued":{"date-parts":[["2017","8","15"]]},"page":"8847-8852","publisher":"National Academy of Sciences","title":"Zika plasma viral dynamics in nonhuman primates provides insights into early infection and antiviral strategies","type":"article-journal","volume":"114"},"uris":["http://www.mendeley.com/documents/?uuid=93609511-bca0-3bbc-a0d2-ee5d5bb91cec"]},{"id":"ITEM-3","itemData":{"DOI":"10.1371/journal.pcbi.1002588","ISSN":"1553734X","PMID":"22761567","abstract":"Influenza virus infection remains a public health problem worldwide. The mechanisms underlying viral control during an uncomplicated influenza virus infection are not fully understood. Here, we developed a mathematical model including both innate and adaptive immune responses to study the within-host dynamics of equine influenza virus infection in horses. By comparing modeling predictions with both interferon and viral kinetic data, we examined the relative roles of target cell availability, and innate and adaptive immune responses in controlling the virus. Our results show that the rapid and substantial viral decline (about 2 to 4 logs within 1 day) after the peak can be explained by the killing of infected cells mediated by interferon activated cells, such as natural killer cells, during the innate immune response. After the viral load declines to a lower level, the loss of interferon-induced antiviral effect and an increased availability of target cells due to loss of the antiviral state can explain the observed short phase of viral plateau in which the viral level remains unchanged or even experiences a minor second peak in some animals. An adaptive immune response is needed in our model to explain the eventual viral clearance. This study provides a quantitative understanding of the biological factors that can explain the viral and interferon kinetics during a typical influenza virus infection.","author":[{"dropping-particle":"","family":"Pawelek","given":"Kasia A.","non-dropping-particle":"","parse-names":false,"suffix":""},{"dropping-particle":"","family":"Huynh","given":"Giao T.","non-dropping-particle":"","parse-names":false,"suffix":""},{"dropping-particle":"","family":"Quinlivan","given":"Michelle","non-dropping-particle":"","parse-names":false,"suffix":""},{"dropping-particle":"","family":"Cullinane","given":"Ann","non-dropping-particle":"","parse-names":false,"suffix":""},{"dropping-particle":"","family":"Rong","given":"Libin","non-dropping-particle":"","parse-names":false,"suffix":""},{"dropping-particle":"","family":"Perelson","given":"Alan S.","non-dropping-particle":"","parse-names":false,"suffix":""}],"container-title":"PLoS Computational Biology","id":"ITEM-3","issue":"6","issued":{"date-parts":[["2012","6"]]},"title":"Modeling within-host dynamics of influenza virus infection including immune responses","type":"article-journal","volume":"8"},"uris":["http://www.mendeley.com/documents/?uuid=c5095f1e-352a-35e0-9c24-cf9a4130998a"]}],"mendeley":{"formattedCitation":"&lt;sup&gt;52–54&lt;/sup&gt;","plainTextFormattedCitation":"52–54","previouslyFormattedCitation":"&lt;sup&gt;52–54&lt;/sup&gt;"},"properties":{"noteIndex":0},"schema":"https://github.com/citation-style-language/schema/raw/master/csl-citation.json"}</w:instrText>
      </w:r>
      <w:r>
        <w:rPr>
          <w:sz w:val="24"/>
          <w:szCs w:val="24"/>
        </w:rPr>
        <w:fldChar w:fldCharType="separate"/>
      </w:r>
      <w:r w:rsidRPr="008B3275">
        <w:rPr>
          <w:noProof/>
          <w:sz w:val="24"/>
          <w:szCs w:val="24"/>
          <w:vertAlign w:val="superscript"/>
        </w:rPr>
        <w:t>52–54</w:t>
      </w:r>
      <w:r>
        <w:rPr>
          <w:sz w:val="24"/>
          <w:szCs w:val="24"/>
        </w:rPr>
        <w:fldChar w:fldCharType="end"/>
      </w:r>
      <w:r>
        <w:rPr>
          <w:sz w:val="24"/>
          <w:szCs w:val="24"/>
        </w:rPr>
        <w:t xml:space="preserve"> as follows:</w:t>
      </w:r>
    </w:p>
    <w:p w14:paraId="48262D75" w14:textId="77777777" w:rsidR="00772160" w:rsidRPr="001A1B65" w:rsidRDefault="00772160" w:rsidP="00772160">
      <w:pPr>
        <w:spacing w:line="360" w:lineRule="auto"/>
        <w:jc w:val="both"/>
        <w:rPr>
          <w:sz w:val="24"/>
          <w:szCs w:val="24"/>
          <w:lang w:val="en-GB"/>
        </w:rPr>
      </w:pPr>
      <m:oMathPara>
        <m:oMathParaPr>
          <m:jc m:val="left"/>
        </m:oMathParaPr>
        <m:oMath>
          <m:f>
            <m:fPr>
              <m:ctrlPr>
                <w:rPr>
                  <w:rFonts w:ascii="Cambria Math" w:hAnsi="Cambria Math"/>
                  <w:i/>
                  <w:iCs/>
                  <w:sz w:val="24"/>
                  <w:szCs w:val="24"/>
                </w:rPr>
              </m:ctrlPr>
            </m:fPr>
            <m:num>
              <m:r>
                <w:rPr>
                  <w:rFonts w:ascii="Cambria Math" w:hAnsi="Cambria Math"/>
                  <w:sz w:val="24"/>
                  <w:szCs w:val="24"/>
                </w:rPr>
                <m:t>d</m:t>
              </m:r>
              <m:sSup>
                <m:sSupPr>
                  <m:ctrlPr>
                    <w:rPr>
                      <w:rFonts w:ascii="Cambria Math" w:hAnsi="Cambria Math"/>
                      <w:i/>
                      <w:iCs/>
                      <w:sz w:val="24"/>
                      <w:szCs w:val="24"/>
                    </w:rPr>
                  </m:ctrlPr>
                </m:sSupPr>
                <m:e>
                  <m:r>
                    <w:rPr>
                      <w:rFonts w:ascii="Cambria Math" w:hAnsi="Cambria Math"/>
                      <w:sz w:val="24"/>
                      <w:szCs w:val="24"/>
                    </w:rPr>
                    <m:t>T</m:t>
                  </m:r>
                </m:e>
                <m:sup>
                  <m:r>
                    <w:rPr>
                      <w:rFonts w:ascii="Cambria Math" w:hAnsi="Cambria Math"/>
                      <w:sz w:val="24"/>
                      <w:szCs w:val="24"/>
                    </w:rPr>
                    <m:t>x</m:t>
                  </m:r>
                </m:sup>
              </m:sSup>
            </m:num>
            <m:den>
              <m:r>
                <w:rPr>
                  <w:rFonts w:ascii="Cambria Math" w:hAnsi="Cambria Math"/>
                  <w:sz w:val="24"/>
                  <w:szCs w:val="24"/>
                </w:rPr>
                <m:t>dt</m:t>
              </m:r>
            </m:den>
          </m:f>
          <m:r>
            <w:rPr>
              <w:rFonts w:ascii="Cambria Math" w:hAnsi="Cambria Math"/>
              <w:sz w:val="24"/>
              <w:szCs w:val="24"/>
              <w:lang w:val="en-GB"/>
            </w:rPr>
            <m:t>=-</m:t>
          </m:r>
          <m:sSup>
            <m:sSupPr>
              <m:ctrlPr>
                <w:rPr>
                  <w:rFonts w:ascii="Cambria Math" w:hAnsi="Cambria Math"/>
                  <w:i/>
                  <w:iCs/>
                  <w:sz w:val="24"/>
                  <w:szCs w:val="24"/>
                  <w:lang w:val="el-GR"/>
                </w:rPr>
              </m:ctrlPr>
            </m:sSupPr>
            <m:e>
              <m:r>
                <w:rPr>
                  <w:rFonts w:ascii="Cambria Math" w:hAnsi="Cambria Math"/>
                  <w:sz w:val="24"/>
                  <w:szCs w:val="24"/>
                  <w:lang w:val="el-GR"/>
                </w:rPr>
                <m:t>β</m:t>
              </m:r>
            </m:e>
            <m:sup>
              <m:r>
                <w:rPr>
                  <w:rFonts w:ascii="Cambria Math" w:hAnsi="Cambria Math"/>
                  <w:sz w:val="24"/>
                  <w:szCs w:val="24"/>
                  <w:lang w:val="el-GR"/>
                </w:rPr>
                <m:t>x</m:t>
              </m:r>
            </m:sup>
          </m:sSup>
          <m:sSup>
            <m:sSupPr>
              <m:ctrlPr>
                <w:rPr>
                  <w:rFonts w:ascii="Cambria Math" w:hAnsi="Cambria Math"/>
                  <w:i/>
                  <w:sz w:val="24"/>
                  <w:szCs w:val="24"/>
                  <w:lang w:val="en-GB"/>
                </w:rPr>
              </m:ctrlPr>
            </m:sSupPr>
            <m:e>
              <m:r>
                <w:rPr>
                  <w:rFonts w:ascii="Cambria Math" w:hAnsi="Cambria Math"/>
                  <w:sz w:val="24"/>
                  <w:szCs w:val="24"/>
                  <w:lang w:val="en-GB"/>
                </w:rPr>
                <m:t>T</m:t>
              </m:r>
            </m:e>
            <m:sup>
              <m:r>
                <w:rPr>
                  <w:rFonts w:ascii="Cambria Math" w:hAnsi="Cambria Math"/>
                  <w:sz w:val="24"/>
                  <w:szCs w:val="24"/>
                  <w:lang w:val="en-GB"/>
                </w:rPr>
                <m:t>x</m:t>
              </m:r>
            </m:sup>
          </m:sSup>
          <m:sSubSup>
            <m:sSubSupPr>
              <m:ctrlPr>
                <w:rPr>
                  <w:rFonts w:ascii="Cambria Math" w:hAnsi="Cambria Math"/>
                  <w:i/>
                  <w:sz w:val="24"/>
                  <w:szCs w:val="24"/>
                  <w:lang w:val="en-GB"/>
                </w:rPr>
              </m:ctrlPr>
            </m:sSubSupPr>
            <m:e>
              <m:r>
                <w:rPr>
                  <w:rFonts w:ascii="Cambria Math" w:hAnsi="Cambria Math"/>
                  <w:sz w:val="24"/>
                  <w:szCs w:val="24"/>
                  <w:lang w:val="en-GB"/>
                </w:rPr>
                <m:t>V</m:t>
              </m:r>
            </m:e>
            <m:sub>
              <m:r>
                <w:rPr>
                  <w:rFonts w:ascii="Cambria Math" w:hAnsi="Cambria Math"/>
                  <w:sz w:val="24"/>
                  <w:szCs w:val="24"/>
                  <w:lang w:val="en-GB"/>
                </w:rPr>
                <m:t>I</m:t>
              </m:r>
            </m:sub>
            <m:sup>
              <m:r>
                <w:rPr>
                  <w:rFonts w:ascii="Cambria Math" w:hAnsi="Cambria Math"/>
                  <w:sz w:val="24"/>
                  <w:szCs w:val="24"/>
                  <w:lang w:val="en-GB"/>
                </w:rPr>
                <m:t>x</m:t>
              </m:r>
            </m:sup>
          </m:sSubSup>
          <m:r>
            <w:rPr>
              <w:rFonts w:ascii="Cambria Math" w:hAnsi="Cambria Math"/>
              <w:sz w:val="24"/>
              <w:szCs w:val="24"/>
              <w:lang w:val="en-GB"/>
            </w:rPr>
            <m:t xml:space="preserve">   (1)</m:t>
          </m:r>
        </m:oMath>
      </m:oMathPara>
    </w:p>
    <w:p w14:paraId="7BAAC7DA" w14:textId="77777777" w:rsidR="00772160" w:rsidRPr="001A1B65" w:rsidRDefault="00772160" w:rsidP="00772160">
      <w:pPr>
        <w:tabs>
          <w:tab w:val="left" w:pos="3544"/>
        </w:tabs>
        <w:spacing w:line="360" w:lineRule="auto"/>
        <w:jc w:val="both"/>
        <w:rPr>
          <w:sz w:val="24"/>
          <w:szCs w:val="24"/>
          <w:lang w:val="en-GB"/>
        </w:rPr>
      </w:pPr>
      <m:oMathPara>
        <m:oMathParaPr>
          <m:jc m:val="left"/>
        </m:oMathParaPr>
        <m:oMath>
          <m:f>
            <m:fPr>
              <m:ctrlPr>
                <w:rPr>
                  <w:rFonts w:ascii="Cambria Math" w:hAnsi="Cambria Math"/>
                  <w:i/>
                  <w:iCs/>
                  <w:sz w:val="24"/>
                  <w:szCs w:val="24"/>
                </w:rPr>
              </m:ctrlPr>
            </m:fPr>
            <m:num>
              <m:r>
                <w:rPr>
                  <w:rFonts w:ascii="Cambria Math" w:hAnsi="Cambria Math"/>
                  <w:sz w:val="24"/>
                  <w:szCs w:val="24"/>
                </w:rPr>
                <m:t>d</m:t>
              </m:r>
              <m:sSubSup>
                <m:sSubSupPr>
                  <m:ctrlPr>
                    <w:rPr>
                      <w:rFonts w:ascii="Cambria Math" w:hAnsi="Cambria Math"/>
                      <w:i/>
                      <w:iCs/>
                      <w:sz w:val="24"/>
                      <w:szCs w:val="24"/>
                    </w:rPr>
                  </m:ctrlPr>
                </m:sSubSupPr>
                <m:e>
                  <m:r>
                    <w:rPr>
                      <w:rFonts w:ascii="Cambria Math" w:hAnsi="Cambria Math"/>
                      <w:sz w:val="24"/>
                      <w:szCs w:val="24"/>
                    </w:rPr>
                    <m:t>I</m:t>
                  </m:r>
                </m:e>
                <m:sub>
                  <m:r>
                    <w:rPr>
                      <w:rFonts w:ascii="Cambria Math" w:hAnsi="Cambria Math"/>
                      <w:sz w:val="24"/>
                      <w:szCs w:val="24"/>
                      <w:lang w:val="en-GB"/>
                    </w:rPr>
                    <m:t>1</m:t>
                  </m:r>
                </m:sub>
                <m:sup>
                  <m:r>
                    <w:rPr>
                      <w:rFonts w:ascii="Cambria Math" w:hAnsi="Cambria Math"/>
                      <w:sz w:val="24"/>
                      <w:szCs w:val="24"/>
                    </w:rPr>
                    <m:t>x</m:t>
                  </m:r>
                </m:sup>
              </m:sSubSup>
            </m:num>
            <m:den>
              <m:r>
                <w:rPr>
                  <w:rFonts w:ascii="Cambria Math" w:hAnsi="Cambria Math"/>
                  <w:sz w:val="24"/>
                  <w:szCs w:val="24"/>
                </w:rPr>
                <m:t>dt</m:t>
              </m:r>
            </m:den>
          </m:f>
          <m:r>
            <w:rPr>
              <w:rFonts w:ascii="Cambria Math" w:hAnsi="Cambria Math"/>
              <w:sz w:val="24"/>
              <w:szCs w:val="24"/>
              <w:lang w:val="en-GB"/>
            </w:rPr>
            <m:t>=</m:t>
          </m:r>
          <m:sSup>
            <m:sSupPr>
              <m:ctrlPr>
                <w:rPr>
                  <w:rFonts w:ascii="Cambria Math" w:hAnsi="Cambria Math"/>
                  <w:i/>
                  <w:iCs/>
                  <w:sz w:val="24"/>
                  <w:szCs w:val="24"/>
                  <w:lang w:val="el-GR"/>
                </w:rPr>
              </m:ctrlPr>
            </m:sSupPr>
            <m:e>
              <m:r>
                <w:rPr>
                  <w:rFonts w:ascii="Cambria Math" w:hAnsi="Cambria Math"/>
                  <w:sz w:val="24"/>
                  <w:szCs w:val="24"/>
                  <w:lang w:val="el-GR"/>
                </w:rPr>
                <m:t>β</m:t>
              </m:r>
            </m:e>
            <m:sup>
              <m:r>
                <w:rPr>
                  <w:rFonts w:ascii="Cambria Math" w:hAnsi="Cambria Math"/>
                  <w:sz w:val="24"/>
                  <w:szCs w:val="24"/>
                  <w:lang w:val="el-GR"/>
                </w:rPr>
                <m:t>x</m:t>
              </m:r>
            </m:sup>
          </m:sSup>
          <m:sSup>
            <m:sSupPr>
              <m:ctrlPr>
                <w:rPr>
                  <w:rFonts w:ascii="Cambria Math" w:hAnsi="Cambria Math"/>
                  <w:i/>
                  <w:sz w:val="24"/>
                  <w:szCs w:val="24"/>
                  <w:lang w:val="en-GB"/>
                </w:rPr>
              </m:ctrlPr>
            </m:sSupPr>
            <m:e>
              <m:r>
                <w:rPr>
                  <w:rFonts w:ascii="Cambria Math" w:hAnsi="Cambria Math"/>
                  <w:sz w:val="24"/>
                  <w:szCs w:val="24"/>
                  <w:lang w:val="en-GB"/>
                </w:rPr>
                <m:t>T</m:t>
              </m:r>
            </m:e>
            <m:sup>
              <m:r>
                <w:rPr>
                  <w:rFonts w:ascii="Cambria Math" w:hAnsi="Cambria Math"/>
                  <w:sz w:val="24"/>
                  <w:szCs w:val="24"/>
                  <w:lang w:val="en-GB"/>
                </w:rPr>
                <m:t>x</m:t>
              </m:r>
            </m:sup>
          </m:sSup>
          <m:sSubSup>
            <m:sSubSupPr>
              <m:ctrlPr>
                <w:rPr>
                  <w:rFonts w:ascii="Cambria Math" w:hAnsi="Cambria Math"/>
                  <w:i/>
                  <w:sz w:val="24"/>
                  <w:szCs w:val="24"/>
                  <w:lang w:val="en-GB"/>
                </w:rPr>
              </m:ctrlPr>
            </m:sSubSupPr>
            <m:e>
              <m:r>
                <w:rPr>
                  <w:rFonts w:ascii="Cambria Math" w:hAnsi="Cambria Math"/>
                  <w:sz w:val="24"/>
                  <w:szCs w:val="24"/>
                  <w:lang w:val="en-GB"/>
                </w:rPr>
                <m:t>V</m:t>
              </m:r>
            </m:e>
            <m:sub>
              <m:r>
                <w:rPr>
                  <w:rFonts w:ascii="Cambria Math" w:hAnsi="Cambria Math"/>
                  <w:sz w:val="24"/>
                  <w:szCs w:val="24"/>
                  <w:lang w:val="en-GB"/>
                </w:rPr>
                <m:t>I</m:t>
              </m:r>
            </m:sub>
            <m:sup>
              <m:r>
                <w:rPr>
                  <w:rFonts w:ascii="Cambria Math" w:hAnsi="Cambria Math"/>
                  <w:sz w:val="24"/>
                  <w:szCs w:val="24"/>
                  <w:lang w:val="en-GB"/>
                </w:rPr>
                <m:t>x</m:t>
              </m:r>
            </m:sup>
          </m:sSubSup>
          <m:r>
            <w:rPr>
              <w:rFonts w:ascii="Cambria Math" w:hAnsi="Cambria Math"/>
              <w:sz w:val="24"/>
              <w:szCs w:val="24"/>
              <w:lang w:val="en-GB"/>
            </w:rPr>
            <m:t>–</m:t>
          </m:r>
          <m:r>
            <w:rPr>
              <w:rFonts w:ascii="Cambria Math" w:hAnsi="Cambria Math"/>
              <w:sz w:val="24"/>
              <w:szCs w:val="24"/>
            </w:rPr>
            <m:t>k</m:t>
          </m:r>
          <m:sSubSup>
            <m:sSubSupPr>
              <m:ctrlPr>
                <w:rPr>
                  <w:rFonts w:ascii="Cambria Math" w:hAnsi="Cambria Math"/>
                  <w:i/>
                  <w:iCs/>
                  <w:sz w:val="24"/>
                  <w:szCs w:val="24"/>
                </w:rPr>
              </m:ctrlPr>
            </m:sSubSupPr>
            <m:e>
              <m:r>
                <w:rPr>
                  <w:rFonts w:ascii="Cambria Math" w:hAnsi="Cambria Math"/>
                  <w:sz w:val="24"/>
                  <w:szCs w:val="24"/>
                </w:rPr>
                <m:t>I</m:t>
              </m:r>
            </m:e>
            <m:sub>
              <m:r>
                <w:rPr>
                  <w:rFonts w:ascii="Cambria Math" w:hAnsi="Cambria Math"/>
                  <w:sz w:val="24"/>
                  <w:szCs w:val="24"/>
                  <w:lang w:val="en-GB"/>
                </w:rPr>
                <m:t>1</m:t>
              </m:r>
            </m:sub>
            <m:sup>
              <m:r>
                <w:rPr>
                  <w:rFonts w:ascii="Cambria Math" w:hAnsi="Cambria Math"/>
                  <w:sz w:val="24"/>
                  <w:szCs w:val="24"/>
                </w:rPr>
                <m:t>x</m:t>
              </m:r>
            </m:sup>
          </m:sSubSup>
          <m:r>
            <w:rPr>
              <w:rFonts w:ascii="Cambria Math" w:eastAsiaTheme="minorEastAsia" w:hAnsi="Cambria Math"/>
              <w:sz w:val="24"/>
              <w:szCs w:val="24"/>
              <w:lang w:val="en-GB"/>
            </w:rPr>
            <m:t xml:space="preserve">   (2)</m:t>
          </m:r>
        </m:oMath>
      </m:oMathPara>
    </w:p>
    <w:p w14:paraId="61C1FB0B" w14:textId="77777777" w:rsidR="00772160" w:rsidRPr="001A1B65" w:rsidRDefault="00772160" w:rsidP="00772160">
      <w:pPr>
        <w:tabs>
          <w:tab w:val="left" w:pos="3544"/>
          <w:tab w:val="left" w:pos="3686"/>
        </w:tabs>
        <w:spacing w:line="360" w:lineRule="auto"/>
        <w:jc w:val="both"/>
        <w:rPr>
          <w:sz w:val="24"/>
          <w:szCs w:val="24"/>
          <w:lang w:val="en-GB"/>
        </w:rPr>
      </w:pPr>
      <m:oMathPara>
        <m:oMathParaPr>
          <m:jc m:val="left"/>
        </m:oMathParaPr>
        <m:oMath>
          <m:f>
            <m:fPr>
              <m:ctrlPr>
                <w:rPr>
                  <w:rFonts w:ascii="Cambria Math" w:hAnsi="Cambria Math"/>
                  <w:i/>
                  <w:iCs/>
                  <w:sz w:val="24"/>
                  <w:szCs w:val="24"/>
                </w:rPr>
              </m:ctrlPr>
            </m:fPr>
            <m:num>
              <m:r>
                <w:rPr>
                  <w:rFonts w:ascii="Cambria Math" w:hAnsi="Cambria Math"/>
                  <w:sz w:val="24"/>
                  <w:szCs w:val="24"/>
                </w:rPr>
                <m:t>d</m:t>
              </m:r>
              <m:sSubSup>
                <m:sSubSupPr>
                  <m:ctrlPr>
                    <w:rPr>
                      <w:rFonts w:ascii="Cambria Math" w:hAnsi="Cambria Math"/>
                      <w:i/>
                      <w:iCs/>
                      <w:sz w:val="24"/>
                      <w:szCs w:val="24"/>
                    </w:rPr>
                  </m:ctrlPr>
                </m:sSubSupPr>
                <m:e>
                  <m:r>
                    <w:rPr>
                      <w:rFonts w:ascii="Cambria Math" w:hAnsi="Cambria Math"/>
                      <w:sz w:val="24"/>
                      <w:szCs w:val="24"/>
                    </w:rPr>
                    <m:t>I</m:t>
                  </m:r>
                </m:e>
                <m:sub>
                  <m:r>
                    <w:rPr>
                      <w:rFonts w:ascii="Cambria Math" w:hAnsi="Cambria Math"/>
                      <w:sz w:val="24"/>
                      <w:szCs w:val="24"/>
                      <w:lang w:val="en-GB"/>
                    </w:rPr>
                    <m:t>2</m:t>
                  </m:r>
                </m:sub>
                <m:sup>
                  <m:r>
                    <w:rPr>
                      <w:rFonts w:ascii="Cambria Math" w:hAnsi="Cambria Math"/>
                      <w:sz w:val="24"/>
                      <w:szCs w:val="24"/>
                    </w:rPr>
                    <m:t>x</m:t>
                  </m:r>
                </m:sup>
              </m:sSubSup>
            </m:num>
            <m:den>
              <m:r>
                <w:rPr>
                  <w:rFonts w:ascii="Cambria Math" w:hAnsi="Cambria Math"/>
                  <w:sz w:val="24"/>
                  <w:szCs w:val="24"/>
                </w:rPr>
                <m:t>dt</m:t>
              </m:r>
            </m:den>
          </m:f>
          <m:r>
            <w:rPr>
              <w:rFonts w:ascii="Cambria Math" w:hAnsi="Cambria Math"/>
              <w:sz w:val="24"/>
              <w:szCs w:val="24"/>
            </w:rPr>
            <m:t>=k</m:t>
          </m:r>
          <m:sSubSup>
            <m:sSubSupPr>
              <m:ctrlPr>
                <w:rPr>
                  <w:rFonts w:ascii="Cambria Math" w:hAnsi="Cambria Math"/>
                  <w:i/>
                  <w:iCs/>
                  <w:sz w:val="24"/>
                  <w:szCs w:val="24"/>
                </w:rPr>
              </m:ctrlPr>
            </m:sSubSupPr>
            <m:e>
              <m:r>
                <w:rPr>
                  <w:rFonts w:ascii="Cambria Math" w:hAnsi="Cambria Math"/>
                  <w:sz w:val="24"/>
                  <w:szCs w:val="24"/>
                </w:rPr>
                <m:t>I</m:t>
              </m:r>
            </m:e>
            <m:sub>
              <m:r>
                <w:rPr>
                  <w:rFonts w:ascii="Cambria Math" w:hAnsi="Cambria Math"/>
                  <w:sz w:val="24"/>
                  <w:szCs w:val="24"/>
                  <w:lang w:val="en-GB"/>
                </w:rPr>
                <m:t>1</m:t>
              </m:r>
            </m:sub>
            <m:sup>
              <m:r>
                <w:rPr>
                  <w:rFonts w:ascii="Cambria Math" w:hAnsi="Cambria Math"/>
                  <w:sz w:val="24"/>
                  <w:szCs w:val="24"/>
                </w:rPr>
                <m:t>x</m:t>
              </m:r>
            </m:sup>
          </m:sSubSup>
          <m:r>
            <w:rPr>
              <w:rFonts w:ascii="Cambria Math" w:eastAsiaTheme="minorEastAsia" w:hAnsi="Cambria Math"/>
              <w:sz w:val="24"/>
              <w:szCs w:val="24"/>
              <w:lang w:val="en-GB"/>
            </w:rPr>
            <m:t xml:space="preserve"> </m:t>
          </m:r>
          <m:r>
            <w:rPr>
              <w:rFonts w:ascii="Cambria Math" w:hAnsi="Cambria Math"/>
              <w:sz w:val="24"/>
              <w:szCs w:val="24"/>
            </w:rPr>
            <m:t>-δ</m:t>
          </m:r>
          <m:sSubSup>
            <m:sSubSupPr>
              <m:ctrlPr>
                <w:rPr>
                  <w:rFonts w:ascii="Cambria Math" w:hAnsi="Cambria Math"/>
                  <w:i/>
                  <w:iCs/>
                  <w:sz w:val="24"/>
                  <w:szCs w:val="24"/>
                </w:rPr>
              </m:ctrlPr>
            </m:sSubSupPr>
            <m:e>
              <m:r>
                <w:rPr>
                  <w:rFonts w:ascii="Cambria Math" w:hAnsi="Cambria Math"/>
                  <w:sz w:val="24"/>
                  <w:szCs w:val="24"/>
                </w:rPr>
                <m:t>I</m:t>
              </m:r>
            </m:e>
            <m:sub>
              <m:r>
                <w:rPr>
                  <w:rFonts w:ascii="Cambria Math" w:hAnsi="Cambria Math"/>
                  <w:sz w:val="24"/>
                  <w:szCs w:val="24"/>
                  <w:lang w:val="en-GB"/>
                </w:rPr>
                <m:t>2</m:t>
              </m:r>
            </m:sub>
            <m:sup>
              <m:r>
                <w:rPr>
                  <w:rFonts w:ascii="Cambria Math" w:hAnsi="Cambria Math"/>
                  <w:sz w:val="24"/>
                  <w:szCs w:val="24"/>
                </w:rPr>
                <m:t>x</m:t>
              </m:r>
            </m:sup>
          </m:sSubSup>
          <m:r>
            <w:rPr>
              <w:rFonts w:ascii="Cambria Math" w:eastAsiaTheme="minorEastAsia" w:hAnsi="Cambria Math"/>
              <w:sz w:val="24"/>
              <w:szCs w:val="24"/>
              <w:lang w:val="en-GB"/>
            </w:rPr>
            <m:t xml:space="preserve">   (3)</m:t>
          </m:r>
        </m:oMath>
      </m:oMathPara>
    </w:p>
    <w:p w14:paraId="69C8B0C8" w14:textId="77777777" w:rsidR="00772160" w:rsidRPr="001A1B65" w:rsidRDefault="00772160" w:rsidP="00772160">
      <w:pPr>
        <w:tabs>
          <w:tab w:val="left" w:pos="3544"/>
          <w:tab w:val="left" w:pos="3686"/>
        </w:tabs>
        <w:spacing w:line="360" w:lineRule="auto"/>
        <w:jc w:val="both"/>
        <w:rPr>
          <w:sz w:val="24"/>
          <w:szCs w:val="24"/>
          <w:lang w:val="en-GB"/>
        </w:rPr>
      </w:pPr>
      <m:oMathPara>
        <m:oMathParaPr>
          <m:jc m:val="left"/>
        </m:oMathParaPr>
        <m:oMath>
          <m:f>
            <m:fPr>
              <m:ctrlPr>
                <w:rPr>
                  <w:rFonts w:ascii="Cambria Math" w:hAnsi="Cambria Math"/>
                  <w:i/>
                  <w:iCs/>
                  <w:sz w:val="24"/>
                  <w:szCs w:val="24"/>
                </w:rPr>
              </m:ctrlPr>
            </m:fPr>
            <m:num>
              <m:r>
                <w:rPr>
                  <w:rFonts w:ascii="Cambria Math" w:hAnsi="Cambria Math"/>
                  <w:sz w:val="24"/>
                  <w:szCs w:val="24"/>
                </w:rPr>
                <m:t>d</m:t>
              </m:r>
              <m:sSubSup>
                <m:sSubSupPr>
                  <m:ctrlPr>
                    <w:rPr>
                      <w:rFonts w:ascii="Cambria Math" w:hAnsi="Cambria Math"/>
                      <w:i/>
                      <w:sz w:val="24"/>
                      <w:szCs w:val="24"/>
                      <w:lang w:val="en-GB"/>
                    </w:rPr>
                  </m:ctrlPr>
                </m:sSubSupPr>
                <m:e>
                  <m:r>
                    <w:rPr>
                      <w:rFonts w:ascii="Cambria Math" w:hAnsi="Cambria Math"/>
                      <w:sz w:val="24"/>
                      <w:szCs w:val="24"/>
                      <w:lang w:val="en-GB"/>
                    </w:rPr>
                    <m:t>V</m:t>
                  </m:r>
                </m:e>
                <m:sub>
                  <m:r>
                    <w:rPr>
                      <w:rFonts w:ascii="Cambria Math" w:hAnsi="Cambria Math"/>
                      <w:sz w:val="24"/>
                      <w:szCs w:val="24"/>
                      <w:lang w:val="en-GB"/>
                    </w:rPr>
                    <m:t>I</m:t>
                  </m:r>
                </m:sub>
                <m:sup>
                  <m:r>
                    <w:rPr>
                      <w:rFonts w:ascii="Cambria Math" w:hAnsi="Cambria Math"/>
                      <w:sz w:val="24"/>
                      <w:szCs w:val="24"/>
                      <w:lang w:val="en-GB"/>
                    </w:rPr>
                    <m:t>x</m:t>
                  </m:r>
                </m:sup>
              </m:sSubSup>
            </m:num>
            <m:den>
              <m:r>
                <w:rPr>
                  <w:rFonts w:ascii="Cambria Math" w:hAnsi="Cambria Math"/>
                  <w:sz w:val="24"/>
                  <w:szCs w:val="24"/>
                </w:rPr>
                <m:t>dt</m:t>
              </m:r>
            </m:den>
          </m:f>
          <m:r>
            <w:rPr>
              <w:rFonts w:ascii="Cambria Math" w:hAnsi="Cambria Math"/>
              <w:sz w:val="24"/>
              <w:szCs w:val="24"/>
              <w:lang w:val="en-GB"/>
            </w:rPr>
            <m:t>=</m:t>
          </m:r>
          <m:sSup>
            <m:sSupPr>
              <m:ctrlPr>
                <w:rPr>
                  <w:rFonts w:ascii="Cambria Math" w:hAnsi="Cambria Math"/>
                  <w:i/>
                  <w:iCs/>
                  <w:sz w:val="24"/>
                  <w:szCs w:val="24"/>
                </w:rPr>
              </m:ctrlPr>
            </m:sSupPr>
            <m:e>
              <m:r>
                <w:rPr>
                  <w:rFonts w:ascii="Cambria Math" w:hAnsi="Cambria Math"/>
                  <w:sz w:val="24"/>
                  <w:szCs w:val="24"/>
                </w:rPr>
                <m:t>p</m:t>
              </m:r>
            </m:e>
            <m:sup>
              <m:r>
                <w:rPr>
                  <w:rFonts w:ascii="Cambria Math" w:hAnsi="Cambria Math"/>
                  <w:sz w:val="24"/>
                  <w:szCs w:val="24"/>
                </w:rPr>
                <m:t>x</m:t>
              </m:r>
            </m:sup>
          </m:sSup>
          <m:r>
            <w:rPr>
              <w:rFonts w:ascii="Cambria Math" w:hAnsi="Cambria Math"/>
              <w:sz w:val="24"/>
              <w:szCs w:val="24"/>
              <w:lang w:val="en-GB"/>
            </w:rPr>
            <m:t>μ</m:t>
          </m:r>
          <m:sSubSup>
            <m:sSubSupPr>
              <m:ctrlPr>
                <w:rPr>
                  <w:rFonts w:ascii="Cambria Math" w:hAnsi="Cambria Math"/>
                  <w:i/>
                  <w:iCs/>
                  <w:sz w:val="24"/>
                  <w:szCs w:val="24"/>
                </w:rPr>
              </m:ctrlPr>
            </m:sSubSupPr>
            <m:e>
              <m:r>
                <w:rPr>
                  <w:rFonts w:ascii="Cambria Math" w:hAnsi="Cambria Math"/>
                  <w:sz w:val="24"/>
                  <w:szCs w:val="24"/>
                </w:rPr>
                <m:t>I</m:t>
              </m:r>
            </m:e>
            <m:sub>
              <m:r>
                <w:rPr>
                  <w:rFonts w:ascii="Cambria Math" w:hAnsi="Cambria Math"/>
                  <w:sz w:val="24"/>
                  <w:szCs w:val="24"/>
                  <w:lang w:val="en-GB"/>
                </w:rPr>
                <m:t>2</m:t>
              </m:r>
            </m:sub>
            <m:sup>
              <m:r>
                <w:rPr>
                  <w:rFonts w:ascii="Cambria Math" w:hAnsi="Cambria Math"/>
                  <w:sz w:val="24"/>
                  <w:szCs w:val="24"/>
                </w:rPr>
                <m:t>x</m:t>
              </m:r>
            </m:sup>
          </m:sSubSup>
          <m:r>
            <w:rPr>
              <w:rFonts w:ascii="Cambria Math" w:hAnsi="Cambria Math"/>
              <w:sz w:val="24"/>
              <w:szCs w:val="24"/>
              <w:lang w:val="en-GB"/>
            </w:rPr>
            <m:t>-</m:t>
          </m:r>
          <m:r>
            <w:rPr>
              <w:rFonts w:ascii="Cambria Math" w:hAnsi="Cambria Math"/>
              <w:sz w:val="24"/>
              <w:szCs w:val="24"/>
            </w:rPr>
            <m:t>c</m:t>
          </m:r>
          <m:sSubSup>
            <m:sSubSupPr>
              <m:ctrlPr>
                <w:rPr>
                  <w:rFonts w:ascii="Cambria Math" w:hAnsi="Cambria Math"/>
                  <w:i/>
                  <w:sz w:val="24"/>
                  <w:szCs w:val="24"/>
                  <w:lang w:val="en-GB"/>
                </w:rPr>
              </m:ctrlPr>
            </m:sSubSupPr>
            <m:e>
              <m:r>
                <w:rPr>
                  <w:rFonts w:ascii="Cambria Math" w:hAnsi="Cambria Math"/>
                  <w:sz w:val="24"/>
                  <w:szCs w:val="24"/>
                  <w:lang w:val="en-GB"/>
                </w:rPr>
                <m:t>V</m:t>
              </m:r>
            </m:e>
            <m:sub>
              <m:r>
                <w:rPr>
                  <w:rFonts w:ascii="Cambria Math" w:hAnsi="Cambria Math"/>
                  <w:sz w:val="24"/>
                  <w:szCs w:val="24"/>
                  <w:lang w:val="en-GB"/>
                </w:rPr>
                <m:t>I</m:t>
              </m:r>
            </m:sub>
            <m:sup>
              <m:r>
                <w:rPr>
                  <w:rFonts w:ascii="Cambria Math" w:hAnsi="Cambria Math"/>
                  <w:sz w:val="24"/>
                  <w:szCs w:val="24"/>
                  <w:lang w:val="en-GB"/>
                </w:rPr>
                <m:t>x</m:t>
              </m:r>
            </m:sup>
          </m:sSubSup>
          <m:r>
            <w:rPr>
              <w:rFonts w:ascii="Cambria Math" w:eastAsiaTheme="minorEastAsia" w:hAnsi="Cambria Math"/>
              <w:sz w:val="24"/>
              <w:szCs w:val="24"/>
              <w:lang w:val="en-GB"/>
            </w:rPr>
            <m:t xml:space="preserve">   (4)</m:t>
          </m:r>
        </m:oMath>
      </m:oMathPara>
    </w:p>
    <w:p w14:paraId="5332D60D" w14:textId="77777777" w:rsidR="00772160" w:rsidRPr="001A1B65" w:rsidRDefault="00772160" w:rsidP="00772160">
      <w:pPr>
        <w:spacing w:line="360" w:lineRule="auto"/>
        <w:jc w:val="both"/>
        <w:rPr>
          <w:sz w:val="24"/>
          <w:szCs w:val="24"/>
          <w:lang w:val="en-GB"/>
        </w:rPr>
      </w:pPr>
      <m:oMathPara>
        <m:oMathParaPr>
          <m:jc m:val="left"/>
        </m:oMathParaPr>
        <m:oMath>
          <m:f>
            <m:fPr>
              <m:ctrlPr>
                <w:rPr>
                  <w:rFonts w:ascii="Cambria Math" w:hAnsi="Cambria Math"/>
                  <w:i/>
                  <w:iCs/>
                  <w:sz w:val="24"/>
                  <w:szCs w:val="24"/>
                </w:rPr>
              </m:ctrlPr>
            </m:fPr>
            <m:num>
              <m:r>
                <w:rPr>
                  <w:rFonts w:ascii="Cambria Math" w:hAnsi="Cambria Math"/>
                  <w:sz w:val="24"/>
                  <w:szCs w:val="24"/>
                </w:rPr>
                <m:t>d</m:t>
              </m:r>
              <m:sSubSup>
                <m:sSubSupPr>
                  <m:ctrlPr>
                    <w:rPr>
                      <w:rFonts w:ascii="Cambria Math" w:hAnsi="Cambria Math"/>
                      <w:i/>
                      <w:sz w:val="24"/>
                      <w:szCs w:val="24"/>
                      <w:lang w:val="en-GB"/>
                    </w:rPr>
                  </m:ctrlPr>
                </m:sSubSupPr>
                <m:e>
                  <m:r>
                    <w:rPr>
                      <w:rFonts w:ascii="Cambria Math" w:hAnsi="Cambria Math"/>
                      <w:sz w:val="24"/>
                      <w:szCs w:val="24"/>
                      <w:lang w:val="en-GB"/>
                    </w:rPr>
                    <m:t>V</m:t>
                  </m:r>
                </m:e>
                <m:sub>
                  <m:r>
                    <w:rPr>
                      <w:rFonts w:ascii="Cambria Math" w:hAnsi="Cambria Math"/>
                      <w:sz w:val="24"/>
                      <w:szCs w:val="24"/>
                      <w:lang w:val="en-GB"/>
                    </w:rPr>
                    <m:t>NI</m:t>
                  </m:r>
                </m:sub>
                <m:sup>
                  <m:r>
                    <w:rPr>
                      <w:rFonts w:ascii="Cambria Math" w:hAnsi="Cambria Math"/>
                      <w:sz w:val="24"/>
                      <w:szCs w:val="24"/>
                      <w:lang w:val="en-GB"/>
                    </w:rPr>
                    <m:t>x</m:t>
                  </m:r>
                </m:sup>
              </m:sSubSup>
            </m:num>
            <m:den>
              <m:r>
                <w:rPr>
                  <w:rFonts w:ascii="Cambria Math" w:hAnsi="Cambria Math"/>
                  <w:sz w:val="24"/>
                  <w:szCs w:val="24"/>
                </w:rPr>
                <m:t>dt</m:t>
              </m:r>
            </m:den>
          </m:f>
          <m:r>
            <w:rPr>
              <w:rFonts w:ascii="Cambria Math" w:hAnsi="Cambria Math"/>
              <w:sz w:val="24"/>
              <w:szCs w:val="24"/>
              <w:lang w:val="en-GB"/>
            </w:rPr>
            <m:t>=</m:t>
          </m:r>
          <m:sSup>
            <m:sSupPr>
              <m:ctrlPr>
                <w:rPr>
                  <w:rFonts w:ascii="Cambria Math" w:hAnsi="Cambria Math"/>
                  <w:i/>
                  <w:iCs/>
                  <w:sz w:val="24"/>
                  <w:szCs w:val="24"/>
                </w:rPr>
              </m:ctrlPr>
            </m:sSupPr>
            <m:e>
              <m:r>
                <w:rPr>
                  <w:rFonts w:ascii="Cambria Math" w:hAnsi="Cambria Math"/>
                  <w:sz w:val="24"/>
                  <w:szCs w:val="24"/>
                </w:rPr>
                <m:t>p</m:t>
              </m:r>
            </m:e>
            <m:sup>
              <m:r>
                <w:rPr>
                  <w:rFonts w:ascii="Cambria Math" w:hAnsi="Cambria Math"/>
                  <w:sz w:val="24"/>
                  <w:szCs w:val="24"/>
                </w:rPr>
                <m:t>x</m:t>
              </m:r>
            </m:sup>
          </m:sSup>
          <m:d>
            <m:dPr>
              <m:ctrlPr>
                <w:rPr>
                  <w:rFonts w:ascii="Cambria Math" w:hAnsi="Cambria Math"/>
                  <w:i/>
                  <w:iCs/>
                  <w:sz w:val="24"/>
                  <w:szCs w:val="24"/>
                </w:rPr>
              </m:ctrlPr>
            </m:dPr>
            <m:e>
              <m:r>
                <w:rPr>
                  <w:rFonts w:ascii="Cambria Math" w:hAnsi="Cambria Math"/>
                  <w:sz w:val="24"/>
                  <w:szCs w:val="24"/>
                  <w:lang w:val="en-GB"/>
                </w:rPr>
                <m:t>1-</m:t>
              </m:r>
              <m:r>
                <w:rPr>
                  <w:rFonts w:ascii="Cambria Math" w:hAnsi="Cambria Math"/>
                  <w:sz w:val="24"/>
                  <w:szCs w:val="24"/>
                </w:rPr>
                <m:t>μ</m:t>
              </m:r>
            </m:e>
          </m:d>
          <m:sSubSup>
            <m:sSubSupPr>
              <m:ctrlPr>
                <w:rPr>
                  <w:rFonts w:ascii="Cambria Math" w:hAnsi="Cambria Math"/>
                  <w:i/>
                  <w:iCs/>
                  <w:sz w:val="24"/>
                  <w:szCs w:val="24"/>
                </w:rPr>
              </m:ctrlPr>
            </m:sSubSupPr>
            <m:e>
              <m:r>
                <w:rPr>
                  <w:rFonts w:ascii="Cambria Math" w:hAnsi="Cambria Math"/>
                  <w:sz w:val="24"/>
                  <w:szCs w:val="24"/>
                </w:rPr>
                <m:t>I</m:t>
              </m:r>
            </m:e>
            <m:sub>
              <m:r>
                <w:rPr>
                  <w:rFonts w:ascii="Cambria Math" w:hAnsi="Cambria Math"/>
                  <w:sz w:val="24"/>
                  <w:szCs w:val="24"/>
                  <w:lang w:val="en-GB"/>
                </w:rPr>
                <m:t>2</m:t>
              </m:r>
            </m:sub>
            <m:sup>
              <m:r>
                <w:rPr>
                  <w:rFonts w:ascii="Cambria Math" w:hAnsi="Cambria Math"/>
                  <w:sz w:val="24"/>
                  <w:szCs w:val="24"/>
                </w:rPr>
                <m:t>x</m:t>
              </m:r>
            </m:sup>
          </m:sSubSup>
          <m:r>
            <w:rPr>
              <w:rFonts w:ascii="Cambria Math" w:hAnsi="Cambria Math"/>
              <w:sz w:val="24"/>
              <w:szCs w:val="24"/>
              <w:lang w:val="en-GB"/>
            </w:rPr>
            <m:t>-</m:t>
          </m:r>
          <m:r>
            <w:rPr>
              <w:rFonts w:ascii="Cambria Math" w:hAnsi="Cambria Math"/>
              <w:sz w:val="24"/>
              <w:szCs w:val="24"/>
            </w:rPr>
            <m:t>c</m:t>
          </m:r>
          <m:sSubSup>
            <m:sSubSupPr>
              <m:ctrlPr>
                <w:rPr>
                  <w:rFonts w:ascii="Cambria Math" w:hAnsi="Cambria Math"/>
                  <w:i/>
                  <w:sz w:val="24"/>
                  <w:szCs w:val="24"/>
                  <w:lang w:val="en-GB"/>
                </w:rPr>
              </m:ctrlPr>
            </m:sSubSupPr>
            <m:e>
              <m:r>
                <w:rPr>
                  <w:rFonts w:ascii="Cambria Math" w:hAnsi="Cambria Math"/>
                  <w:sz w:val="24"/>
                  <w:szCs w:val="24"/>
                  <w:lang w:val="en-GB"/>
                </w:rPr>
                <m:t>V</m:t>
              </m:r>
            </m:e>
            <m:sub>
              <m:r>
                <w:rPr>
                  <w:rFonts w:ascii="Cambria Math" w:hAnsi="Cambria Math"/>
                  <w:sz w:val="24"/>
                  <w:szCs w:val="24"/>
                  <w:lang w:val="en-GB"/>
                </w:rPr>
                <m:t>NI</m:t>
              </m:r>
            </m:sub>
            <m:sup>
              <m:r>
                <w:rPr>
                  <w:rFonts w:ascii="Cambria Math" w:hAnsi="Cambria Math"/>
                  <w:sz w:val="24"/>
                  <w:szCs w:val="24"/>
                  <w:lang w:val="en-GB"/>
                </w:rPr>
                <m:t>x</m:t>
              </m:r>
            </m:sup>
          </m:sSubSup>
          <m:r>
            <w:rPr>
              <w:rFonts w:ascii="Cambria Math" w:eastAsiaTheme="minorEastAsia" w:hAnsi="Cambria Math"/>
              <w:sz w:val="24"/>
              <w:szCs w:val="24"/>
              <w:lang w:val="en-GB"/>
            </w:rPr>
            <m:t xml:space="preserve">  (5)</m:t>
          </m:r>
        </m:oMath>
      </m:oMathPara>
    </w:p>
    <w:p w14:paraId="604A920E" w14:textId="77777777" w:rsidR="00772160" w:rsidRDefault="00772160" w:rsidP="00772160">
      <w:pPr>
        <w:spacing w:line="360" w:lineRule="auto"/>
        <w:jc w:val="both"/>
        <w:rPr>
          <w:rFonts w:eastAsiaTheme="minorEastAsia"/>
          <w:sz w:val="24"/>
          <w:szCs w:val="24"/>
          <w:lang w:val="en-GB"/>
        </w:rPr>
      </w:pPr>
      <w:r w:rsidRPr="001A1B65">
        <w:rPr>
          <w:sz w:val="24"/>
          <w:szCs w:val="24"/>
          <w:lang w:val="en-GB"/>
        </w:rPr>
        <w:lastRenderedPageBreak/>
        <w:t xml:space="preserve">Where </w:t>
      </w:r>
      <m:oMath>
        <m:r>
          <w:rPr>
            <w:rFonts w:ascii="Cambria Math" w:hAnsi="Cambria Math"/>
            <w:sz w:val="24"/>
            <w:szCs w:val="24"/>
            <w:lang w:val="en-GB"/>
          </w:rPr>
          <m:t xml:space="preserve">T, </m:t>
        </m:r>
        <m:sSub>
          <m:sSubPr>
            <m:ctrlPr>
              <w:rPr>
                <w:rFonts w:ascii="Cambria Math" w:hAnsi="Cambria Math"/>
                <w:i/>
                <w:sz w:val="24"/>
                <w:szCs w:val="24"/>
                <w:lang w:val="en-GB"/>
              </w:rPr>
            </m:ctrlPr>
          </m:sSubPr>
          <m:e>
            <m:r>
              <w:rPr>
                <w:rFonts w:ascii="Cambria Math" w:hAnsi="Cambria Math"/>
                <w:sz w:val="24"/>
                <w:szCs w:val="24"/>
                <w:lang w:val="en-GB"/>
              </w:rPr>
              <m:t>I</m:t>
            </m:r>
          </m:e>
          <m:sub>
            <m:r>
              <w:rPr>
                <w:rFonts w:ascii="Cambria Math" w:hAnsi="Cambria Math"/>
                <w:sz w:val="24"/>
                <w:szCs w:val="24"/>
                <w:lang w:val="en-GB"/>
              </w:rPr>
              <m:t>1</m:t>
            </m:r>
          </m:sub>
        </m:sSub>
        <m:r>
          <w:rPr>
            <w:rFonts w:ascii="Cambria Math" w:hAnsi="Cambria Math"/>
            <w:sz w:val="24"/>
            <w:szCs w:val="24"/>
            <w:lang w:val="en-GB"/>
          </w:rPr>
          <m:t xml:space="preserve">, </m:t>
        </m:r>
        <m:sSub>
          <m:sSubPr>
            <m:ctrlPr>
              <w:rPr>
                <w:rFonts w:ascii="Cambria Math" w:hAnsi="Cambria Math"/>
                <w:i/>
                <w:sz w:val="24"/>
                <w:szCs w:val="24"/>
                <w:lang w:val="en-GB"/>
              </w:rPr>
            </m:ctrlPr>
          </m:sSubPr>
          <m:e>
            <m:r>
              <w:rPr>
                <w:rFonts w:ascii="Cambria Math" w:hAnsi="Cambria Math"/>
                <w:sz w:val="24"/>
                <w:szCs w:val="24"/>
                <w:lang w:val="en-GB"/>
              </w:rPr>
              <m:t>I</m:t>
            </m:r>
          </m:e>
          <m:sub>
            <m:r>
              <w:rPr>
                <w:rFonts w:ascii="Cambria Math" w:hAnsi="Cambria Math"/>
                <w:sz w:val="24"/>
                <w:szCs w:val="24"/>
                <w:lang w:val="en-GB"/>
              </w:rPr>
              <m:t>2</m:t>
            </m:r>
          </m:sub>
        </m:sSub>
        <m:r>
          <w:rPr>
            <w:rFonts w:ascii="Cambria Math" w:hAnsi="Cambria Math"/>
            <w:sz w:val="24"/>
            <w:szCs w:val="24"/>
            <w:lang w:val="en-GB"/>
          </w:rPr>
          <m:t xml:space="preserve">, </m:t>
        </m:r>
        <m:sSub>
          <m:sSubPr>
            <m:ctrlPr>
              <w:rPr>
                <w:rFonts w:ascii="Cambria Math" w:hAnsi="Cambria Math"/>
                <w:i/>
                <w:sz w:val="24"/>
                <w:szCs w:val="24"/>
                <w:lang w:val="en-GB"/>
              </w:rPr>
            </m:ctrlPr>
          </m:sSubPr>
          <m:e>
            <m:r>
              <w:rPr>
                <w:rFonts w:ascii="Cambria Math" w:hAnsi="Cambria Math"/>
                <w:sz w:val="24"/>
                <w:szCs w:val="24"/>
                <w:lang w:val="en-GB"/>
              </w:rPr>
              <m:t>V</m:t>
            </m:r>
          </m:e>
          <m:sub>
            <m:r>
              <w:rPr>
                <w:rFonts w:ascii="Cambria Math" w:hAnsi="Cambria Math"/>
                <w:sz w:val="24"/>
                <w:szCs w:val="24"/>
                <w:lang w:val="en-GB"/>
              </w:rPr>
              <m:t>I</m:t>
            </m:r>
          </m:sub>
        </m:sSub>
        <m:r>
          <w:rPr>
            <w:rFonts w:ascii="Cambria Math" w:hAnsi="Cambria Math"/>
            <w:sz w:val="24"/>
            <w:szCs w:val="24"/>
            <w:lang w:val="en-GB"/>
          </w:rPr>
          <m:t xml:space="preserve"> and </m:t>
        </m:r>
        <m:sSub>
          <m:sSubPr>
            <m:ctrlPr>
              <w:rPr>
                <w:rFonts w:ascii="Cambria Math" w:hAnsi="Cambria Math"/>
                <w:i/>
                <w:sz w:val="24"/>
                <w:szCs w:val="24"/>
                <w:lang w:val="en-GB"/>
              </w:rPr>
            </m:ctrlPr>
          </m:sSubPr>
          <m:e>
            <m:r>
              <w:rPr>
                <w:rFonts w:ascii="Cambria Math" w:hAnsi="Cambria Math"/>
                <w:sz w:val="24"/>
                <w:szCs w:val="24"/>
                <w:lang w:val="en-GB"/>
              </w:rPr>
              <m:t>V</m:t>
            </m:r>
          </m:e>
          <m:sub>
            <m:r>
              <w:rPr>
                <w:rFonts w:ascii="Cambria Math" w:hAnsi="Cambria Math"/>
                <w:sz w:val="24"/>
                <w:szCs w:val="24"/>
                <w:lang w:val="en-GB"/>
              </w:rPr>
              <m:t>NI</m:t>
            </m:r>
          </m:sub>
        </m:sSub>
      </m:oMath>
      <w:r w:rsidRPr="001A1B65">
        <w:rPr>
          <w:rFonts w:eastAsiaTheme="minorEastAsia"/>
          <w:sz w:val="24"/>
          <w:szCs w:val="24"/>
          <w:lang w:val="en-GB"/>
        </w:rPr>
        <w:t xml:space="preserve"> are the densities of target cells, infected non-productive cell, infected productive cell, infectious </w:t>
      </w:r>
      <w:proofErr w:type="gramStart"/>
      <w:r w:rsidRPr="001A1B65">
        <w:rPr>
          <w:rFonts w:eastAsiaTheme="minorEastAsia"/>
          <w:sz w:val="24"/>
          <w:szCs w:val="24"/>
          <w:lang w:val="en-GB"/>
        </w:rPr>
        <w:t>virus</w:t>
      </w:r>
      <w:proofErr w:type="gramEnd"/>
      <w:r w:rsidRPr="001A1B65">
        <w:rPr>
          <w:rFonts w:eastAsiaTheme="minorEastAsia"/>
          <w:sz w:val="24"/>
          <w:szCs w:val="24"/>
          <w:lang w:val="en-GB"/>
        </w:rPr>
        <w:t xml:space="preserve"> and non-infectious virus respectively and the subscript </w:t>
      </w:r>
      <m:oMath>
        <m:r>
          <w:rPr>
            <w:rFonts w:ascii="Cambria Math" w:eastAsiaTheme="minorEastAsia" w:hAnsi="Cambria Math"/>
            <w:sz w:val="24"/>
            <w:szCs w:val="24"/>
            <w:lang w:val="en-GB"/>
          </w:rPr>
          <m:t>x</m:t>
        </m:r>
      </m:oMath>
      <w:r w:rsidRPr="001A1B65">
        <w:rPr>
          <w:rFonts w:eastAsiaTheme="minorEastAsia"/>
          <w:sz w:val="24"/>
          <w:szCs w:val="24"/>
          <w:lang w:val="en-GB"/>
        </w:rPr>
        <w:t xml:space="preserve"> denotes the compartment of interest, either nasopharynx or trachea. Target cells (</w:t>
      </w:r>
      <m:oMath>
        <m:r>
          <w:rPr>
            <w:rFonts w:ascii="Cambria Math" w:eastAsiaTheme="minorEastAsia" w:hAnsi="Cambria Math"/>
            <w:sz w:val="24"/>
            <w:szCs w:val="24"/>
            <w:lang w:val="en-GB"/>
          </w:rPr>
          <m:t>T</m:t>
        </m:r>
      </m:oMath>
      <w:r w:rsidRPr="001A1B65">
        <w:rPr>
          <w:rFonts w:eastAsiaTheme="minorEastAsia"/>
          <w:sz w:val="24"/>
          <w:szCs w:val="24"/>
          <w:lang w:val="en-GB"/>
        </w:rPr>
        <w:t xml:space="preserve">) are infected at a rate </w:t>
      </w:r>
      <m:oMath>
        <m:r>
          <w:rPr>
            <w:rFonts w:ascii="Cambria Math" w:eastAsiaTheme="minorEastAsia" w:hAnsi="Cambria Math"/>
            <w:sz w:val="24"/>
            <w:szCs w:val="24"/>
            <w:lang w:val="en-GB"/>
          </w:rPr>
          <m:t>β</m:t>
        </m:r>
      </m:oMath>
      <w:r w:rsidRPr="001A1B65">
        <w:rPr>
          <w:rFonts w:eastAsiaTheme="minorEastAsia"/>
          <w:sz w:val="24"/>
          <w:szCs w:val="24"/>
          <w:lang w:val="en-GB"/>
        </w:rPr>
        <w:t xml:space="preserve"> by infectious virus (</w:t>
      </w:r>
      <m:oMath>
        <m:sSub>
          <m:sSubPr>
            <m:ctrlPr>
              <w:rPr>
                <w:rFonts w:ascii="Cambria Math" w:eastAsiaTheme="minorEastAsia" w:hAnsi="Cambria Math"/>
                <w:i/>
                <w:sz w:val="24"/>
                <w:szCs w:val="24"/>
                <w:lang w:val="en-GB"/>
              </w:rPr>
            </m:ctrlPr>
          </m:sSubPr>
          <m:e>
            <m:r>
              <w:rPr>
                <w:rFonts w:ascii="Cambria Math" w:eastAsiaTheme="minorEastAsia" w:hAnsi="Cambria Math"/>
                <w:sz w:val="24"/>
                <w:szCs w:val="24"/>
                <w:lang w:val="en-GB"/>
              </w:rPr>
              <m:t>V</m:t>
            </m:r>
          </m:e>
          <m:sub>
            <m:r>
              <w:rPr>
                <w:rFonts w:ascii="Cambria Math" w:eastAsiaTheme="minorEastAsia" w:hAnsi="Cambria Math"/>
                <w:sz w:val="24"/>
                <w:szCs w:val="24"/>
                <w:lang w:val="en-GB"/>
              </w:rPr>
              <m:t>I</m:t>
            </m:r>
          </m:sub>
        </m:sSub>
      </m:oMath>
      <w:r w:rsidRPr="001A1B65">
        <w:rPr>
          <w:rFonts w:eastAsiaTheme="minorEastAsia"/>
          <w:sz w:val="24"/>
          <w:szCs w:val="24"/>
          <w:lang w:val="en-GB"/>
        </w:rPr>
        <w:t>). Infected cells enter an eclipse phase (</w:t>
      </w:r>
      <m:oMath>
        <m:sSub>
          <m:sSubPr>
            <m:ctrlPr>
              <w:rPr>
                <w:rFonts w:ascii="Cambria Math" w:eastAsiaTheme="minorEastAsia" w:hAnsi="Cambria Math"/>
                <w:i/>
                <w:sz w:val="24"/>
                <w:szCs w:val="24"/>
                <w:lang w:val="en-GB"/>
              </w:rPr>
            </m:ctrlPr>
          </m:sSubPr>
          <m:e>
            <m:r>
              <w:rPr>
                <w:rFonts w:ascii="Cambria Math" w:eastAsiaTheme="minorEastAsia" w:hAnsi="Cambria Math"/>
                <w:sz w:val="24"/>
                <w:szCs w:val="24"/>
                <w:lang w:val="en-GB"/>
              </w:rPr>
              <m:t>I</m:t>
            </m:r>
          </m:e>
          <m:sub>
            <m:r>
              <w:rPr>
                <w:rFonts w:ascii="Cambria Math" w:eastAsiaTheme="minorEastAsia" w:hAnsi="Cambria Math"/>
                <w:sz w:val="24"/>
                <w:szCs w:val="24"/>
                <w:lang w:val="en-GB"/>
              </w:rPr>
              <m:t>1</m:t>
            </m:r>
          </m:sub>
        </m:sSub>
      </m:oMath>
      <w:r w:rsidRPr="001A1B65">
        <w:rPr>
          <w:rFonts w:eastAsiaTheme="minorEastAsia"/>
          <w:sz w:val="24"/>
          <w:szCs w:val="24"/>
          <w:lang w:val="en-GB"/>
        </w:rPr>
        <w:t>) w</w:t>
      </w:r>
      <w:r>
        <w:rPr>
          <w:rFonts w:eastAsiaTheme="minorEastAsia"/>
          <w:sz w:val="24"/>
          <w:szCs w:val="24"/>
          <w:lang w:val="en-GB"/>
        </w:rPr>
        <w:t>h</w:t>
      </w:r>
      <w:r w:rsidRPr="001A1B65">
        <w:rPr>
          <w:rFonts w:eastAsiaTheme="minorEastAsia"/>
          <w:sz w:val="24"/>
          <w:szCs w:val="24"/>
          <w:lang w:val="en-GB"/>
        </w:rPr>
        <w:t>ere they do not produce virions before becoming productively infected cells (</w:t>
      </w:r>
      <m:oMath>
        <m:sSub>
          <m:sSubPr>
            <m:ctrlPr>
              <w:rPr>
                <w:rFonts w:ascii="Cambria Math" w:eastAsiaTheme="minorEastAsia" w:hAnsi="Cambria Math"/>
                <w:i/>
                <w:sz w:val="24"/>
                <w:szCs w:val="24"/>
                <w:lang w:val="en-GB"/>
              </w:rPr>
            </m:ctrlPr>
          </m:sSubPr>
          <m:e>
            <m:r>
              <w:rPr>
                <w:rFonts w:ascii="Cambria Math" w:eastAsiaTheme="minorEastAsia" w:hAnsi="Cambria Math"/>
                <w:sz w:val="24"/>
                <w:szCs w:val="24"/>
                <w:lang w:val="en-GB"/>
              </w:rPr>
              <m:t>I</m:t>
            </m:r>
          </m:e>
          <m:sub>
            <m:r>
              <w:rPr>
                <w:rFonts w:ascii="Cambria Math" w:eastAsiaTheme="minorEastAsia" w:hAnsi="Cambria Math"/>
                <w:sz w:val="24"/>
                <w:szCs w:val="24"/>
                <w:lang w:val="en-GB"/>
              </w:rPr>
              <m:t>2</m:t>
            </m:r>
          </m:sub>
        </m:sSub>
      </m:oMath>
      <w:r w:rsidRPr="001A1B65">
        <w:rPr>
          <w:rFonts w:eastAsiaTheme="minorEastAsia"/>
          <w:sz w:val="24"/>
          <w:szCs w:val="24"/>
          <w:lang w:val="en-GB"/>
        </w:rPr>
        <w:t xml:space="preserve">) at rate </w:t>
      </w:r>
      <m:oMath>
        <m:r>
          <w:rPr>
            <w:rFonts w:ascii="Cambria Math" w:eastAsiaTheme="minorEastAsia" w:hAnsi="Cambria Math"/>
            <w:sz w:val="24"/>
            <w:szCs w:val="24"/>
            <w:lang w:val="en-GB"/>
          </w:rPr>
          <m:t>k</m:t>
        </m:r>
      </m:oMath>
      <w:r w:rsidRPr="001A1B65">
        <w:rPr>
          <w:rFonts w:eastAsiaTheme="minorEastAsia"/>
          <w:sz w:val="24"/>
          <w:szCs w:val="24"/>
          <w:lang w:val="en-GB"/>
        </w:rPr>
        <w:t xml:space="preserve">. </w:t>
      </w:r>
      <m:oMath>
        <m:sSub>
          <m:sSubPr>
            <m:ctrlPr>
              <w:rPr>
                <w:rFonts w:ascii="Cambria Math" w:eastAsiaTheme="minorEastAsia" w:hAnsi="Cambria Math"/>
                <w:i/>
                <w:sz w:val="24"/>
                <w:szCs w:val="24"/>
                <w:lang w:val="en-GB"/>
              </w:rPr>
            </m:ctrlPr>
          </m:sSubPr>
          <m:e>
            <m:r>
              <w:rPr>
                <w:rFonts w:ascii="Cambria Math" w:eastAsiaTheme="minorEastAsia" w:hAnsi="Cambria Math"/>
                <w:sz w:val="24"/>
                <w:szCs w:val="24"/>
                <w:lang w:val="en-GB"/>
              </w:rPr>
              <m:t>I</m:t>
            </m:r>
          </m:e>
          <m:sub>
            <m:r>
              <w:rPr>
                <w:rFonts w:ascii="Cambria Math" w:eastAsiaTheme="minorEastAsia" w:hAnsi="Cambria Math"/>
                <w:sz w:val="24"/>
                <w:szCs w:val="24"/>
                <w:lang w:val="en-GB"/>
              </w:rPr>
              <m:t>2</m:t>
            </m:r>
          </m:sub>
        </m:sSub>
      </m:oMath>
      <w:r w:rsidRPr="001A1B65">
        <w:rPr>
          <w:rFonts w:eastAsiaTheme="minorEastAsia"/>
          <w:sz w:val="24"/>
          <w:szCs w:val="24"/>
          <w:lang w:val="en-GB"/>
        </w:rPr>
        <w:t xml:space="preserve"> cells then produce virions at a rate </w:t>
      </w:r>
      <m:oMath>
        <m:r>
          <w:rPr>
            <w:rFonts w:ascii="Cambria Math" w:eastAsiaTheme="minorEastAsia" w:hAnsi="Cambria Math"/>
            <w:sz w:val="24"/>
            <w:szCs w:val="24"/>
            <w:lang w:val="en-GB"/>
          </w:rPr>
          <m:t>p</m:t>
        </m:r>
      </m:oMath>
      <w:r w:rsidRPr="001A1B65">
        <w:rPr>
          <w:rFonts w:eastAsiaTheme="minorEastAsia"/>
          <w:sz w:val="24"/>
          <w:szCs w:val="24"/>
          <w:lang w:val="en-GB"/>
        </w:rPr>
        <w:t xml:space="preserve"> per days and are lost at a rate </w:t>
      </w:r>
      <m:oMath>
        <m:r>
          <w:rPr>
            <w:rFonts w:ascii="Cambria Math" w:eastAsiaTheme="minorEastAsia" w:hAnsi="Cambria Math"/>
            <w:sz w:val="24"/>
            <w:szCs w:val="24"/>
            <w:lang w:val="en-GB"/>
          </w:rPr>
          <m:t>δ</m:t>
        </m:r>
      </m:oMath>
      <w:r w:rsidRPr="001A1B65">
        <w:rPr>
          <w:rFonts w:eastAsiaTheme="minorEastAsia"/>
          <w:sz w:val="24"/>
          <w:szCs w:val="24"/>
          <w:lang w:val="en-GB"/>
        </w:rPr>
        <w:t xml:space="preserve">. A proportion </w:t>
      </w:r>
      <m:oMath>
        <m:r>
          <w:rPr>
            <w:rFonts w:ascii="Cambria Math" w:eastAsiaTheme="minorEastAsia" w:hAnsi="Cambria Math"/>
            <w:sz w:val="24"/>
            <w:szCs w:val="24"/>
            <w:lang w:val="en-GB"/>
          </w:rPr>
          <m:t>μ</m:t>
        </m:r>
      </m:oMath>
      <w:r w:rsidRPr="001A1B65">
        <w:rPr>
          <w:rFonts w:eastAsiaTheme="minorEastAsia"/>
          <w:sz w:val="24"/>
          <w:szCs w:val="24"/>
          <w:lang w:val="en-GB"/>
        </w:rPr>
        <w:t xml:space="preserve"> of produced virions are infectious (</w:t>
      </w:r>
      <m:oMath>
        <m:sSub>
          <m:sSubPr>
            <m:ctrlPr>
              <w:rPr>
                <w:rFonts w:ascii="Cambria Math" w:eastAsiaTheme="minorEastAsia" w:hAnsi="Cambria Math"/>
                <w:i/>
                <w:sz w:val="24"/>
                <w:szCs w:val="24"/>
                <w:lang w:val="en-GB"/>
              </w:rPr>
            </m:ctrlPr>
          </m:sSubPr>
          <m:e>
            <m:r>
              <w:rPr>
                <w:rFonts w:ascii="Cambria Math" w:eastAsiaTheme="minorEastAsia" w:hAnsi="Cambria Math"/>
                <w:sz w:val="24"/>
                <w:szCs w:val="24"/>
                <w:lang w:val="en-GB"/>
              </w:rPr>
              <m:t>V</m:t>
            </m:r>
          </m:e>
          <m:sub>
            <m:r>
              <w:rPr>
                <w:rFonts w:ascii="Cambria Math" w:eastAsiaTheme="minorEastAsia" w:hAnsi="Cambria Math"/>
                <w:sz w:val="24"/>
                <w:szCs w:val="24"/>
                <w:lang w:val="en-GB"/>
              </w:rPr>
              <m:t>I</m:t>
            </m:r>
          </m:sub>
        </m:sSub>
      </m:oMath>
      <w:r w:rsidRPr="001A1B65">
        <w:rPr>
          <w:rFonts w:eastAsiaTheme="minorEastAsia"/>
          <w:sz w:val="24"/>
          <w:szCs w:val="24"/>
          <w:lang w:val="en-GB"/>
        </w:rPr>
        <w:t xml:space="preserve">) and the remaining </w:t>
      </w:r>
      <m:oMath>
        <m:r>
          <w:rPr>
            <w:rFonts w:ascii="Cambria Math" w:eastAsiaTheme="minorEastAsia" w:hAnsi="Cambria Math"/>
            <w:sz w:val="24"/>
            <w:szCs w:val="24"/>
            <w:lang w:val="en-GB"/>
          </w:rPr>
          <m:t>(1-μ)</m:t>
        </m:r>
      </m:oMath>
      <w:r w:rsidRPr="001A1B65">
        <w:rPr>
          <w:rFonts w:eastAsiaTheme="minorEastAsia"/>
          <w:sz w:val="24"/>
          <w:szCs w:val="24"/>
          <w:lang w:val="en-GB"/>
        </w:rPr>
        <w:t xml:space="preserve"> are non-infectious viruses (</w:t>
      </w:r>
      <m:oMath>
        <m:sSub>
          <m:sSubPr>
            <m:ctrlPr>
              <w:rPr>
                <w:rFonts w:ascii="Cambria Math" w:eastAsiaTheme="minorEastAsia" w:hAnsi="Cambria Math"/>
                <w:i/>
                <w:sz w:val="24"/>
                <w:szCs w:val="24"/>
                <w:lang w:val="en-GB"/>
              </w:rPr>
            </m:ctrlPr>
          </m:sSubPr>
          <m:e>
            <m:r>
              <w:rPr>
                <w:rFonts w:ascii="Cambria Math" w:eastAsiaTheme="minorEastAsia" w:hAnsi="Cambria Math"/>
                <w:sz w:val="24"/>
                <w:szCs w:val="24"/>
                <w:lang w:val="en-GB"/>
              </w:rPr>
              <m:t>V</m:t>
            </m:r>
          </m:e>
          <m:sub>
            <m:r>
              <w:rPr>
                <w:rFonts w:ascii="Cambria Math" w:eastAsiaTheme="minorEastAsia" w:hAnsi="Cambria Math"/>
                <w:sz w:val="24"/>
                <w:szCs w:val="24"/>
                <w:lang w:val="en-GB"/>
              </w:rPr>
              <m:t>NI</m:t>
            </m:r>
          </m:sub>
        </m:sSub>
      </m:oMath>
      <w:r w:rsidRPr="001A1B65">
        <w:rPr>
          <w:rFonts w:eastAsiaTheme="minorEastAsia"/>
          <w:sz w:val="24"/>
          <w:szCs w:val="24"/>
          <w:lang w:val="en-GB"/>
        </w:rPr>
        <w:t xml:space="preserve">), both cleared at a rate </w:t>
      </w:r>
      <m:oMath>
        <m:r>
          <w:rPr>
            <w:rFonts w:ascii="Cambria Math" w:eastAsiaTheme="minorEastAsia" w:hAnsi="Cambria Math"/>
            <w:sz w:val="24"/>
            <w:szCs w:val="24"/>
            <w:lang w:val="en-GB"/>
          </w:rPr>
          <m:t>c</m:t>
        </m:r>
      </m:oMath>
      <w:r w:rsidRPr="001A1B65">
        <w:rPr>
          <w:rFonts w:eastAsiaTheme="minorEastAsia"/>
          <w:sz w:val="24"/>
          <w:szCs w:val="24"/>
          <w:lang w:val="en-GB"/>
        </w:rPr>
        <w:t>.</w:t>
      </w:r>
    </w:p>
    <w:p w14:paraId="27D1FB0E" w14:textId="77777777" w:rsidR="00772160" w:rsidRPr="001A1B65" w:rsidRDefault="00772160" w:rsidP="00772160">
      <w:pPr>
        <w:spacing w:line="360" w:lineRule="auto"/>
        <w:jc w:val="both"/>
        <w:rPr>
          <w:rFonts w:eastAsiaTheme="minorEastAsia"/>
          <w:sz w:val="24"/>
          <w:szCs w:val="24"/>
          <w:lang w:val="en-GB"/>
        </w:rPr>
      </w:pPr>
      <w:r w:rsidRPr="001A1B65">
        <w:rPr>
          <w:rFonts w:eastAsiaTheme="minorEastAsia"/>
          <w:sz w:val="24"/>
          <w:szCs w:val="24"/>
          <w:lang w:val="en-GB"/>
        </w:rPr>
        <w:t xml:space="preserve">We assumed that </w:t>
      </w:r>
      <w:proofErr w:type="spellStart"/>
      <w:r w:rsidRPr="001A1B65">
        <w:rPr>
          <w:rFonts w:eastAsiaTheme="minorEastAsia"/>
          <w:sz w:val="24"/>
          <w:szCs w:val="24"/>
          <w:lang w:val="en-GB"/>
        </w:rPr>
        <w:t>subgenomic</w:t>
      </w:r>
      <w:proofErr w:type="spellEnd"/>
      <w:r w:rsidRPr="001A1B65">
        <w:rPr>
          <w:rFonts w:eastAsiaTheme="minorEastAsia"/>
          <w:sz w:val="24"/>
          <w:szCs w:val="24"/>
          <w:lang w:val="en-GB"/>
        </w:rPr>
        <w:t xml:space="preserve"> RNA</w:t>
      </w:r>
      <w:r>
        <w:rPr>
          <w:rFonts w:eastAsiaTheme="minorEastAsia"/>
          <w:sz w:val="24"/>
          <w:szCs w:val="24"/>
          <w:lang w:val="en-GB"/>
        </w:rPr>
        <w:t>,</w:t>
      </w:r>
      <m:oMath>
        <m:r>
          <w:rPr>
            <w:rFonts w:ascii="Cambria Math" w:hAnsi="Cambria Math"/>
            <w:sz w:val="24"/>
            <w:szCs w:val="24"/>
          </w:rPr>
          <m:t xml:space="preserve"> </m:t>
        </m:r>
        <m:sSubSup>
          <m:sSubSupPr>
            <m:ctrlPr>
              <w:rPr>
                <w:rFonts w:ascii="Cambria Math" w:hAnsi="Cambria Math"/>
                <w:i/>
                <w:iCs/>
                <w:sz w:val="24"/>
                <w:szCs w:val="24"/>
              </w:rPr>
            </m:ctrlPr>
          </m:sSubSupPr>
          <m:e>
            <m:r>
              <w:rPr>
                <w:rFonts w:ascii="Cambria Math" w:hAnsi="Cambria Math"/>
                <w:sz w:val="24"/>
                <w:szCs w:val="24"/>
              </w:rPr>
              <m:t>V</m:t>
            </m:r>
          </m:e>
          <m:sub>
            <m:r>
              <w:rPr>
                <w:rFonts w:ascii="Cambria Math" w:hAnsi="Cambria Math"/>
                <w:sz w:val="24"/>
                <w:szCs w:val="24"/>
              </w:rPr>
              <m:t>sg</m:t>
            </m:r>
          </m:sub>
          <m:sup>
            <m:r>
              <w:rPr>
                <w:rFonts w:ascii="Cambria Math" w:hAnsi="Cambria Math"/>
                <w:sz w:val="24"/>
                <w:szCs w:val="24"/>
              </w:rPr>
              <m:t>x</m:t>
            </m:r>
          </m:sup>
        </m:sSubSup>
      </m:oMath>
      <w:r>
        <w:rPr>
          <w:rFonts w:eastAsiaTheme="minorEastAsia"/>
          <w:sz w:val="24"/>
          <w:szCs w:val="24"/>
          <w:lang w:val="en-GB"/>
        </w:rPr>
        <w:t xml:space="preserve"> , </w:t>
      </w:r>
      <w:r w:rsidRPr="001A1B65">
        <w:rPr>
          <w:rFonts w:eastAsiaTheme="minorEastAsia"/>
          <w:sz w:val="24"/>
          <w:szCs w:val="24"/>
          <w:lang w:val="en-GB"/>
        </w:rPr>
        <w:t xml:space="preserve">is a </w:t>
      </w:r>
      <w:r>
        <w:rPr>
          <w:rFonts w:eastAsiaTheme="minorEastAsia"/>
          <w:sz w:val="24"/>
          <w:szCs w:val="24"/>
          <w:lang w:val="en-GB"/>
        </w:rPr>
        <w:t>proxy</w:t>
      </w:r>
      <w:r w:rsidRPr="001A1B65">
        <w:rPr>
          <w:rFonts w:eastAsiaTheme="minorEastAsia"/>
          <w:sz w:val="24"/>
          <w:szCs w:val="24"/>
          <w:lang w:val="en-GB"/>
        </w:rPr>
        <w:t xml:space="preserve"> </w:t>
      </w:r>
      <w:r>
        <w:rPr>
          <w:rFonts w:eastAsiaTheme="minorEastAsia"/>
          <w:sz w:val="24"/>
          <w:szCs w:val="24"/>
          <w:lang w:val="en-GB"/>
        </w:rPr>
        <w:t xml:space="preserve">for the number of infected cells, and we wrote </w:t>
      </w:r>
      <m:oMath>
        <m:sSubSup>
          <m:sSubSupPr>
            <m:ctrlPr>
              <w:rPr>
                <w:rFonts w:ascii="Cambria Math" w:hAnsi="Cambria Math"/>
                <w:i/>
                <w:sz w:val="24"/>
                <w:szCs w:val="24"/>
                <w:lang w:val="en-GB"/>
              </w:rPr>
            </m:ctrlPr>
          </m:sSubSupPr>
          <m:e>
            <m:r>
              <w:rPr>
                <w:rFonts w:ascii="Cambria Math" w:hAnsi="Cambria Math"/>
                <w:sz w:val="24"/>
                <w:szCs w:val="24"/>
                <w:lang w:val="en-GB"/>
              </w:rPr>
              <m:t>V</m:t>
            </m:r>
          </m:e>
          <m:sub>
            <m:r>
              <w:rPr>
                <w:rFonts w:ascii="Cambria Math" w:hAnsi="Cambria Math"/>
                <w:sz w:val="24"/>
                <w:szCs w:val="24"/>
                <w:lang w:val="en-GB"/>
              </w:rPr>
              <m:t>sg</m:t>
            </m:r>
          </m:sub>
          <m:sup>
            <m:r>
              <w:rPr>
                <w:rFonts w:ascii="Cambria Math" w:hAnsi="Cambria Math"/>
                <w:sz w:val="24"/>
                <w:szCs w:val="24"/>
                <w:lang w:val="en-GB"/>
              </w:rPr>
              <m:t>x</m:t>
            </m:r>
          </m:sup>
        </m:sSubSup>
        <m:r>
          <w:rPr>
            <w:rFonts w:ascii="Cambria Math" w:eastAsiaTheme="minorEastAsia" w:hAnsi="Cambria Math"/>
            <w:sz w:val="24"/>
            <w:szCs w:val="24"/>
            <w:lang w:val="en-GB"/>
          </w:rPr>
          <m:t>=f</m:t>
        </m:r>
        <m:d>
          <m:dPr>
            <m:ctrlPr>
              <w:rPr>
                <w:rFonts w:ascii="Cambria Math" w:eastAsiaTheme="minorEastAsia" w:hAnsi="Cambria Math"/>
                <w:i/>
                <w:sz w:val="24"/>
                <w:szCs w:val="24"/>
                <w:lang w:val="en-GB"/>
              </w:rPr>
            </m:ctrlPr>
          </m:dPr>
          <m:e>
            <m:sSubSup>
              <m:sSubSupPr>
                <m:ctrlPr>
                  <w:rPr>
                    <w:rFonts w:ascii="Cambria Math" w:hAnsi="Cambria Math"/>
                    <w:i/>
                    <w:iCs/>
                    <w:sz w:val="24"/>
                    <w:szCs w:val="24"/>
                  </w:rPr>
                </m:ctrlPr>
              </m:sSubSupPr>
              <m:e>
                <m:r>
                  <w:rPr>
                    <w:rFonts w:ascii="Cambria Math" w:hAnsi="Cambria Math"/>
                    <w:sz w:val="24"/>
                    <w:szCs w:val="24"/>
                  </w:rPr>
                  <m:t>I</m:t>
                </m:r>
              </m:e>
              <m:sub>
                <m:r>
                  <w:rPr>
                    <w:rFonts w:ascii="Cambria Math" w:hAnsi="Cambria Math"/>
                    <w:sz w:val="24"/>
                    <w:szCs w:val="24"/>
                    <w:lang w:val="en-GB"/>
                  </w:rPr>
                  <m:t>1</m:t>
                </m:r>
              </m:sub>
              <m:sup>
                <m:r>
                  <w:rPr>
                    <w:rFonts w:ascii="Cambria Math" w:hAnsi="Cambria Math"/>
                    <w:sz w:val="24"/>
                    <w:szCs w:val="24"/>
                  </w:rPr>
                  <m:t>x</m:t>
                </m:r>
              </m:sup>
            </m:sSubSup>
            <m:r>
              <w:rPr>
                <w:rFonts w:ascii="Cambria Math" w:eastAsiaTheme="minorEastAsia" w:hAnsi="Cambria Math"/>
                <w:sz w:val="24"/>
                <w:szCs w:val="24"/>
                <w:lang w:val="en-GB"/>
              </w:rPr>
              <m:t>+</m:t>
            </m:r>
            <m:sSubSup>
              <m:sSubSupPr>
                <m:ctrlPr>
                  <w:rPr>
                    <w:rFonts w:ascii="Cambria Math" w:hAnsi="Cambria Math"/>
                    <w:i/>
                    <w:iCs/>
                    <w:sz w:val="24"/>
                    <w:szCs w:val="24"/>
                  </w:rPr>
                </m:ctrlPr>
              </m:sSubSupPr>
              <m:e>
                <m:r>
                  <w:rPr>
                    <w:rFonts w:ascii="Cambria Math" w:hAnsi="Cambria Math"/>
                    <w:sz w:val="24"/>
                    <w:szCs w:val="24"/>
                  </w:rPr>
                  <m:t>I</m:t>
                </m:r>
              </m:e>
              <m:sub>
                <m:r>
                  <w:rPr>
                    <w:rFonts w:ascii="Cambria Math" w:hAnsi="Cambria Math"/>
                    <w:sz w:val="24"/>
                    <w:szCs w:val="24"/>
                    <w:lang w:val="en-GB"/>
                  </w:rPr>
                  <m:t>2</m:t>
                </m:r>
              </m:sub>
              <m:sup>
                <m:r>
                  <w:rPr>
                    <w:rFonts w:ascii="Cambria Math" w:hAnsi="Cambria Math"/>
                    <w:sz w:val="24"/>
                    <w:szCs w:val="24"/>
                  </w:rPr>
                  <m:t>x</m:t>
                </m:r>
              </m:sup>
            </m:sSubSup>
          </m:e>
        </m:d>
        <m:r>
          <w:rPr>
            <w:rFonts w:ascii="Cambria Math" w:eastAsiaTheme="minorEastAsia" w:hAnsi="Cambria Math"/>
            <w:sz w:val="24"/>
            <w:szCs w:val="24"/>
            <w:lang w:val="en-GB"/>
          </w:rPr>
          <m:t xml:space="preserve">   (6)</m:t>
        </m:r>
      </m:oMath>
    </w:p>
    <w:p w14:paraId="3D990501" w14:textId="77777777" w:rsidR="00772160" w:rsidRPr="001A1B65" w:rsidRDefault="00772160" w:rsidP="00772160">
      <w:pPr>
        <w:tabs>
          <w:tab w:val="left" w:pos="3544"/>
        </w:tabs>
        <w:spacing w:line="360" w:lineRule="auto"/>
        <w:jc w:val="both"/>
        <w:rPr>
          <w:rFonts w:eastAsiaTheme="minorEastAsia"/>
          <w:sz w:val="24"/>
          <w:szCs w:val="24"/>
          <w:lang w:val="en-GB"/>
        </w:rPr>
      </w:pPr>
      <w:r w:rsidRPr="001A1B65">
        <w:rPr>
          <w:rFonts w:eastAsiaTheme="minorEastAsia"/>
          <w:sz w:val="24"/>
          <w:szCs w:val="24"/>
          <w:lang w:val="en-GB"/>
        </w:rPr>
        <w:t xml:space="preserve">Where </w:t>
      </w:r>
      <m:oMath>
        <m:r>
          <w:rPr>
            <w:rFonts w:ascii="Cambria Math" w:eastAsiaTheme="minorEastAsia" w:hAnsi="Cambria Math"/>
            <w:sz w:val="24"/>
            <w:szCs w:val="24"/>
            <w:lang w:val="en-GB"/>
          </w:rPr>
          <m:t>f</m:t>
        </m:r>
      </m:oMath>
      <w:r w:rsidRPr="001A1B65">
        <w:rPr>
          <w:rFonts w:eastAsiaTheme="minorEastAsia"/>
          <w:sz w:val="24"/>
          <w:szCs w:val="24"/>
          <w:lang w:val="en-GB"/>
        </w:rPr>
        <w:t xml:space="preserve"> </w:t>
      </w:r>
      <w:r>
        <w:rPr>
          <w:rFonts w:eastAsiaTheme="minorEastAsia"/>
          <w:sz w:val="24"/>
          <w:szCs w:val="24"/>
          <w:lang w:val="en-GB"/>
        </w:rPr>
        <w:t>is a scaling factor between sg</w:t>
      </w:r>
      <w:r w:rsidRPr="001A1B65">
        <w:rPr>
          <w:rFonts w:eastAsiaTheme="minorEastAsia"/>
          <w:sz w:val="24"/>
          <w:szCs w:val="24"/>
          <w:lang w:val="en-GB"/>
        </w:rPr>
        <w:t xml:space="preserve">RNA and the </w:t>
      </w:r>
      <w:r>
        <w:rPr>
          <w:rFonts w:eastAsiaTheme="minorEastAsia"/>
          <w:sz w:val="24"/>
          <w:szCs w:val="24"/>
          <w:lang w:val="en-GB"/>
        </w:rPr>
        <w:t xml:space="preserve">number of infected </w:t>
      </w:r>
      <w:proofErr w:type="gramStart"/>
      <w:r>
        <w:rPr>
          <w:rFonts w:eastAsiaTheme="minorEastAsia"/>
          <w:sz w:val="24"/>
          <w:szCs w:val="24"/>
          <w:lang w:val="en-GB"/>
        </w:rPr>
        <w:t>cells</w:t>
      </w:r>
      <w:r w:rsidRPr="001A1B65">
        <w:rPr>
          <w:rFonts w:eastAsiaTheme="minorEastAsia"/>
          <w:sz w:val="24"/>
          <w:szCs w:val="24"/>
          <w:lang w:val="en-GB"/>
        </w:rPr>
        <w:t>.</w:t>
      </w:r>
      <w:proofErr w:type="gramEnd"/>
    </w:p>
    <w:p w14:paraId="3261C4B1" w14:textId="77777777" w:rsidR="00772160" w:rsidRDefault="00772160" w:rsidP="00772160">
      <w:pPr>
        <w:spacing w:line="360" w:lineRule="auto"/>
        <w:jc w:val="both"/>
        <w:rPr>
          <w:rFonts w:eastAsiaTheme="minorEastAsia"/>
          <w:i/>
          <w:sz w:val="24"/>
          <w:szCs w:val="24"/>
          <w:lang w:val="en-GB"/>
        </w:rPr>
      </w:pPr>
    </w:p>
    <w:p w14:paraId="6BC37F28" w14:textId="77777777" w:rsidR="00772160" w:rsidRPr="00752561" w:rsidRDefault="00772160" w:rsidP="00772160">
      <w:pPr>
        <w:spacing w:line="360" w:lineRule="auto"/>
        <w:jc w:val="both"/>
        <w:rPr>
          <w:rFonts w:eastAsiaTheme="minorEastAsia"/>
          <w:b/>
          <w:bCs/>
          <w:iCs/>
          <w:sz w:val="24"/>
          <w:szCs w:val="24"/>
          <w:lang w:val="en-GB"/>
        </w:rPr>
      </w:pPr>
      <w:r w:rsidRPr="00752561">
        <w:rPr>
          <w:rFonts w:eastAsiaTheme="minorEastAsia"/>
          <w:b/>
          <w:bCs/>
          <w:iCs/>
          <w:sz w:val="24"/>
          <w:szCs w:val="24"/>
          <w:lang w:val="en-GB"/>
        </w:rPr>
        <w:t>COVA1-18 pharmacokinetics model (PK)</w:t>
      </w:r>
    </w:p>
    <w:p w14:paraId="45F21EF6" w14:textId="77777777" w:rsidR="00772160" w:rsidRPr="001A1B65" w:rsidRDefault="00772160" w:rsidP="00772160">
      <w:pPr>
        <w:spacing w:line="360" w:lineRule="auto"/>
        <w:jc w:val="both"/>
        <w:rPr>
          <w:rFonts w:eastAsiaTheme="minorEastAsia"/>
          <w:sz w:val="24"/>
          <w:szCs w:val="24"/>
          <w:lang w:val="en-GB"/>
        </w:rPr>
      </w:pPr>
      <w:r w:rsidRPr="001A1B65">
        <w:rPr>
          <w:rFonts w:eastAsiaTheme="minorEastAsia"/>
          <w:sz w:val="24"/>
          <w:szCs w:val="24"/>
          <w:lang w:val="en-GB"/>
        </w:rPr>
        <w:t>We made use of a pharmacokinetic model with one compartment and a linear elimination to describe the dynamics of the COVA1-18 neutralizing antibody. The plasma concentration is given by the following analytical solution</w:t>
      </w:r>
      <w:r>
        <w:rPr>
          <w:rFonts w:eastAsiaTheme="minorEastAsia"/>
          <w:sz w:val="24"/>
          <w:szCs w:val="24"/>
          <w:lang w:val="en-GB"/>
        </w:rPr>
        <w:fldChar w:fldCharType="begin" w:fldLock="1"/>
      </w:r>
      <w:r>
        <w:rPr>
          <w:rFonts w:eastAsiaTheme="minorEastAsia"/>
          <w:sz w:val="24"/>
          <w:szCs w:val="24"/>
          <w:lang w:val="en-GB"/>
        </w:rPr>
        <w:instrText>ADDIN CSL_CITATION {"citationItems":[{"id":"ITEM-1","itemData":{"abstract":"The library of pharmacokinetic (PK) and pharmacodynamic (PD) models described in this document is implemented in the PFIM software since version 3.2.1 and in PFIM Interface since version 3.1 (www.pfim.biostat.fr). The PK/PD libraries of PFIM are derived from the PK/PD models implemented in the Monolix software and described by Julie Bertrand and France Mentr´ e in a Monolix software documentation (software.monolix.org). PFIM is a free library of functions. The University Paris Diderot and INSERM are the co-owners of this library of functions (version 3.2, copyright 2010).","author":[{"dropping-particle":"","family":"Dubois","given":"Anne","non-dropping-particle":"","parse-names":false,"suffix":""},{"dropping-particle":"","family":"Bertrand","given":"Julie","non-dropping-particle":"","parse-names":false,"suffix":""},{"dropping-particle":"","family":"Mentré","given":"France","non-dropping-particle":"","parse-names":false,"suffix":""}],"container-title":"PFIM Group","id":"ITEM-1","issue":"March","issued":{"date-parts":[["2011"]]},"title":"Mathematical Expressions of the Pharmacokinetic and Pharmacodynamic Models implemented in the PFIM software","type":"article-journal"},"uris":["http://www.mendeley.com/documents/?uuid=fce42bf0-8429-39ea-979d-26689f440a5c"]}],"mendeley":{"formattedCitation":"&lt;sup&gt;55&lt;/sup&gt;","plainTextFormattedCitation":"55","previouslyFormattedCitation":"&lt;sup&gt;55&lt;/sup&gt;"},"properties":{"noteIndex":0},"schema":"https://github.com/citation-style-language/schema/raw/master/csl-citation.json"}</w:instrText>
      </w:r>
      <w:r>
        <w:rPr>
          <w:rFonts w:eastAsiaTheme="minorEastAsia"/>
          <w:sz w:val="24"/>
          <w:szCs w:val="24"/>
          <w:lang w:val="en-GB"/>
        </w:rPr>
        <w:fldChar w:fldCharType="separate"/>
      </w:r>
      <w:r w:rsidRPr="008B3275">
        <w:rPr>
          <w:rFonts w:eastAsiaTheme="minorEastAsia"/>
          <w:noProof/>
          <w:sz w:val="24"/>
          <w:szCs w:val="24"/>
          <w:vertAlign w:val="superscript"/>
          <w:lang w:val="en-GB"/>
        </w:rPr>
        <w:t>55</w:t>
      </w:r>
      <w:r>
        <w:rPr>
          <w:rFonts w:eastAsiaTheme="minorEastAsia"/>
          <w:sz w:val="24"/>
          <w:szCs w:val="24"/>
          <w:lang w:val="en-GB"/>
        </w:rPr>
        <w:fldChar w:fldCharType="end"/>
      </w:r>
      <w:r w:rsidRPr="001A1B65">
        <w:rPr>
          <w:rFonts w:eastAsiaTheme="minorEastAsia"/>
          <w:sz w:val="24"/>
          <w:szCs w:val="24"/>
          <w:lang w:val="en-GB"/>
        </w:rPr>
        <w:t xml:space="preserve">: </w:t>
      </w:r>
    </w:p>
    <w:p w14:paraId="749A9FE7" w14:textId="77777777" w:rsidR="00772160" w:rsidRPr="001A1B65" w:rsidRDefault="00772160" w:rsidP="00772160">
      <w:pPr>
        <w:tabs>
          <w:tab w:val="left" w:pos="3544"/>
        </w:tabs>
        <w:spacing w:line="360" w:lineRule="auto"/>
        <w:jc w:val="both"/>
        <w:rPr>
          <w:rFonts w:eastAsiaTheme="minorEastAsia"/>
          <w:sz w:val="24"/>
          <w:szCs w:val="24"/>
          <w:lang w:val="en-GB"/>
        </w:rPr>
      </w:pPr>
      <m:oMathPara>
        <m:oMathParaPr>
          <m:jc m:val="left"/>
        </m:oMathParaPr>
        <m:oMath>
          <m:r>
            <w:rPr>
              <w:rFonts w:ascii="Cambria Math" w:eastAsiaTheme="minorEastAsia" w:hAnsi="Cambria Math"/>
              <w:sz w:val="24"/>
              <w:szCs w:val="24"/>
              <w:lang w:val="en-GB"/>
            </w:rPr>
            <m:t>C</m:t>
          </m:r>
          <m:d>
            <m:dPr>
              <m:ctrlPr>
                <w:rPr>
                  <w:rFonts w:ascii="Cambria Math" w:eastAsiaTheme="minorEastAsia" w:hAnsi="Cambria Math"/>
                  <w:i/>
                  <w:sz w:val="24"/>
                  <w:szCs w:val="24"/>
                  <w:lang w:val="en-GB"/>
                </w:rPr>
              </m:ctrlPr>
            </m:dPr>
            <m:e>
              <m:r>
                <w:rPr>
                  <w:rFonts w:ascii="Cambria Math" w:eastAsiaTheme="minorEastAsia" w:hAnsi="Cambria Math"/>
                  <w:sz w:val="24"/>
                  <w:szCs w:val="24"/>
                  <w:lang w:val="en-GB"/>
                </w:rPr>
                <m:t>t</m:t>
              </m:r>
            </m:e>
          </m:d>
          <m:r>
            <w:rPr>
              <w:rFonts w:ascii="Cambria Math" w:eastAsiaTheme="minorEastAsia" w:hAnsi="Cambria Math"/>
              <w:sz w:val="24"/>
              <w:szCs w:val="24"/>
              <w:lang w:val="en-GB"/>
            </w:rPr>
            <m:t xml:space="preserve">= </m:t>
          </m:r>
          <m:f>
            <m:fPr>
              <m:ctrlPr>
                <w:rPr>
                  <w:rFonts w:ascii="Cambria Math" w:eastAsiaTheme="minorEastAsia" w:hAnsi="Cambria Math"/>
                  <w:i/>
                  <w:sz w:val="24"/>
                  <w:szCs w:val="24"/>
                  <w:lang w:val="en-GB"/>
                </w:rPr>
              </m:ctrlPr>
            </m:fPr>
            <m:num>
              <m:r>
                <w:rPr>
                  <w:rFonts w:ascii="Cambria Math" w:eastAsiaTheme="minorEastAsia" w:hAnsi="Cambria Math"/>
                  <w:sz w:val="24"/>
                  <w:szCs w:val="24"/>
                  <w:lang w:val="en-GB"/>
                </w:rPr>
                <m:t>D</m:t>
              </m:r>
            </m:num>
            <m:den>
              <m:r>
                <w:rPr>
                  <w:rFonts w:ascii="Cambria Math" w:eastAsiaTheme="minorEastAsia" w:hAnsi="Cambria Math"/>
                  <w:sz w:val="24"/>
                  <w:szCs w:val="24"/>
                  <w:lang w:val="en-GB"/>
                </w:rPr>
                <m:t>V</m:t>
              </m:r>
            </m:den>
          </m:f>
          <m:f>
            <m:fPr>
              <m:ctrlPr>
                <w:rPr>
                  <w:rFonts w:ascii="Cambria Math" w:eastAsiaTheme="minorEastAsia" w:hAnsi="Cambria Math"/>
                  <w:i/>
                  <w:sz w:val="24"/>
                  <w:szCs w:val="24"/>
                  <w:lang w:val="en-GB"/>
                </w:rPr>
              </m:ctrlPr>
            </m:fPr>
            <m:num>
              <m:r>
                <w:rPr>
                  <w:rFonts w:ascii="Cambria Math" w:eastAsiaTheme="minorEastAsia" w:hAnsi="Cambria Math"/>
                  <w:sz w:val="24"/>
                  <w:szCs w:val="24"/>
                  <w:lang w:val="en-GB"/>
                </w:rPr>
                <m:t>ka</m:t>
              </m:r>
            </m:num>
            <m:den>
              <m:r>
                <w:rPr>
                  <w:rFonts w:ascii="Cambria Math" w:eastAsiaTheme="minorEastAsia" w:hAnsi="Cambria Math"/>
                  <w:sz w:val="24"/>
                  <w:szCs w:val="24"/>
                  <w:lang w:val="en-GB"/>
                </w:rPr>
                <m:t>ka-k</m:t>
              </m:r>
            </m:den>
          </m:f>
          <m:d>
            <m:dPr>
              <m:ctrlPr>
                <w:rPr>
                  <w:rFonts w:ascii="Cambria Math" w:eastAsiaTheme="minorEastAsia" w:hAnsi="Cambria Math"/>
                  <w:i/>
                  <w:sz w:val="24"/>
                  <w:szCs w:val="24"/>
                  <w:lang w:val="en-GB"/>
                </w:rPr>
              </m:ctrlPr>
            </m:dPr>
            <m:e>
              <m:sSup>
                <m:sSupPr>
                  <m:ctrlPr>
                    <w:rPr>
                      <w:rFonts w:ascii="Cambria Math" w:eastAsiaTheme="minorEastAsia" w:hAnsi="Cambria Math"/>
                      <w:i/>
                      <w:sz w:val="24"/>
                      <w:szCs w:val="24"/>
                      <w:lang w:val="en-GB"/>
                    </w:rPr>
                  </m:ctrlPr>
                </m:sSupPr>
                <m:e>
                  <m:r>
                    <w:rPr>
                      <w:rFonts w:ascii="Cambria Math" w:eastAsiaTheme="minorEastAsia" w:hAnsi="Cambria Math"/>
                      <w:sz w:val="24"/>
                      <w:szCs w:val="24"/>
                      <w:lang w:val="en-GB"/>
                    </w:rPr>
                    <m:t>e</m:t>
                  </m:r>
                </m:e>
                <m:sup>
                  <m:r>
                    <w:rPr>
                      <w:rFonts w:ascii="Cambria Math" w:eastAsiaTheme="minorEastAsia" w:hAnsi="Cambria Math"/>
                      <w:sz w:val="24"/>
                      <w:szCs w:val="24"/>
                      <w:lang w:val="en-GB"/>
                    </w:rPr>
                    <m:t>-k</m:t>
                  </m:r>
                  <m:d>
                    <m:dPr>
                      <m:ctrlPr>
                        <w:rPr>
                          <w:rFonts w:ascii="Cambria Math" w:eastAsiaTheme="minorEastAsia" w:hAnsi="Cambria Math"/>
                          <w:i/>
                          <w:sz w:val="24"/>
                          <w:szCs w:val="24"/>
                          <w:lang w:val="en-GB"/>
                        </w:rPr>
                      </m:ctrlPr>
                    </m:dPr>
                    <m:e>
                      <m:r>
                        <w:rPr>
                          <w:rFonts w:ascii="Cambria Math" w:eastAsiaTheme="minorEastAsia" w:hAnsi="Cambria Math"/>
                          <w:sz w:val="24"/>
                          <w:szCs w:val="24"/>
                          <w:lang w:val="en-GB"/>
                        </w:rPr>
                        <m:t>t-</m:t>
                      </m:r>
                      <m:sSub>
                        <m:sSubPr>
                          <m:ctrlPr>
                            <w:rPr>
                              <w:rFonts w:ascii="Cambria Math" w:eastAsiaTheme="minorEastAsia" w:hAnsi="Cambria Math"/>
                              <w:i/>
                              <w:sz w:val="24"/>
                              <w:szCs w:val="24"/>
                              <w:lang w:val="en-GB"/>
                            </w:rPr>
                          </m:ctrlPr>
                        </m:sSubPr>
                        <m:e>
                          <m:r>
                            <w:rPr>
                              <w:rFonts w:ascii="Cambria Math" w:eastAsiaTheme="minorEastAsia" w:hAnsi="Cambria Math"/>
                              <w:sz w:val="24"/>
                              <w:szCs w:val="24"/>
                              <w:lang w:val="en-GB"/>
                            </w:rPr>
                            <m:t>t</m:t>
                          </m:r>
                        </m:e>
                        <m:sub>
                          <m:r>
                            <w:rPr>
                              <w:rFonts w:ascii="Cambria Math" w:eastAsiaTheme="minorEastAsia" w:hAnsi="Cambria Math"/>
                              <w:sz w:val="24"/>
                              <w:szCs w:val="24"/>
                              <w:lang w:val="en-GB"/>
                            </w:rPr>
                            <m:t>d</m:t>
                          </m:r>
                        </m:sub>
                      </m:sSub>
                    </m:e>
                  </m:d>
                </m:sup>
              </m:sSup>
              <m:r>
                <w:rPr>
                  <w:rFonts w:ascii="Cambria Math" w:eastAsiaTheme="minorEastAsia" w:hAnsi="Cambria Math"/>
                  <w:sz w:val="24"/>
                  <w:szCs w:val="24"/>
                  <w:lang w:val="en-GB"/>
                </w:rPr>
                <m:t>-</m:t>
              </m:r>
              <m:sSup>
                <m:sSupPr>
                  <m:ctrlPr>
                    <w:rPr>
                      <w:rFonts w:ascii="Cambria Math" w:eastAsiaTheme="minorEastAsia" w:hAnsi="Cambria Math"/>
                      <w:i/>
                      <w:sz w:val="24"/>
                      <w:szCs w:val="24"/>
                      <w:lang w:val="en-GB"/>
                    </w:rPr>
                  </m:ctrlPr>
                </m:sSupPr>
                <m:e>
                  <m:r>
                    <w:rPr>
                      <w:rFonts w:ascii="Cambria Math" w:eastAsiaTheme="minorEastAsia" w:hAnsi="Cambria Math"/>
                      <w:sz w:val="24"/>
                      <w:szCs w:val="24"/>
                      <w:lang w:val="en-GB"/>
                    </w:rPr>
                    <m:t>e</m:t>
                  </m:r>
                </m:e>
                <m:sup>
                  <m:r>
                    <w:rPr>
                      <w:rFonts w:ascii="Cambria Math" w:eastAsiaTheme="minorEastAsia" w:hAnsi="Cambria Math"/>
                      <w:sz w:val="24"/>
                      <w:szCs w:val="24"/>
                      <w:lang w:val="en-GB"/>
                    </w:rPr>
                    <m:t>-ka</m:t>
                  </m:r>
                  <m:d>
                    <m:dPr>
                      <m:ctrlPr>
                        <w:rPr>
                          <w:rFonts w:ascii="Cambria Math" w:eastAsiaTheme="minorEastAsia" w:hAnsi="Cambria Math"/>
                          <w:i/>
                          <w:sz w:val="24"/>
                          <w:szCs w:val="24"/>
                          <w:lang w:val="en-GB"/>
                        </w:rPr>
                      </m:ctrlPr>
                    </m:dPr>
                    <m:e>
                      <m:r>
                        <w:rPr>
                          <w:rFonts w:ascii="Cambria Math" w:eastAsiaTheme="minorEastAsia" w:hAnsi="Cambria Math"/>
                          <w:sz w:val="24"/>
                          <w:szCs w:val="24"/>
                          <w:lang w:val="en-GB"/>
                        </w:rPr>
                        <m:t>t-</m:t>
                      </m:r>
                      <m:sSub>
                        <m:sSubPr>
                          <m:ctrlPr>
                            <w:rPr>
                              <w:rFonts w:ascii="Cambria Math" w:eastAsiaTheme="minorEastAsia" w:hAnsi="Cambria Math"/>
                              <w:i/>
                              <w:sz w:val="24"/>
                              <w:szCs w:val="24"/>
                              <w:lang w:val="en-GB"/>
                            </w:rPr>
                          </m:ctrlPr>
                        </m:sSubPr>
                        <m:e>
                          <m:r>
                            <w:rPr>
                              <w:rFonts w:ascii="Cambria Math" w:eastAsiaTheme="minorEastAsia" w:hAnsi="Cambria Math"/>
                              <w:sz w:val="24"/>
                              <w:szCs w:val="24"/>
                              <w:lang w:val="en-GB"/>
                            </w:rPr>
                            <m:t>t</m:t>
                          </m:r>
                        </m:e>
                        <m:sub>
                          <m:r>
                            <w:rPr>
                              <w:rFonts w:ascii="Cambria Math" w:eastAsiaTheme="minorEastAsia" w:hAnsi="Cambria Math"/>
                              <w:sz w:val="24"/>
                              <w:szCs w:val="24"/>
                              <w:lang w:val="en-GB"/>
                            </w:rPr>
                            <m:t>d</m:t>
                          </m:r>
                        </m:sub>
                      </m:sSub>
                    </m:e>
                  </m:d>
                </m:sup>
              </m:sSup>
            </m:e>
          </m:d>
          <m:r>
            <w:rPr>
              <w:rFonts w:ascii="Cambria Math" w:eastAsiaTheme="minorEastAsia" w:hAnsi="Cambria Math"/>
              <w:sz w:val="24"/>
              <w:szCs w:val="24"/>
              <w:lang w:val="en-GB"/>
            </w:rPr>
            <m:t xml:space="preserve">   (7)</m:t>
          </m:r>
        </m:oMath>
      </m:oMathPara>
    </w:p>
    <w:p w14:paraId="6AF54745" w14:textId="77777777" w:rsidR="00772160" w:rsidRDefault="00772160" w:rsidP="00772160">
      <w:pPr>
        <w:tabs>
          <w:tab w:val="left" w:pos="3544"/>
        </w:tabs>
        <w:spacing w:line="360" w:lineRule="auto"/>
        <w:jc w:val="both"/>
        <w:rPr>
          <w:rFonts w:eastAsiaTheme="minorEastAsia"/>
          <w:sz w:val="24"/>
          <w:szCs w:val="24"/>
          <w:lang w:val="en-GB"/>
        </w:rPr>
      </w:pPr>
      <w:r w:rsidRPr="001A1B65">
        <w:rPr>
          <w:rFonts w:eastAsiaTheme="minorEastAsia"/>
          <w:sz w:val="24"/>
          <w:szCs w:val="24"/>
          <w:lang w:val="en-GB"/>
        </w:rPr>
        <w:t xml:space="preserve">Where </w:t>
      </w:r>
      <m:oMath>
        <m:r>
          <w:rPr>
            <w:rFonts w:ascii="Cambria Math" w:eastAsiaTheme="minorEastAsia" w:hAnsi="Cambria Math"/>
            <w:sz w:val="24"/>
            <w:szCs w:val="24"/>
            <w:lang w:val="en-GB"/>
          </w:rPr>
          <m:t xml:space="preserve">D, V, k, ka and </m:t>
        </m:r>
        <m:sSub>
          <m:sSubPr>
            <m:ctrlPr>
              <w:rPr>
                <w:rFonts w:ascii="Cambria Math" w:eastAsiaTheme="minorEastAsia" w:hAnsi="Cambria Math"/>
                <w:i/>
                <w:sz w:val="24"/>
                <w:szCs w:val="24"/>
                <w:lang w:val="en-GB"/>
              </w:rPr>
            </m:ctrlPr>
          </m:sSubPr>
          <m:e>
            <m:r>
              <w:rPr>
                <w:rFonts w:ascii="Cambria Math" w:eastAsiaTheme="minorEastAsia" w:hAnsi="Cambria Math"/>
                <w:sz w:val="24"/>
                <w:szCs w:val="24"/>
                <w:lang w:val="en-GB"/>
              </w:rPr>
              <m:t>t</m:t>
            </m:r>
          </m:e>
          <m:sub>
            <m:r>
              <w:rPr>
                <w:rFonts w:ascii="Cambria Math" w:eastAsiaTheme="minorEastAsia" w:hAnsi="Cambria Math"/>
                <w:sz w:val="24"/>
                <w:szCs w:val="24"/>
                <w:lang w:val="en-GB"/>
              </w:rPr>
              <m:t>d</m:t>
            </m:r>
          </m:sub>
        </m:sSub>
      </m:oMath>
      <w:r w:rsidRPr="001A1B65">
        <w:rPr>
          <w:rFonts w:eastAsiaTheme="minorEastAsia"/>
          <w:sz w:val="24"/>
          <w:szCs w:val="24"/>
          <w:lang w:val="en-GB"/>
        </w:rPr>
        <w:t xml:space="preserve"> are the dose administered, the volume of distribution, the elimination rate, the absorption rate and the initiation of treatment</w:t>
      </w:r>
      <w:r>
        <w:rPr>
          <w:rFonts w:eastAsiaTheme="minorEastAsia"/>
          <w:sz w:val="24"/>
          <w:szCs w:val="24"/>
          <w:lang w:val="en-GB"/>
        </w:rPr>
        <w:t>,</w:t>
      </w:r>
      <w:r w:rsidRPr="001A1B65">
        <w:rPr>
          <w:rFonts w:eastAsiaTheme="minorEastAsia"/>
          <w:sz w:val="24"/>
          <w:szCs w:val="24"/>
          <w:lang w:val="en-GB"/>
        </w:rPr>
        <w:t xml:space="preserve"> </w:t>
      </w:r>
      <w:proofErr w:type="gramStart"/>
      <w:r w:rsidRPr="001A1B65">
        <w:rPr>
          <w:rFonts w:eastAsiaTheme="minorEastAsia"/>
          <w:sz w:val="24"/>
          <w:szCs w:val="24"/>
          <w:lang w:val="en-GB"/>
        </w:rPr>
        <w:t>respectively.</w:t>
      </w:r>
      <w:proofErr w:type="gramEnd"/>
      <w:r w:rsidRPr="001A1B65">
        <w:rPr>
          <w:rFonts w:eastAsiaTheme="minorEastAsia"/>
          <w:sz w:val="24"/>
          <w:szCs w:val="24"/>
          <w:lang w:val="en-GB"/>
        </w:rPr>
        <w:t xml:space="preserve"> </w:t>
      </w:r>
      <w:r>
        <w:rPr>
          <w:rFonts w:eastAsiaTheme="minorEastAsia"/>
          <w:sz w:val="24"/>
          <w:szCs w:val="24"/>
          <w:lang w:val="en-GB"/>
        </w:rPr>
        <w:t>As the absorption phase could not be estimated</w:t>
      </w:r>
      <w:r w:rsidRPr="001A1B65">
        <w:rPr>
          <w:rFonts w:eastAsiaTheme="minorEastAsia"/>
          <w:sz w:val="24"/>
          <w:szCs w:val="24"/>
          <w:lang w:val="en-GB"/>
        </w:rPr>
        <w:t xml:space="preserve">, we fixed </w:t>
      </w:r>
      <w:r>
        <w:rPr>
          <w:rFonts w:eastAsiaTheme="minorEastAsia"/>
          <w:sz w:val="24"/>
          <w:szCs w:val="24"/>
          <w:lang w:val="en-GB"/>
        </w:rPr>
        <w:t>k</w:t>
      </w:r>
      <w:r w:rsidRPr="00BF02D3">
        <w:rPr>
          <w:rFonts w:eastAsiaTheme="minorEastAsia"/>
          <w:sz w:val="24"/>
          <w:szCs w:val="24"/>
          <w:vertAlign w:val="subscript"/>
          <w:lang w:val="en-GB"/>
        </w:rPr>
        <w:t>a</w:t>
      </w:r>
      <w:r w:rsidRPr="001A1B65">
        <w:rPr>
          <w:rFonts w:eastAsiaTheme="minorEastAsia"/>
          <w:sz w:val="24"/>
          <w:szCs w:val="24"/>
          <w:lang w:val="en-GB"/>
        </w:rPr>
        <w:t xml:space="preserve"> </w:t>
      </w:r>
      <m:oMath>
        <m:r>
          <w:rPr>
            <w:rFonts w:ascii="Cambria Math" w:eastAsiaTheme="minorEastAsia" w:hAnsi="Cambria Math"/>
            <w:sz w:val="24"/>
            <w:szCs w:val="24"/>
            <w:lang w:val="en-GB"/>
          </w:rPr>
          <m:t xml:space="preserve">=4.45 </m:t>
        </m:r>
        <m:sSup>
          <m:sSupPr>
            <m:ctrlPr>
              <w:rPr>
                <w:rFonts w:ascii="Cambria Math" w:eastAsiaTheme="minorEastAsia" w:hAnsi="Cambria Math"/>
                <w:i/>
                <w:sz w:val="24"/>
                <w:szCs w:val="24"/>
                <w:lang w:val="en-GB"/>
              </w:rPr>
            </m:ctrlPr>
          </m:sSupPr>
          <m:e>
            <m:r>
              <w:rPr>
                <w:rFonts w:ascii="Cambria Math" w:eastAsiaTheme="minorEastAsia" w:hAnsi="Cambria Math"/>
                <w:sz w:val="24"/>
                <w:szCs w:val="24"/>
                <w:lang w:val="en-GB"/>
              </w:rPr>
              <m:t>d</m:t>
            </m:r>
          </m:e>
          <m:sup>
            <m:r>
              <w:rPr>
                <w:rFonts w:ascii="Cambria Math" w:eastAsiaTheme="minorEastAsia" w:hAnsi="Cambria Math"/>
                <w:sz w:val="24"/>
                <w:szCs w:val="24"/>
                <w:lang w:val="en-GB"/>
              </w:rPr>
              <m:t>-1</m:t>
            </m:r>
          </m:sup>
        </m:sSup>
      </m:oMath>
      <w:r>
        <w:rPr>
          <w:rFonts w:eastAsiaTheme="minorEastAsia"/>
          <w:sz w:val="24"/>
          <w:szCs w:val="24"/>
          <w:lang w:val="en-GB"/>
        </w:rPr>
        <w:t xml:space="preserve">, which corresponds to a </w:t>
      </w:r>
      <m:oMath>
        <m:sSub>
          <m:sSubPr>
            <m:ctrlPr>
              <w:rPr>
                <w:rFonts w:ascii="Cambria Math" w:eastAsiaTheme="minorEastAsia" w:hAnsi="Cambria Math"/>
                <w:i/>
                <w:sz w:val="24"/>
                <w:szCs w:val="24"/>
                <w:lang w:val="en-GB"/>
              </w:rPr>
            </m:ctrlPr>
          </m:sSubPr>
          <m:e>
            <m:r>
              <w:rPr>
                <w:rFonts w:ascii="Cambria Math" w:eastAsiaTheme="minorEastAsia" w:hAnsi="Cambria Math"/>
                <w:sz w:val="24"/>
                <w:szCs w:val="24"/>
                <w:lang w:val="en-GB"/>
              </w:rPr>
              <m:t>T</m:t>
            </m:r>
          </m:e>
          <m:sub>
            <m:r>
              <w:rPr>
                <w:rFonts w:ascii="Cambria Math" w:eastAsiaTheme="minorEastAsia" w:hAnsi="Cambria Math"/>
                <w:sz w:val="24"/>
                <w:szCs w:val="24"/>
                <w:lang w:val="en-GB"/>
              </w:rPr>
              <m:t>max</m:t>
            </m:r>
          </m:sub>
        </m:sSub>
      </m:oMath>
      <w:r>
        <w:rPr>
          <w:rFonts w:eastAsiaTheme="minorEastAsia"/>
          <w:sz w:val="24"/>
          <w:szCs w:val="24"/>
          <w:lang w:val="en-GB"/>
        </w:rPr>
        <w:t xml:space="preserve"> of 1 </w:t>
      </w:r>
      <m:oMath>
        <m:r>
          <w:rPr>
            <w:rFonts w:ascii="Cambria Math" w:eastAsiaTheme="minorEastAsia" w:hAnsi="Cambria Math"/>
            <w:sz w:val="24"/>
            <w:szCs w:val="24"/>
            <w:lang w:val="en-GB"/>
          </w:rPr>
          <m:t>d</m:t>
        </m:r>
      </m:oMath>
      <w:r>
        <w:rPr>
          <w:rFonts w:eastAsiaTheme="minorEastAsia"/>
          <w:sz w:val="24"/>
          <w:szCs w:val="24"/>
          <w:lang w:val="en-GB"/>
        </w:rPr>
        <w:t>, a</w:t>
      </w:r>
      <w:r w:rsidRPr="001A1B65">
        <w:rPr>
          <w:rFonts w:eastAsiaTheme="minorEastAsia"/>
          <w:sz w:val="24"/>
          <w:szCs w:val="24"/>
          <w:lang w:val="en-GB"/>
        </w:rPr>
        <w:t>s observed in the data.</w:t>
      </w:r>
    </w:p>
    <w:p w14:paraId="5EBC00B3" w14:textId="77777777" w:rsidR="00772160" w:rsidRPr="001A1B65" w:rsidRDefault="00772160" w:rsidP="00772160">
      <w:pPr>
        <w:spacing w:line="360" w:lineRule="auto"/>
        <w:jc w:val="both"/>
        <w:rPr>
          <w:rFonts w:eastAsiaTheme="minorEastAsia"/>
          <w:sz w:val="24"/>
          <w:szCs w:val="24"/>
          <w:lang w:val="en-GB"/>
        </w:rPr>
      </w:pPr>
    </w:p>
    <w:p w14:paraId="6D73BCC0" w14:textId="77777777" w:rsidR="00772160" w:rsidRPr="00752561" w:rsidRDefault="00772160" w:rsidP="00772160">
      <w:pPr>
        <w:spacing w:line="360" w:lineRule="auto"/>
        <w:jc w:val="both"/>
        <w:rPr>
          <w:rFonts w:eastAsiaTheme="minorEastAsia"/>
          <w:b/>
          <w:bCs/>
          <w:iCs/>
          <w:sz w:val="24"/>
          <w:szCs w:val="24"/>
          <w:lang w:val="en-GB"/>
        </w:rPr>
      </w:pPr>
      <w:r w:rsidRPr="00752561">
        <w:rPr>
          <w:rFonts w:eastAsiaTheme="minorEastAsia"/>
          <w:b/>
          <w:bCs/>
          <w:iCs/>
          <w:sz w:val="24"/>
          <w:szCs w:val="24"/>
          <w:lang w:val="en-GB"/>
        </w:rPr>
        <w:t>Concentration-Effect relationship (PK/PD)</w:t>
      </w:r>
    </w:p>
    <w:p w14:paraId="0C1CF6E8" w14:textId="77777777" w:rsidR="00772160" w:rsidRPr="001A1B65" w:rsidRDefault="00772160" w:rsidP="00772160">
      <w:pPr>
        <w:spacing w:line="360" w:lineRule="auto"/>
        <w:jc w:val="both"/>
        <w:rPr>
          <w:rFonts w:eastAsiaTheme="minorEastAsia"/>
          <w:sz w:val="24"/>
          <w:szCs w:val="24"/>
          <w:lang w:val="en-GB"/>
        </w:rPr>
      </w:pPr>
      <w:r w:rsidRPr="001A1B65">
        <w:rPr>
          <w:rFonts w:eastAsiaTheme="minorEastAsia"/>
          <w:sz w:val="24"/>
          <w:szCs w:val="24"/>
          <w:lang w:val="en-GB"/>
        </w:rPr>
        <w:t>To describe the interaction between the neutralizing antibody concentration and its efficacy, we use</w:t>
      </w:r>
      <w:r>
        <w:rPr>
          <w:rFonts w:eastAsiaTheme="minorEastAsia"/>
          <w:sz w:val="24"/>
          <w:szCs w:val="24"/>
          <w:lang w:val="en-GB"/>
        </w:rPr>
        <w:t>d</w:t>
      </w:r>
      <w:r w:rsidRPr="001A1B65">
        <w:rPr>
          <w:rFonts w:eastAsiaTheme="minorEastAsia"/>
          <w:sz w:val="24"/>
          <w:szCs w:val="24"/>
          <w:lang w:val="en-GB"/>
        </w:rPr>
        <w:t xml:space="preserve"> an </w:t>
      </w:r>
      <m:oMath>
        <m:sSub>
          <m:sSubPr>
            <m:ctrlPr>
              <w:rPr>
                <w:rFonts w:ascii="Cambria Math" w:eastAsiaTheme="minorEastAsia" w:hAnsi="Cambria Math"/>
                <w:i/>
                <w:sz w:val="24"/>
                <w:szCs w:val="24"/>
                <w:lang w:val="en-GB"/>
              </w:rPr>
            </m:ctrlPr>
          </m:sSubPr>
          <m:e>
            <m:r>
              <w:rPr>
                <w:rFonts w:ascii="Cambria Math" w:eastAsiaTheme="minorEastAsia" w:hAnsi="Cambria Math"/>
                <w:sz w:val="24"/>
                <w:szCs w:val="24"/>
                <w:lang w:val="en-GB"/>
              </w:rPr>
              <m:t>E</m:t>
            </m:r>
          </m:e>
          <m:sub>
            <m:r>
              <w:rPr>
                <w:rFonts w:ascii="Cambria Math" w:eastAsiaTheme="minorEastAsia" w:hAnsi="Cambria Math"/>
                <w:sz w:val="24"/>
                <w:szCs w:val="24"/>
                <w:lang w:val="en-GB"/>
              </w:rPr>
              <m:t>max</m:t>
            </m:r>
          </m:sub>
        </m:sSub>
      </m:oMath>
      <w:r w:rsidRPr="001A1B65">
        <w:rPr>
          <w:rFonts w:eastAsiaTheme="minorEastAsia"/>
          <w:sz w:val="24"/>
          <w:szCs w:val="24"/>
          <w:lang w:val="en-GB"/>
        </w:rPr>
        <w:t xml:space="preserve"> model, where the efficacy is linked to the antibody</w:t>
      </w:r>
      <w:r>
        <w:rPr>
          <w:rFonts w:eastAsiaTheme="minorEastAsia"/>
          <w:sz w:val="24"/>
          <w:szCs w:val="24"/>
          <w:lang w:val="en-GB"/>
        </w:rPr>
        <w:t xml:space="preserve"> plasma</w:t>
      </w:r>
      <w:r w:rsidRPr="001A1B65">
        <w:rPr>
          <w:rFonts w:eastAsiaTheme="minorEastAsia"/>
          <w:sz w:val="24"/>
          <w:szCs w:val="24"/>
          <w:lang w:val="en-GB"/>
        </w:rPr>
        <w:t xml:space="preserve"> concentration as:</w:t>
      </w:r>
    </w:p>
    <w:p w14:paraId="4E38DE26" w14:textId="77777777" w:rsidR="00772160" w:rsidRPr="001A1B65" w:rsidRDefault="00772160" w:rsidP="00772160">
      <w:pPr>
        <w:spacing w:line="360" w:lineRule="auto"/>
        <w:jc w:val="both"/>
        <w:rPr>
          <w:rFonts w:eastAsiaTheme="minorEastAsia"/>
          <w:sz w:val="24"/>
          <w:szCs w:val="24"/>
          <w:lang w:val="en-GB"/>
        </w:rPr>
      </w:pPr>
      <m:oMath>
        <m:sSup>
          <m:sSupPr>
            <m:ctrlPr>
              <w:rPr>
                <w:rFonts w:ascii="Cambria Math" w:eastAsiaTheme="minorEastAsia" w:hAnsi="Cambria Math"/>
                <w:i/>
                <w:sz w:val="24"/>
                <w:szCs w:val="24"/>
                <w:lang w:val="en-GB"/>
              </w:rPr>
            </m:ctrlPr>
          </m:sSupPr>
          <m:e>
            <m:r>
              <w:rPr>
                <w:rFonts w:ascii="Cambria Math" w:eastAsiaTheme="minorEastAsia" w:hAnsi="Cambria Math"/>
                <w:sz w:val="24"/>
                <w:szCs w:val="24"/>
                <w:lang w:val="en-GB"/>
              </w:rPr>
              <m:t>η(t)</m:t>
            </m:r>
          </m:e>
          <m:sup>
            <m:r>
              <w:rPr>
                <w:rFonts w:ascii="Cambria Math" w:eastAsiaTheme="minorEastAsia" w:hAnsi="Cambria Math"/>
                <w:sz w:val="24"/>
                <w:szCs w:val="24"/>
                <w:lang w:val="en-GB"/>
              </w:rPr>
              <m:t>x</m:t>
            </m:r>
          </m:sup>
        </m:sSup>
        <m:r>
          <w:rPr>
            <w:rFonts w:ascii="Cambria Math" w:eastAsiaTheme="minorEastAsia" w:hAnsi="Cambria Math"/>
            <w:sz w:val="24"/>
            <w:szCs w:val="24"/>
            <w:lang w:val="en-GB"/>
          </w:rPr>
          <m:t>=</m:t>
        </m:r>
        <m:f>
          <m:fPr>
            <m:ctrlPr>
              <w:rPr>
                <w:rFonts w:ascii="Cambria Math" w:eastAsiaTheme="minorEastAsia" w:hAnsi="Cambria Math"/>
                <w:i/>
                <w:sz w:val="24"/>
                <w:szCs w:val="24"/>
                <w:lang w:val="en-GB"/>
              </w:rPr>
            </m:ctrlPr>
          </m:fPr>
          <m:num>
            <m:r>
              <w:rPr>
                <w:rFonts w:ascii="Cambria Math" w:eastAsiaTheme="minorEastAsia" w:hAnsi="Cambria Math"/>
                <w:sz w:val="24"/>
                <w:szCs w:val="24"/>
                <w:lang w:val="en-GB"/>
              </w:rPr>
              <m:t>C(t)</m:t>
            </m:r>
          </m:num>
          <m:den>
            <m:sSubSup>
              <m:sSubSupPr>
                <m:ctrlPr>
                  <w:rPr>
                    <w:rFonts w:ascii="Cambria Math" w:eastAsiaTheme="minorEastAsia" w:hAnsi="Cambria Math"/>
                    <w:i/>
                    <w:sz w:val="24"/>
                    <w:szCs w:val="24"/>
                    <w:lang w:val="en-GB"/>
                  </w:rPr>
                </m:ctrlPr>
              </m:sSubSupPr>
              <m:e>
                <m:r>
                  <w:rPr>
                    <w:rFonts w:ascii="Cambria Math" w:eastAsiaTheme="minorEastAsia" w:hAnsi="Cambria Math"/>
                    <w:sz w:val="24"/>
                    <w:szCs w:val="24"/>
                    <w:lang w:val="en-GB"/>
                  </w:rPr>
                  <m:t>EC</m:t>
                </m:r>
              </m:e>
              <m:sub>
                <m:r>
                  <w:rPr>
                    <w:rFonts w:ascii="Cambria Math" w:eastAsiaTheme="minorEastAsia" w:hAnsi="Cambria Math"/>
                    <w:sz w:val="24"/>
                    <w:szCs w:val="24"/>
                    <w:lang w:val="en-GB"/>
                  </w:rPr>
                  <m:t>50</m:t>
                </m:r>
              </m:sub>
              <m:sup>
                <m:r>
                  <w:rPr>
                    <w:rFonts w:ascii="Cambria Math" w:eastAsiaTheme="minorEastAsia" w:hAnsi="Cambria Math"/>
                    <w:sz w:val="24"/>
                    <w:szCs w:val="24"/>
                    <w:lang w:val="en-GB"/>
                  </w:rPr>
                  <m:t>x</m:t>
                </m:r>
              </m:sup>
            </m:sSubSup>
            <m:r>
              <w:rPr>
                <w:rFonts w:ascii="Cambria Math" w:eastAsiaTheme="minorEastAsia" w:hAnsi="Cambria Math"/>
                <w:sz w:val="24"/>
                <w:szCs w:val="24"/>
                <w:lang w:val="en-GB"/>
              </w:rPr>
              <m:t>+C(t)</m:t>
            </m:r>
          </m:den>
        </m:f>
        <m:r>
          <w:rPr>
            <w:rFonts w:ascii="Cambria Math" w:eastAsiaTheme="minorEastAsia" w:hAnsi="Cambria Math"/>
            <w:sz w:val="24"/>
            <w:szCs w:val="24"/>
            <w:lang w:val="en-GB"/>
          </w:rPr>
          <m:t xml:space="preserve">   (8)</m:t>
        </m:r>
      </m:oMath>
      <w:r>
        <w:rPr>
          <w:rFonts w:eastAsiaTheme="minorEastAsia"/>
          <w:sz w:val="24"/>
          <w:szCs w:val="24"/>
          <w:lang w:val="en-GB"/>
        </w:rPr>
        <w:t xml:space="preserve"> </w:t>
      </w:r>
    </w:p>
    <w:p w14:paraId="76AF36A9" w14:textId="77777777" w:rsidR="00772160" w:rsidRPr="00752561" w:rsidRDefault="00772160" w:rsidP="00772160">
      <w:pPr>
        <w:spacing w:line="360" w:lineRule="auto"/>
        <w:jc w:val="both"/>
        <w:rPr>
          <w:rFonts w:eastAsiaTheme="minorEastAsia"/>
          <w:sz w:val="24"/>
          <w:szCs w:val="24"/>
          <w:lang w:val="en-GB"/>
        </w:rPr>
      </w:pPr>
      <w:r w:rsidRPr="001A1B65">
        <w:rPr>
          <w:rFonts w:eastAsiaTheme="minorEastAsia"/>
          <w:sz w:val="24"/>
          <w:szCs w:val="24"/>
          <w:lang w:val="en-GB"/>
        </w:rPr>
        <w:t>Where</w:t>
      </w:r>
      <w:r>
        <w:rPr>
          <w:rFonts w:eastAsiaTheme="minorEastAsia"/>
          <w:sz w:val="24"/>
          <w:szCs w:val="24"/>
          <w:lang w:val="en-GB"/>
        </w:rPr>
        <w:t xml:space="preserve"> </w:t>
      </w:r>
      <m:oMath>
        <m:sSub>
          <m:sSubPr>
            <m:ctrlPr>
              <w:rPr>
                <w:rFonts w:ascii="Cambria Math" w:eastAsiaTheme="minorEastAsia" w:hAnsi="Cambria Math"/>
                <w:i/>
                <w:sz w:val="24"/>
                <w:szCs w:val="24"/>
                <w:lang w:val="en-GB"/>
              </w:rPr>
            </m:ctrlPr>
          </m:sSubPr>
          <m:e>
            <m:r>
              <w:rPr>
                <w:rFonts w:ascii="Cambria Math" w:eastAsiaTheme="minorEastAsia" w:hAnsi="Cambria Math"/>
                <w:sz w:val="24"/>
                <w:szCs w:val="24"/>
                <w:lang w:val="en-GB"/>
              </w:rPr>
              <m:t>EC</m:t>
            </m:r>
          </m:e>
          <m:sub>
            <m:r>
              <w:rPr>
                <w:rFonts w:ascii="Cambria Math" w:eastAsiaTheme="minorEastAsia" w:hAnsi="Cambria Math"/>
                <w:sz w:val="24"/>
                <w:szCs w:val="24"/>
                <w:lang w:val="en-GB"/>
              </w:rPr>
              <m:t>50</m:t>
            </m:r>
          </m:sub>
        </m:sSub>
      </m:oMath>
      <w:r w:rsidRPr="001A1B65">
        <w:rPr>
          <w:rFonts w:eastAsiaTheme="minorEastAsia"/>
          <w:sz w:val="24"/>
          <w:szCs w:val="24"/>
          <w:lang w:val="en-GB"/>
        </w:rPr>
        <w:t xml:space="preserve"> is the</w:t>
      </w:r>
      <w:r>
        <w:rPr>
          <w:rFonts w:eastAsiaTheme="minorEastAsia"/>
          <w:sz w:val="24"/>
          <w:szCs w:val="24"/>
          <w:lang w:val="en-GB"/>
        </w:rPr>
        <w:t xml:space="preserve"> plasma</w:t>
      </w:r>
      <w:r w:rsidRPr="001A1B65">
        <w:rPr>
          <w:rFonts w:eastAsiaTheme="minorEastAsia"/>
          <w:sz w:val="24"/>
          <w:szCs w:val="24"/>
          <w:lang w:val="en-GB"/>
        </w:rPr>
        <w:t xml:space="preserve"> concentration of COVA1-18 required to </w:t>
      </w:r>
      <w:r>
        <w:rPr>
          <w:rFonts w:eastAsiaTheme="minorEastAsia"/>
          <w:sz w:val="24"/>
          <w:szCs w:val="24"/>
          <w:lang w:val="en-GB"/>
        </w:rPr>
        <w:t>reduce</w:t>
      </w:r>
      <w:r w:rsidRPr="001A1B65">
        <w:rPr>
          <w:rFonts w:eastAsiaTheme="minorEastAsia"/>
          <w:sz w:val="24"/>
          <w:szCs w:val="24"/>
          <w:lang w:val="en-GB"/>
        </w:rPr>
        <w:t xml:space="preserve"> infectivity </w:t>
      </w:r>
      <w:proofErr w:type="gramStart"/>
      <w:r w:rsidRPr="001A1B65">
        <w:rPr>
          <w:rFonts w:eastAsiaTheme="minorEastAsia"/>
          <w:sz w:val="24"/>
          <w:szCs w:val="24"/>
          <w:lang w:val="en-GB"/>
        </w:rPr>
        <w:t>by 50%.</w:t>
      </w:r>
      <w:proofErr w:type="gramEnd"/>
      <w:r w:rsidRPr="001A1B65">
        <w:rPr>
          <w:rFonts w:eastAsiaTheme="minorEastAsia"/>
          <w:sz w:val="24"/>
          <w:szCs w:val="24"/>
          <w:lang w:val="en-GB"/>
        </w:rPr>
        <w:t xml:space="preserve"> </w:t>
      </w:r>
      <w:r>
        <w:rPr>
          <w:rFonts w:eastAsiaTheme="minorEastAsia"/>
          <w:sz w:val="24"/>
          <w:szCs w:val="24"/>
          <w:lang w:val="en-GB"/>
        </w:rPr>
        <w:t xml:space="preserve">Because the drug concentration, and hence the drug efficacy, is time-dependent, we </w:t>
      </w:r>
      <w:r w:rsidRPr="001A1B65">
        <w:rPr>
          <w:rFonts w:eastAsiaTheme="minorEastAsia"/>
          <w:sz w:val="24"/>
          <w:szCs w:val="24"/>
          <w:lang w:val="en-GB"/>
        </w:rPr>
        <w:t>calculated</w:t>
      </w:r>
      <w:r>
        <w:rPr>
          <w:rFonts w:eastAsiaTheme="minorEastAsia"/>
          <w:sz w:val="24"/>
          <w:szCs w:val="24"/>
          <w:lang w:val="en-GB"/>
        </w:rPr>
        <w:t xml:space="preserve"> </w:t>
      </w:r>
      <w:r w:rsidRPr="001A1B65">
        <w:rPr>
          <w:rFonts w:eastAsiaTheme="minorEastAsia"/>
          <w:sz w:val="24"/>
          <w:szCs w:val="24"/>
          <w:lang w:val="en-GB"/>
        </w:rPr>
        <w:t xml:space="preserve">the mean individual efficacy </w:t>
      </w:r>
      <w:r>
        <w:rPr>
          <w:rFonts w:eastAsiaTheme="minorEastAsia"/>
          <w:sz w:val="24"/>
          <w:szCs w:val="24"/>
          <w:lang w:val="en-GB"/>
        </w:rPr>
        <w:t xml:space="preserve">over the first 10 days of infection as given by </w:t>
      </w:r>
      <m:oMath>
        <m:sSubSup>
          <m:sSubSupPr>
            <m:ctrlPr>
              <w:rPr>
                <w:rFonts w:ascii="Cambria Math" w:eastAsiaTheme="minorEastAsia" w:hAnsi="Cambria Math"/>
                <w:i/>
                <w:sz w:val="24"/>
                <w:szCs w:val="24"/>
                <w:lang w:val="en-GB"/>
              </w:rPr>
            </m:ctrlPr>
          </m:sSubSupPr>
          <m:e>
            <m:r>
              <w:rPr>
                <w:rFonts w:ascii="Cambria Math" w:eastAsiaTheme="minorEastAsia" w:hAnsi="Cambria Math"/>
                <w:sz w:val="24"/>
                <w:szCs w:val="24"/>
                <w:lang w:val="en-GB"/>
              </w:rPr>
              <m:t>η</m:t>
            </m:r>
          </m:e>
          <m:sub>
            <m:r>
              <w:rPr>
                <w:rFonts w:ascii="Cambria Math" w:eastAsiaTheme="minorEastAsia" w:hAnsi="Cambria Math"/>
                <w:sz w:val="24"/>
                <w:szCs w:val="24"/>
                <w:lang w:val="en-GB"/>
              </w:rPr>
              <m:t>mean</m:t>
            </m:r>
          </m:sub>
          <m:sup>
            <m:r>
              <w:rPr>
                <w:rFonts w:ascii="Cambria Math" w:eastAsiaTheme="minorEastAsia" w:hAnsi="Cambria Math"/>
                <w:sz w:val="24"/>
                <w:szCs w:val="24"/>
                <w:lang w:val="en-GB"/>
              </w:rPr>
              <m:t>x</m:t>
            </m:r>
          </m:sup>
        </m:sSubSup>
        <m:r>
          <w:rPr>
            <w:rFonts w:ascii="Cambria Math" w:eastAsiaTheme="minorEastAsia" w:hAnsi="Cambria Math"/>
            <w:sz w:val="24"/>
            <w:szCs w:val="24"/>
            <w:lang w:val="en-GB"/>
          </w:rPr>
          <m:t>=</m:t>
        </m:r>
        <m:nary>
          <m:naryPr>
            <m:limLoc m:val="subSup"/>
            <m:ctrlPr>
              <w:rPr>
                <w:rFonts w:ascii="Cambria Math" w:eastAsiaTheme="minorEastAsia" w:hAnsi="Cambria Math"/>
                <w:i/>
                <w:sz w:val="24"/>
                <w:szCs w:val="24"/>
                <w:lang w:val="en-GB"/>
              </w:rPr>
            </m:ctrlPr>
          </m:naryPr>
          <m:sub>
            <m:r>
              <w:rPr>
                <w:rFonts w:ascii="Cambria Math" w:eastAsiaTheme="minorEastAsia" w:hAnsi="Cambria Math"/>
                <w:sz w:val="24"/>
                <w:szCs w:val="24"/>
                <w:lang w:val="en-GB"/>
              </w:rPr>
              <m:t>t=0</m:t>
            </m:r>
          </m:sub>
          <m:sup>
            <m:r>
              <w:rPr>
                <w:rFonts w:ascii="Cambria Math" w:eastAsiaTheme="minorEastAsia" w:hAnsi="Cambria Math"/>
                <w:sz w:val="24"/>
                <w:szCs w:val="24"/>
                <w:lang w:val="en-GB"/>
              </w:rPr>
              <m:t>10</m:t>
            </m:r>
          </m:sup>
          <m:e>
            <m:sSup>
              <m:sSupPr>
                <m:ctrlPr>
                  <w:rPr>
                    <w:rFonts w:ascii="Cambria Math" w:eastAsiaTheme="minorEastAsia" w:hAnsi="Cambria Math"/>
                    <w:i/>
                    <w:sz w:val="24"/>
                    <w:szCs w:val="24"/>
                    <w:lang w:val="en-GB"/>
                  </w:rPr>
                </m:ctrlPr>
              </m:sSupPr>
              <m:e>
                <m:r>
                  <w:rPr>
                    <w:rFonts w:ascii="Cambria Math" w:eastAsiaTheme="minorEastAsia" w:hAnsi="Cambria Math"/>
                    <w:sz w:val="24"/>
                    <w:szCs w:val="24"/>
                    <w:lang w:val="en-GB"/>
                  </w:rPr>
                  <m:t>η(u)</m:t>
                </m:r>
              </m:e>
              <m:sup>
                <m:r>
                  <w:rPr>
                    <w:rFonts w:ascii="Cambria Math" w:eastAsiaTheme="minorEastAsia" w:hAnsi="Cambria Math"/>
                    <w:sz w:val="24"/>
                    <w:szCs w:val="24"/>
                    <w:lang w:val="en-GB"/>
                  </w:rPr>
                  <m:t>x</m:t>
                </m:r>
              </m:sup>
            </m:sSup>
            <m:r>
              <w:rPr>
                <w:rFonts w:ascii="Cambria Math" w:eastAsiaTheme="minorEastAsia" w:hAnsi="Cambria Math"/>
                <w:sz w:val="24"/>
                <w:szCs w:val="24"/>
                <w:lang w:val="en-GB"/>
              </w:rPr>
              <m:t>du</m:t>
            </m:r>
          </m:e>
        </m:nary>
      </m:oMath>
    </w:p>
    <w:p w14:paraId="3AD0EFF3" w14:textId="77777777" w:rsidR="00772160" w:rsidRPr="001A1B65" w:rsidRDefault="00772160" w:rsidP="00772160">
      <w:pPr>
        <w:spacing w:line="360" w:lineRule="auto"/>
        <w:jc w:val="both"/>
        <w:rPr>
          <w:rFonts w:eastAsiaTheme="minorEastAsia"/>
          <w:iCs/>
          <w:sz w:val="24"/>
          <w:szCs w:val="24"/>
          <w:lang w:val="en-GB"/>
        </w:rPr>
      </w:pPr>
    </w:p>
    <w:p w14:paraId="7C920F2C" w14:textId="77777777" w:rsidR="00772160" w:rsidRPr="006C5D92" w:rsidRDefault="00772160" w:rsidP="00772160">
      <w:pPr>
        <w:tabs>
          <w:tab w:val="left" w:pos="3544"/>
        </w:tabs>
        <w:spacing w:line="360" w:lineRule="auto"/>
        <w:jc w:val="both"/>
        <w:rPr>
          <w:b/>
          <w:bCs/>
          <w:iCs/>
          <w:sz w:val="24"/>
          <w:szCs w:val="24"/>
          <w:lang w:val="en-GB"/>
        </w:rPr>
      </w:pPr>
      <w:r w:rsidRPr="006C5D92">
        <w:rPr>
          <w:b/>
          <w:bCs/>
          <w:iCs/>
          <w:sz w:val="24"/>
          <w:szCs w:val="24"/>
          <w:lang w:val="en-GB"/>
        </w:rPr>
        <w:t>Fixed parameters</w:t>
      </w:r>
    </w:p>
    <w:p w14:paraId="0A5CF948" w14:textId="77777777" w:rsidR="00772160" w:rsidRDefault="00772160" w:rsidP="00772160">
      <w:pPr>
        <w:tabs>
          <w:tab w:val="left" w:pos="3544"/>
        </w:tabs>
        <w:spacing w:line="360" w:lineRule="auto"/>
        <w:jc w:val="both"/>
        <w:rPr>
          <w:rFonts w:eastAsiaTheme="minorEastAsia"/>
          <w:sz w:val="24"/>
          <w:szCs w:val="24"/>
          <w:lang w:val="en-GB"/>
        </w:rPr>
      </w:pPr>
      <w:r>
        <w:rPr>
          <w:sz w:val="24"/>
          <w:szCs w:val="24"/>
          <w:lang w:val="en-GB"/>
        </w:rPr>
        <w:lastRenderedPageBreak/>
        <w:t xml:space="preserve">We used the same assumptions as in </w:t>
      </w:r>
      <w:r>
        <w:rPr>
          <w:sz w:val="24"/>
          <w:szCs w:val="24"/>
          <w:lang w:val="en-GB"/>
        </w:rPr>
        <w:fldChar w:fldCharType="begin" w:fldLock="1"/>
      </w:r>
      <w:r>
        <w:rPr>
          <w:sz w:val="24"/>
          <w:szCs w:val="24"/>
          <w:lang w:val="en-GB"/>
        </w:rPr>
        <w:instrText>ADDIN CSL_CITATION {"citationItems":[{"id":"ITEM-1","itemData":{"DOI":"10.21203/rs.3.rs-50301/v1","ISSN":"2693-5015","abstract":"Non-human primates infected with SARS-CoV-2 exhibit mild clinical signs. Here we used a mathematical model to characterize in detail the viral dynamics in 31 cynomolgus macaques infected with 106 pfu of SARS-CoV-2 for which nasopharyngeal and tracheal viral load were frequently assessed. We identified that infected cells had a large daily viral production (&amp;gt;104 virus) and a within-host reproductive basic number of 6 and 4 in nasopharyngeal and tracheal compartment, respectively. After peak viral load, infected cells were rapidly cleared with a half-life of 9 hours, with no significant association between cytokine elevation and clearance. Translating our model to the context of human-to-human infection, human mild infection may be characterized by a peak occurring 4 days after infection, a viral shedding of ~11 days and a generation time of 4 days. These results improve the understanding of SARS-CoV-2 viral replication and better understand the infection to SARS-CoV-2 in humans.","author":[{"dropping-particle":"","family":"Gonçalves","given":"Antonio","non-dropping-particle":"","parse-names":false,"suffix":""},{"dropping-particle":"","family":"Maisonnasse","given":"Pauline","non-dropping-particle":"","parse-names":false,"suffix":""},{"dropping-particle":"","family":"Donati","given":"Flora","non-dropping-particle":"","parse-names":false,"suffix":""},{"dropping-particle":"","family":"Albert","given":"Mélanie","non-dropping-particle":"","parse-names":false,"suffix":""},{"dropping-particle":"","family":"Behillil","given":"Sylvie","non-dropping-particle":"","parse-names":false,"suffix":""},{"dropping-particle":"","family":"Contreras","given":"Vanessa","non-dropping-particle":"","parse-names":false,"suffix":""},{"dropping-particle":"","family":"Naninck","given":"Thibaut","non-dropping-particle":"","parse-names":false,"suffix":""},{"dropping-particle":"","family":"Marlin","given":"Romain","non-dropping-particle":"","parse-names":false,"suffix":""},{"dropping-particle":"","family":"Solas","given":"Caroline","non-dropping-particle":"","parse-names":false,"suffix":""},{"dropping-particle":"","family":"Pizzorno","given":"Andres","non-dropping-particle":"","parse-names":false,"suffix":""},{"dropping-particle":"","family":"Lemaitre","given":"Julien","non-dropping-particle":"","parse-names":false,"suffix":""},{"dropping-particle":"","family":"Kahlaoui","given":"Nidhal","non-dropping-particle":"","parse-names":false,"suffix":""},{"dropping-particle":"","family":"Terrier","given":"Olivier","non-dropping-particle":"","parse-names":false,"suffix":""},{"dropping-particle":"","family":"Fang","given":"Raphael Ho Tsong","non-dropping-particle":"","parse-names":false,"suffix":""},{"dropping-particle":"","family":"Enouf","given":"Vincent","non-dropping-particle":"","parse-names":false,"suffix":""},{"dropping-particle":"","family":"Dereuddre-Bosquet","given":"Nathalie","non-dropping-particle":"","parse-names":false,"suffix":""},{"dropping-particle":"","family":"Brisbarre","given":"Angela","non-dropping-particle":"","parse-names":false,"suffix":""},{"dropping-particle":"","family":"Touret","given":"Franck","non-dropping-particle":"","parse-names":false,"suffix":""},{"dropping-particle":"","family":"Chapon","given":"Catherine","non-dropping-particle":"","parse-names":false,"suffix":""},{"dropping-particle":"","family":"Hoen","given":"Bruno","non-dropping-particle":"","parse-names":false,"suffix":""},{"dropping-particle":"","family":"Lina","given":"Bruno","non-dropping-particle":"","parse-names":false,"suffix":""},{"dropping-particle":"","family":"Rosa-Calatrava","given":"Manuel","non-dropping-particle":"","parse-names":false,"suffix":""},{"dropping-particle":"de","family":"Lamballerie","given":"Xavier","non-dropping-particle":"","parse-names":false,"suffix":""},{"dropping-particle":"","family":"Mentré","given":"France","non-dropping-particle":"","parse-names":false,"suffix":""},{"dropping-particle":"Le","family":"Grand","given":"Roger","non-dropping-particle":"","parse-names":false,"suffix":""},{"dropping-particle":"van der","family":"Werf","given":"Sylvie","non-dropping-particle":"","parse-names":false,"suffix":""},{"dropping-particle":"","family":"Guedj","given":"Jeremie","non-dropping-particle":"","parse-names":false,"suffix":""}],"container-title":"Research Square","id":"ITEM-1","issued":{"date-parts":[["2021"]]},"title":"Viral dynamic modeling of SARS-CoV-2 in non-human primates","type":"article-journal"},"uris":["http://www.mendeley.com/documents/?uuid=c34be388-7e5e-465f-bfea-77da1d798452"]}],"mendeley":{"formattedCitation":"&lt;sup&gt;28&lt;/sup&gt;","plainTextFormattedCitation":"28","previouslyFormattedCitation":"&lt;sup&gt;28&lt;/sup&gt;"},"properties":{"noteIndex":0},"schema":"https://github.com/citation-style-language/schema/raw/master/csl-citation.json"}</w:instrText>
      </w:r>
      <w:r>
        <w:rPr>
          <w:sz w:val="24"/>
          <w:szCs w:val="24"/>
          <w:lang w:val="en-GB"/>
        </w:rPr>
        <w:fldChar w:fldCharType="separate"/>
      </w:r>
      <w:r w:rsidRPr="008B3275">
        <w:rPr>
          <w:noProof/>
          <w:sz w:val="24"/>
          <w:szCs w:val="24"/>
          <w:vertAlign w:val="superscript"/>
          <w:lang w:val="en-GB"/>
        </w:rPr>
        <w:t>28</w:t>
      </w:r>
      <w:r>
        <w:rPr>
          <w:sz w:val="24"/>
          <w:szCs w:val="24"/>
          <w:lang w:val="en-GB"/>
        </w:rPr>
        <w:fldChar w:fldCharType="end"/>
      </w:r>
      <w:r>
        <w:rPr>
          <w:sz w:val="24"/>
          <w:szCs w:val="24"/>
          <w:lang w:val="en-GB"/>
        </w:rPr>
        <w:t xml:space="preserve">.We fixed the </w:t>
      </w:r>
      <m:oMath>
        <m:sSub>
          <m:sSubPr>
            <m:ctrlPr>
              <w:rPr>
                <w:rFonts w:ascii="Cambria Math" w:eastAsiaTheme="minorEastAsia" w:hAnsi="Cambria Math"/>
                <w:i/>
                <w:sz w:val="24"/>
                <w:szCs w:val="24"/>
                <w:lang w:val="en-GB"/>
              </w:rPr>
            </m:ctrlPr>
          </m:sSubPr>
          <m:e>
            <m:r>
              <w:rPr>
                <w:rFonts w:ascii="Cambria Math" w:eastAsiaTheme="minorEastAsia" w:hAnsi="Cambria Math"/>
                <w:sz w:val="24"/>
                <w:szCs w:val="24"/>
                <w:lang w:val="en-GB"/>
              </w:rPr>
              <m:t>T</m:t>
            </m:r>
          </m:e>
          <m:sub>
            <m:r>
              <w:rPr>
                <w:rFonts w:ascii="Cambria Math" w:eastAsiaTheme="minorEastAsia" w:hAnsi="Cambria Math"/>
                <w:sz w:val="24"/>
                <w:szCs w:val="24"/>
                <w:lang w:val="en-GB"/>
              </w:rPr>
              <m:t>N</m:t>
            </m:r>
          </m:sub>
        </m:sSub>
        <m:d>
          <m:dPr>
            <m:ctrlPr>
              <w:rPr>
                <w:rFonts w:ascii="Cambria Math" w:eastAsiaTheme="minorEastAsia" w:hAnsi="Cambria Math"/>
                <w:i/>
                <w:sz w:val="24"/>
                <w:szCs w:val="24"/>
                <w:lang w:val="en-GB"/>
              </w:rPr>
            </m:ctrlPr>
          </m:dPr>
          <m:e>
            <m:r>
              <w:rPr>
                <w:rFonts w:ascii="Cambria Math" w:eastAsiaTheme="minorEastAsia" w:hAnsi="Cambria Math"/>
                <w:sz w:val="24"/>
                <w:szCs w:val="24"/>
                <w:lang w:val="en-GB"/>
              </w:rPr>
              <m:t>t=0</m:t>
            </m:r>
          </m:e>
        </m:d>
        <m:r>
          <w:rPr>
            <w:rFonts w:ascii="Cambria Math" w:eastAsiaTheme="minorEastAsia" w:hAnsi="Cambria Math"/>
            <w:sz w:val="24"/>
            <w:szCs w:val="24"/>
            <w:lang w:val="en-GB"/>
          </w:rPr>
          <m:t>=1.25×</m:t>
        </m:r>
        <m:sSup>
          <m:sSupPr>
            <m:ctrlPr>
              <w:rPr>
                <w:rFonts w:ascii="Cambria Math" w:eastAsiaTheme="minorEastAsia" w:hAnsi="Cambria Math"/>
                <w:i/>
                <w:sz w:val="24"/>
                <w:szCs w:val="24"/>
                <w:lang w:val="en-GB"/>
              </w:rPr>
            </m:ctrlPr>
          </m:sSupPr>
          <m:e>
            <m:r>
              <w:rPr>
                <w:rFonts w:ascii="Cambria Math" w:eastAsiaTheme="minorEastAsia" w:hAnsi="Cambria Math"/>
                <w:sz w:val="24"/>
                <w:szCs w:val="24"/>
                <w:lang w:val="en-GB"/>
              </w:rPr>
              <m:t>10</m:t>
            </m:r>
          </m:e>
          <m:sup>
            <m:r>
              <w:rPr>
                <w:rFonts w:ascii="Cambria Math" w:eastAsiaTheme="minorEastAsia" w:hAnsi="Cambria Math"/>
                <w:sz w:val="24"/>
                <w:szCs w:val="24"/>
                <w:lang w:val="en-GB"/>
              </w:rPr>
              <m:t>5</m:t>
            </m:r>
          </m:sup>
        </m:sSup>
      </m:oMath>
      <w:r w:rsidRPr="001A1B65">
        <w:rPr>
          <w:rFonts w:eastAsiaTheme="minorEastAsia"/>
          <w:sz w:val="24"/>
          <w:szCs w:val="24"/>
          <w:lang w:val="en-GB"/>
        </w:rPr>
        <w:t xml:space="preserve"> and </w:t>
      </w:r>
      <m:oMath>
        <m:sSub>
          <m:sSubPr>
            <m:ctrlPr>
              <w:rPr>
                <w:rFonts w:ascii="Cambria Math" w:eastAsiaTheme="minorEastAsia" w:hAnsi="Cambria Math"/>
                <w:i/>
                <w:sz w:val="24"/>
                <w:szCs w:val="24"/>
                <w:lang w:val="en-GB"/>
              </w:rPr>
            </m:ctrlPr>
          </m:sSubPr>
          <m:e>
            <m:r>
              <w:rPr>
                <w:rFonts w:ascii="Cambria Math" w:eastAsiaTheme="minorEastAsia" w:hAnsi="Cambria Math"/>
                <w:sz w:val="24"/>
                <w:szCs w:val="24"/>
                <w:lang w:val="en-GB"/>
              </w:rPr>
              <m:t>T</m:t>
            </m:r>
          </m:e>
          <m:sub>
            <m:r>
              <w:rPr>
                <w:rFonts w:ascii="Cambria Math" w:eastAsiaTheme="minorEastAsia" w:hAnsi="Cambria Math"/>
                <w:sz w:val="24"/>
                <w:szCs w:val="24"/>
                <w:lang w:val="en-GB"/>
              </w:rPr>
              <m:t>T</m:t>
            </m:r>
          </m:sub>
        </m:sSub>
        <m:d>
          <m:dPr>
            <m:ctrlPr>
              <w:rPr>
                <w:rFonts w:ascii="Cambria Math" w:eastAsiaTheme="minorEastAsia" w:hAnsi="Cambria Math"/>
                <w:i/>
                <w:sz w:val="24"/>
                <w:szCs w:val="24"/>
                <w:lang w:val="en-GB"/>
              </w:rPr>
            </m:ctrlPr>
          </m:dPr>
          <m:e>
            <m:r>
              <w:rPr>
                <w:rFonts w:ascii="Cambria Math" w:eastAsiaTheme="minorEastAsia" w:hAnsi="Cambria Math"/>
                <w:sz w:val="24"/>
                <w:szCs w:val="24"/>
                <w:lang w:val="en-GB"/>
              </w:rPr>
              <m:t>t=0</m:t>
            </m:r>
          </m:e>
        </m:d>
        <m:r>
          <w:rPr>
            <w:rFonts w:ascii="Cambria Math" w:eastAsiaTheme="minorEastAsia" w:hAnsi="Cambria Math"/>
            <w:sz w:val="24"/>
            <w:szCs w:val="24"/>
            <w:lang w:val="en-GB"/>
          </w:rPr>
          <m:t>=2.25×</m:t>
        </m:r>
        <m:sSup>
          <m:sSupPr>
            <m:ctrlPr>
              <w:rPr>
                <w:rFonts w:ascii="Cambria Math" w:eastAsiaTheme="minorEastAsia" w:hAnsi="Cambria Math"/>
                <w:i/>
                <w:sz w:val="24"/>
                <w:szCs w:val="24"/>
                <w:lang w:val="en-GB"/>
              </w:rPr>
            </m:ctrlPr>
          </m:sSupPr>
          <m:e>
            <m:r>
              <w:rPr>
                <w:rFonts w:ascii="Cambria Math" w:eastAsiaTheme="minorEastAsia" w:hAnsi="Cambria Math"/>
                <w:sz w:val="24"/>
                <w:szCs w:val="24"/>
                <w:lang w:val="en-GB"/>
              </w:rPr>
              <m:t>10</m:t>
            </m:r>
          </m:e>
          <m:sup>
            <m:r>
              <w:rPr>
                <w:rFonts w:ascii="Cambria Math" w:eastAsiaTheme="minorEastAsia" w:hAnsi="Cambria Math"/>
                <w:sz w:val="24"/>
                <w:szCs w:val="24"/>
                <w:lang w:val="en-GB"/>
              </w:rPr>
              <m:t>4</m:t>
            </m:r>
          </m:sup>
        </m:sSup>
      </m:oMath>
      <w:r w:rsidRPr="001A1B65">
        <w:rPr>
          <w:rFonts w:eastAsiaTheme="minorEastAsia"/>
          <w:sz w:val="24"/>
          <w:szCs w:val="24"/>
          <w:lang w:val="en-GB"/>
        </w:rPr>
        <w:t xml:space="preserve"> cells in nasopharynx and trachea respectively. Second, we assumed the proportion of infectious viruses </w:t>
      </w:r>
      <m:oMath>
        <m:r>
          <w:rPr>
            <w:rFonts w:ascii="Cambria Math" w:eastAsiaTheme="minorEastAsia" w:hAnsi="Cambria Math"/>
            <w:sz w:val="24"/>
            <w:szCs w:val="24"/>
            <w:lang w:val="en-GB"/>
          </w:rPr>
          <m:t>μ</m:t>
        </m:r>
      </m:oMath>
      <w:r w:rsidRPr="001A1B65">
        <w:rPr>
          <w:rFonts w:eastAsiaTheme="minorEastAsia"/>
          <w:sz w:val="24"/>
          <w:szCs w:val="24"/>
          <w:lang w:val="en-GB"/>
        </w:rPr>
        <w:t xml:space="preserve"> remained constant over time and equal to </w:t>
      </w:r>
      <m:oMath>
        <m:sSup>
          <m:sSupPr>
            <m:ctrlPr>
              <w:rPr>
                <w:rFonts w:ascii="Cambria Math" w:eastAsiaTheme="minorEastAsia" w:hAnsi="Cambria Math"/>
                <w:i/>
                <w:sz w:val="24"/>
                <w:szCs w:val="24"/>
                <w:lang w:val="en-GB"/>
              </w:rPr>
            </m:ctrlPr>
          </m:sSupPr>
          <m:e>
            <m:r>
              <w:rPr>
                <w:rFonts w:ascii="Cambria Math" w:eastAsiaTheme="minorEastAsia" w:hAnsi="Cambria Math"/>
                <w:sz w:val="24"/>
                <w:szCs w:val="24"/>
                <w:lang w:val="en-GB"/>
              </w:rPr>
              <m:t>10</m:t>
            </m:r>
          </m:e>
          <m:sup>
            <m:r>
              <w:rPr>
                <w:rFonts w:ascii="Cambria Math" w:eastAsiaTheme="minorEastAsia" w:hAnsi="Cambria Math"/>
                <w:sz w:val="24"/>
                <w:szCs w:val="24"/>
                <w:lang w:val="en-GB"/>
              </w:rPr>
              <m:t>-4</m:t>
            </m:r>
          </m:sup>
        </m:sSup>
      </m:oMath>
      <w:r w:rsidRPr="001A1B65">
        <w:rPr>
          <w:rFonts w:eastAsiaTheme="minorEastAsia"/>
          <w:sz w:val="24"/>
          <w:szCs w:val="24"/>
          <w:lang w:val="en-GB"/>
        </w:rPr>
        <w:t xml:space="preserve">.Third, we fixed the eclipse phase duration to </w:t>
      </w:r>
      <m:oMath>
        <m:r>
          <w:rPr>
            <w:rFonts w:ascii="Cambria Math" w:eastAsiaTheme="minorEastAsia" w:hAnsi="Cambria Math"/>
            <w:sz w:val="24"/>
            <w:szCs w:val="24"/>
            <w:lang w:val="en-GB"/>
          </w:rPr>
          <m:t xml:space="preserve">k=3 </m:t>
        </m:r>
        <m:sSup>
          <m:sSupPr>
            <m:ctrlPr>
              <w:rPr>
                <w:rFonts w:ascii="Cambria Math" w:eastAsiaTheme="minorEastAsia" w:hAnsi="Cambria Math"/>
                <w:i/>
                <w:sz w:val="24"/>
                <w:szCs w:val="24"/>
                <w:lang w:val="en-GB"/>
              </w:rPr>
            </m:ctrlPr>
          </m:sSupPr>
          <m:e>
            <m:r>
              <w:rPr>
                <w:rFonts w:ascii="Cambria Math" w:eastAsiaTheme="minorEastAsia" w:hAnsi="Cambria Math"/>
                <w:sz w:val="24"/>
                <w:szCs w:val="24"/>
                <w:lang w:val="en-GB"/>
              </w:rPr>
              <m:t>day</m:t>
            </m:r>
          </m:e>
          <m:sup>
            <m:r>
              <w:rPr>
                <w:rFonts w:ascii="Cambria Math" w:eastAsiaTheme="minorEastAsia" w:hAnsi="Cambria Math"/>
                <w:sz w:val="24"/>
                <w:szCs w:val="24"/>
                <w:lang w:val="en-GB"/>
              </w:rPr>
              <m:t>-1</m:t>
            </m:r>
          </m:sup>
        </m:sSup>
      </m:oMath>
      <w:r w:rsidRPr="001A1B65">
        <w:rPr>
          <w:rFonts w:eastAsiaTheme="minorEastAsia"/>
          <w:sz w:val="24"/>
          <w:szCs w:val="24"/>
          <w:lang w:val="en-GB"/>
        </w:rPr>
        <w:t xml:space="preserve"> and the viral clearance </w:t>
      </w:r>
      <m:oMath>
        <m:r>
          <w:rPr>
            <w:rFonts w:ascii="Cambria Math" w:eastAsiaTheme="minorEastAsia" w:hAnsi="Cambria Math"/>
            <w:sz w:val="24"/>
            <w:szCs w:val="24"/>
            <w:lang w:val="en-GB"/>
          </w:rPr>
          <m:t xml:space="preserve">c=10 </m:t>
        </m:r>
        <m:sSup>
          <m:sSupPr>
            <m:ctrlPr>
              <w:rPr>
                <w:rFonts w:ascii="Cambria Math" w:eastAsiaTheme="minorEastAsia" w:hAnsi="Cambria Math"/>
                <w:i/>
                <w:sz w:val="24"/>
                <w:szCs w:val="24"/>
                <w:lang w:val="en-GB"/>
              </w:rPr>
            </m:ctrlPr>
          </m:sSupPr>
          <m:e>
            <m:r>
              <w:rPr>
                <w:rFonts w:ascii="Cambria Math" w:eastAsiaTheme="minorEastAsia" w:hAnsi="Cambria Math"/>
                <w:sz w:val="24"/>
                <w:szCs w:val="24"/>
                <w:lang w:val="en-GB"/>
              </w:rPr>
              <m:t>d</m:t>
            </m:r>
          </m:e>
          <m:sup>
            <m:r>
              <w:rPr>
                <w:rFonts w:ascii="Cambria Math" w:eastAsiaTheme="minorEastAsia" w:hAnsi="Cambria Math"/>
                <w:sz w:val="24"/>
                <w:szCs w:val="24"/>
                <w:lang w:val="en-GB"/>
              </w:rPr>
              <m:t>-1</m:t>
            </m:r>
          </m:sup>
        </m:sSup>
      </m:oMath>
      <w:r>
        <w:rPr>
          <w:rFonts w:eastAsiaTheme="minorEastAsia"/>
          <w:sz w:val="24"/>
          <w:szCs w:val="24"/>
          <w:lang w:val="en-GB"/>
        </w:rPr>
        <w:t xml:space="preserve">. </w:t>
      </w:r>
    </w:p>
    <w:p w14:paraId="2BD40105" w14:textId="77777777" w:rsidR="00772160" w:rsidRPr="001A1B65" w:rsidRDefault="00772160" w:rsidP="00772160">
      <w:pPr>
        <w:tabs>
          <w:tab w:val="left" w:pos="3544"/>
        </w:tabs>
        <w:spacing w:line="360" w:lineRule="auto"/>
        <w:jc w:val="both"/>
        <w:rPr>
          <w:rFonts w:eastAsiaTheme="minorEastAsia"/>
          <w:sz w:val="24"/>
          <w:szCs w:val="24"/>
          <w:lang w:val="en-GB"/>
        </w:rPr>
      </w:pPr>
      <w:r w:rsidRPr="001A1B65">
        <w:rPr>
          <w:rFonts w:eastAsiaTheme="minorEastAsia"/>
          <w:sz w:val="24"/>
          <w:szCs w:val="24"/>
          <w:lang w:val="en-GB"/>
        </w:rPr>
        <w:t xml:space="preserve"> </w:t>
      </w:r>
    </w:p>
    <w:p w14:paraId="7F37E9B0" w14:textId="77777777" w:rsidR="00772160" w:rsidRPr="006C5D92" w:rsidRDefault="00772160" w:rsidP="00772160">
      <w:pPr>
        <w:tabs>
          <w:tab w:val="left" w:pos="3544"/>
        </w:tabs>
        <w:spacing w:line="360" w:lineRule="auto"/>
        <w:jc w:val="both"/>
        <w:rPr>
          <w:rFonts w:eastAsiaTheme="minorEastAsia"/>
          <w:b/>
          <w:bCs/>
          <w:iCs/>
          <w:sz w:val="24"/>
          <w:szCs w:val="24"/>
          <w:lang w:val="en-GB"/>
        </w:rPr>
      </w:pPr>
      <w:r w:rsidRPr="006C5D92">
        <w:rPr>
          <w:rFonts w:eastAsiaTheme="minorEastAsia"/>
          <w:b/>
          <w:bCs/>
          <w:iCs/>
          <w:sz w:val="24"/>
          <w:szCs w:val="24"/>
          <w:lang w:val="en-GB"/>
        </w:rPr>
        <w:t>Parameter estimation and statistical methods</w:t>
      </w:r>
    </w:p>
    <w:p w14:paraId="1F0D1314" w14:textId="77777777" w:rsidR="00772160" w:rsidRDefault="00772160" w:rsidP="00772160">
      <w:pPr>
        <w:tabs>
          <w:tab w:val="left" w:pos="3544"/>
        </w:tabs>
        <w:spacing w:line="360" w:lineRule="auto"/>
        <w:jc w:val="both"/>
        <w:rPr>
          <w:rFonts w:eastAsiaTheme="minorEastAsia"/>
          <w:sz w:val="24"/>
          <w:szCs w:val="24"/>
          <w:lang w:val="en-GB"/>
        </w:rPr>
      </w:pPr>
      <w:r w:rsidRPr="001A1B65">
        <w:rPr>
          <w:rFonts w:eastAsiaTheme="minorEastAsia"/>
          <w:sz w:val="24"/>
          <w:szCs w:val="24"/>
          <w:lang w:val="en-GB"/>
        </w:rPr>
        <w:t>Parameter estimation was performed using maximum-likelihood methods using the stochastic approximation expectation-maximisation (SAEM) algorithm implemented in MONOLIX</w:t>
      </w:r>
      <w:r>
        <w:rPr>
          <w:rFonts w:eastAsiaTheme="minorEastAsia"/>
          <w:sz w:val="24"/>
          <w:szCs w:val="24"/>
          <w:lang w:val="en-GB"/>
        </w:rPr>
        <w:fldChar w:fldCharType="begin" w:fldLock="1"/>
      </w:r>
      <w:r>
        <w:rPr>
          <w:rFonts w:eastAsiaTheme="minorEastAsia"/>
          <w:sz w:val="24"/>
          <w:szCs w:val="24"/>
          <w:lang w:val="en-GB"/>
        </w:rPr>
        <w:instrText>ADDIN CSL_CITATION {"citationItems":[{"id":"ITEM-1","itemData":{"DOI":"10.18637/jss.v080.i03","ISSN":"15487660","abstract":"The saemix package for R provides maximum likelihood estimates of parameters in nonlinear mixed effect models, using a modern and efficient estimation algorithm, the stochastic approximation expectation maximisation (SAEM) algorithm. In the present paper we describe the main features of the package, and apply it to several examples to illustrate its use. Making use of S4 classes and methods to provide user-friendly interaction, this package provides a new estimation tool to the R community.","author":[{"dropping-particle":"","family":"Comets","given":"Emmanuelle","non-dropping-particle":"","parse-names":false,"suffix":""},{"dropping-particle":"","family":"Lavenu","given":"Audrey","non-dropping-particle":"","parse-names":false,"suffix":""},{"dropping-particle":"","family":"Lavielle","given":"Marc","non-dropping-particle":"","parse-names":false,"suffix":""}],"container-title":"Journal of Statistical Software","id":"ITEM-1","issued":{"date-parts":[["2017"]]},"title":"Parameter estimation in nonlinear mixed effect models using saemix, an R implementation of the SAEM algorithm","type":"article-journal","volume":"80"},"uris":["http://www.mendeley.com/documents/?uuid=351bd466-2097-348d-93ba-d404667145e5"]},{"id":"ITEM-2","itemData":{"DOI":"10.1214/aos/1018031103","ISSN":"00905364","abstract":"The expectation-maximization (EM) algorithm is a powerful computational technique for locating maxima of functions. It is widely used in statistics for maximum likelihood or maximum a posteriori estimation in incomplete data models. In certain situations, however, this method is not applicable because the expectation step cannot be performed in closed form. To deal with these problems, a novel method is introduced, the stochastic approximation EM (SAEM), which replaces the expectation step of the EM algorithm by one iteration of a stochastic approximation procedure The convergence of the SAEM algorithm is established under conditions that are applicable to many practical situations. Moreover, it is proved that, under mild additional conditions, the attractive stationary points of the SAEM algorithm correspond to the local maxima of the function, presented to support our findings.","author":[{"dropping-particle":"","family":"Delyon","given":"Bernard","non-dropping-particle":"","parse-names":false,"suffix":""},{"dropping-particle":"","family":"Lavielle","given":"Marc","non-dropping-particle":"","parse-names":false,"suffix":""},{"dropping-particle":"","family":"Moulines","given":"Eric","non-dropping-particle":"","parse-names":false,"suffix":""}],"container-title":"Annals of Statistics","id":"ITEM-2","issue":"1","issued":{"date-parts":[["1999"]]},"title":"Convergence of a stochastic approximation version of the EM algorithm","type":"article-journal","volume":"27"},"uris":["http://www.mendeley.com/documents/?uuid=0074a912-78e3-3d1f-a75f-d381613918c4"]}],"mendeley":{"formattedCitation":"&lt;sup&gt;56,57&lt;/sup&gt;","plainTextFormattedCitation":"56,57","previouslyFormattedCitation":"&lt;sup&gt;56,57&lt;/sup&gt;"},"properties":{"noteIndex":0},"schema":"https://github.com/citation-style-language/schema/raw/master/csl-citation.json"}</w:instrText>
      </w:r>
      <w:r>
        <w:rPr>
          <w:rFonts w:eastAsiaTheme="minorEastAsia"/>
          <w:sz w:val="24"/>
          <w:szCs w:val="24"/>
          <w:lang w:val="en-GB"/>
        </w:rPr>
        <w:fldChar w:fldCharType="separate"/>
      </w:r>
      <w:r w:rsidRPr="008B3275">
        <w:rPr>
          <w:rFonts w:eastAsiaTheme="minorEastAsia"/>
          <w:noProof/>
          <w:sz w:val="24"/>
          <w:szCs w:val="24"/>
          <w:vertAlign w:val="superscript"/>
          <w:lang w:val="en-GB"/>
        </w:rPr>
        <w:t>56,57</w:t>
      </w:r>
      <w:r>
        <w:rPr>
          <w:rFonts w:eastAsiaTheme="minorEastAsia"/>
          <w:sz w:val="24"/>
          <w:szCs w:val="24"/>
          <w:lang w:val="en-GB"/>
        </w:rPr>
        <w:fldChar w:fldCharType="end"/>
      </w:r>
      <w:r w:rsidRPr="001A1B65">
        <w:rPr>
          <w:rFonts w:eastAsiaTheme="minorEastAsia"/>
          <w:sz w:val="24"/>
          <w:szCs w:val="24"/>
          <w:lang w:val="en-GB"/>
        </w:rPr>
        <w:t>.</w:t>
      </w:r>
    </w:p>
    <w:p w14:paraId="53A1AFC5" w14:textId="77777777" w:rsidR="00772160" w:rsidRDefault="00772160" w:rsidP="00772160">
      <w:pPr>
        <w:tabs>
          <w:tab w:val="left" w:pos="3544"/>
        </w:tabs>
        <w:spacing w:line="360" w:lineRule="auto"/>
        <w:jc w:val="both"/>
        <w:rPr>
          <w:rFonts w:eastAsiaTheme="minorEastAsia"/>
          <w:sz w:val="24"/>
          <w:szCs w:val="24"/>
          <w:lang w:val="en-GB"/>
        </w:rPr>
      </w:pPr>
      <w:r w:rsidRPr="001A1B65">
        <w:rPr>
          <w:rFonts w:eastAsiaTheme="minorEastAsia"/>
          <w:sz w:val="24"/>
          <w:szCs w:val="24"/>
          <w:lang w:val="en-GB"/>
        </w:rPr>
        <w:t xml:space="preserve">The PK/PD model was build using a two-stage approach. We fitted the PK data and injected the individual estimated parameters in the VK model. The estimated parameters for the PK models were </w:t>
      </w:r>
      <m:oMath>
        <m:r>
          <w:rPr>
            <w:rFonts w:ascii="Cambria Math" w:eastAsiaTheme="minorEastAsia" w:hAnsi="Cambria Math"/>
            <w:sz w:val="24"/>
            <w:szCs w:val="24"/>
            <w:lang w:val="en-GB"/>
          </w:rPr>
          <m:t>V</m:t>
        </m:r>
      </m:oMath>
      <w:r w:rsidRPr="001A1B65">
        <w:rPr>
          <w:rFonts w:eastAsiaTheme="minorEastAsia"/>
          <w:sz w:val="24"/>
          <w:szCs w:val="24"/>
          <w:lang w:val="en-GB"/>
        </w:rPr>
        <w:t xml:space="preserve"> and </w:t>
      </w:r>
      <m:oMath>
        <m:r>
          <w:rPr>
            <w:rFonts w:ascii="Cambria Math" w:eastAsiaTheme="minorEastAsia" w:hAnsi="Cambria Math"/>
            <w:sz w:val="24"/>
            <w:szCs w:val="24"/>
            <w:lang w:val="en-GB"/>
          </w:rPr>
          <m:t>k</m:t>
        </m:r>
      </m:oMath>
      <w:r w:rsidRPr="001A1B65">
        <w:rPr>
          <w:rFonts w:eastAsiaTheme="minorEastAsia"/>
          <w:sz w:val="24"/>
          <w:szCs w:val="24"/>
          <w:lang w:val="en-GB"/>
        </w:rPr>
        <w:t xml:space="preserve">, and the estimated parameters for the VK model were </w:t>
      </w:r>
      <m:oMath>
        <m:r>
          <w:rPr>
            <w:rFonts w:ascii="Cambria Math" w:eastAsiaTheme="minorEastAsia" w:hAnsi="Cambria Math"/>
            <w:sz w:val="24"/>
            <w:szCs w:val="24"/>
            <w:lang w:val="en-GB"/>
          </w:rPr>
          <m:t>f,</m:t>
        </m:r>
        <m:sSubSup>
          <m:sSubSupPr>
            <m:ctrlPr>
              <w:rPr>
                <w:rFonts w:ascii="Cambria Math" w:eastAsiaTheme="minorEastAsia" w:hAnsi="Cambria Math"/>
                <w:i/>
                <w:sz w:val="24"/>
                <w:szCs w:val="24"/>
                <w:lang w:val="en-GB"/>
              </w:rPr>
            </m:ctrlPr>
          </m:sSubSupPr>
          <m:e>
            <m:r>
              <w:rPr>
                <w:rFonts w:ascii="Cambria Math" w:eastAsiaTheme="minorEastAsia" w:hAnsi="Cambria Math"/>
                <w:sz w:val="24"/>
                <w:szCs w:val="24"/>
                <w:lang w:val="en-GB"/>
              </w:rPr>
              <m:t>EC</m:t>
            </m:r>
          </m:e>
          <m:sub>
            <m:r>
              <w:rPr>
                <w:rFonts w:ascii="Cambria Math" w:eastAsiaTheme="minorEastAsia" w:hAnsi="Cambria Math"/>
                <w:sz w:val="24"/>
                <w:szCs w:val="24"/>
                <w:lang w:val="en-GB"/>
              </w:rPr>
              <m:t>50</m:t>
            </m:r>
          </m:sub>
          <m:sup>
            <m:r>
              <w:rPr>
                <w:rFonts w:ascii="Cambria Math" w:eastAsiaTheme="minorEastAsia" w:hAnsi="Cambria Math"/>
                <w:sz w:val="24"/>
                <w:szCs w:val="24"/>
                <w:lang w:val="en-GB"/>
              </w:rPr>
              <m:t>T</m:t>
            </m:r>
          </m:sup>
        </m:sSubSup>
        <m:r>
          <w:rPr>
            <w:rFonts w:ascii="Cambria Math" w:eastAsiaTheme="minorEastAsia" w:hAnsi="Cambria Math"/>
            <w:sz w:val="24"/>
            <w:szCs w:val="24"/>
            <w:lang w:val="en-GB"/>
          </w:rPr>
          <m:t xml:space="preserve">, </m:t>
        </m:r>
        <m:sSubSup>
          <m:sSubSupPr>
            <m:ctrlPr>
              <w:rPr>
                <w:rFonts w:ascii="Cambria Math" w:eastAsiaTheme="minorEastAsia" w:hAnsi="Cambria Math"/>
                <w:i/>
                <w:sz w:val="24"/>
                <w:szCs w:val="24"/>
                <w:lang w:val="en-GB"/>
              </w:rPr>
            </m:ctrlPr>
          </m:sSubSupPr>
          <m:e>
            <m:r>
              <w:rPr>
                <w:rFonts w:ascii="Cambria Math" w:eastAsiaTheme="minorEastAsia" w:hAnsi="Cambria Math"/>
                <w:sz w:val="24"/>
                <w:szCs w:val="24"/>
                <w:lang w:val="en-GB"/>
              </w:rPr>
              <m:t>EC</m:t>
            </m:r>
          </m:e>
          <m:sub>
            <m:r>
              <w:rPr>
                <w:rFonts w:ascii="Cambria Math" w:eastAsiaTheme="minorEastAsia" w:hAnsi="Cambria Math"/>
                <w:sz w:val="24"/>
                <w:szCs w:val="24"/>
                <w:lang w:val="en-GB"/>
              </w:rPr>
              <m:t>50</m:t>
            </m:r>
          </m:sub>
          <m:sup>
            <m:r>
              <w:rPr>
                <w:rFonts w:ascii="Cambria Math" w:eastAsiaTheme="minorEastAsia" w:hAnsi="Cambria Math"/>
                <w:sz w:val="24"/>
                <w:szCs w:val="24"/>
                <w:lang w:val="en-GB"/>
              </w:rPr>
              <m:t>N</m:t>
            </m:r>
          </m:sup>
        </m:sSubSup>
        <m:r>
          <w:rPr>
            <w:rFonts w:ascii="Cambria Math" w:eastAsiaTheme="minorEastAsia" w:hAnsi="Cambria Math"/>
            <w:sz w:val="24"/>
            <w:szCs w:val="24"/>
            <w:lang w:val="en-GB"/>
          </w:rPr>
          <m:t xml:space="preserve">, </m:t>
        </m:r>
        <m:sSup>
          <m:sSupPr>
            <m:ctrlPr>
              <w:rPr>
                <w:rFonts w:ascii="Cambria Math" w:eastAsiaTheme="minorEastAsia" w:hAnsi="Cambria Math"/>
                <w:i/>
                <w:sz w:val="24"/>
                <w:szCs w:val="24"/>
                <w:lang w:val="en-GB"/>
              </w:rPr>
            </m:ctrlPr>
          </m:sSupPr>
          <m:e>
            <m:r>
              <w:rPr>
                <w:rFonts w:ascii="Cambria Math" w:eastAsiaTheme="minorEastAsia" w:hAnsi="Cambria Math"/>
                <w:sz w:val="24"/>
                <w:szCs w:val="24"/>
                <w:lang w:val="en-GB"/>
              </w:rPr>
              <m:t>p</m:t>
            </m:r>
          </m:e>
          <m:sup>
            <m:r>
              <w:rPr>
                <w:rFonts w:ascii="Cambria Math" w:eastAsiaTheme="minorEastAsia" w:hAnsi="Cambria Math"/>
                <w:sz w:val="24"/>
                <w:szCs w:val="24"/>
                <w:lang w:val="en-GB"/>
              </w:rPr>
              <m:t>T</m:t>
            </m:r>
          </m:sup>
        </m:sSup>
        <m:r>
          <w:rPr>
            <w:rFonts w:ascii="Cambria Math" w:eastAsiaTheme="minorEastAsia" w:hAnsi="Cambria Math"/>
            <w:sz w:val="24"/>
            <w:szCs w:val="24"/>
            <w:lang w:val="en-GB"/>
          </w:rPr>
          <m:t xml:space="preserve">and </m:t>
        </m:r>
        <m:sSup>
          <m:sSupPr>
            <m:ctrlPr>
              <w:rPr>
                <w:rFonts w:ascii="Cambria Math" w:eastAsiaTheme="minorEastAsia" w:hAnsi="Cambria Math"/>
                <w:i/>
                <w:sz w:val="24"/>
                <w:szCs w:val="24"/>
                <w:lang w:val="en-GB"/>
              </w:rPr>
            </m:ctrlPr>
          </m:sSupPr>
          <m:e>
            <m:r>
              <w:rPr>
                <w:rFonts w:ascii="Cambria Math" w:eastAsiaTheme="minorEastAsia" w:hAnsi="Cambria Math"/>
                <w:sz w:val="24"/>
                <w:szCs w:val="24"/>
                <w:lang w:val="en-GB"/>
              </w:rPr>
              <m:t>p</m:t>
            </m:r>
          </m:e>
          <m:sup>
            <m:r>
              <w:rPr>
                <w:rFonts w:ascii="Cambria Math" w:eastAsiaTheme="minorEastAsia" w:hAnsi="Cambria Math"/>
                <w:sz w:val="24"/>
                <w:szCs w:val="24"/>
                <w:lang w:val="en-GB"/>
              </w:rPr>
              <m:t>N</m:t>
            </m:r>
          </m:sup>
        </m:sSup>
      </m:oMath>
      <w:r w:rsidRPr="001A1B65">
        <w:rPr>
          <w:rFonts w:eastAsiaTheme="minorEastAsia"/>
          <w:sz w:val="24"/>
          <w:szCs w:val="24"/>
          <w:lang w:val="en-GB"/>
        </w:rPr>
        <w:t>.</w:t>
      </w:r>
    </w:p>
    <w:p w14:paraId="7CE0F9AC" w14:textId="77777777" w:rsidR="00772160" w:rsidRPr="001A1B65" w:rsidRDefault="00772160" w:rsidP="00772160">
      <w:pPr>
        <w:tabs>
          <w:tab w:val="left" w:pos="3544"/>
        </w:tabs>
        <w:spacing w:line="360" w:lineRule="auto"/>
        <w:jc w:val="both"/>
        <w:rPr>
          <w:rFonts w:eastAsiaTheme="minorEastAsia"/>
          <w:sz w:val="24"/>
          <w:szCs w:val="24"/>
          <w:lang w:val="en-GB"/>
        </w:rPr>
      </w:pPr>
    </w:p>
    <w:p w14:paraId="5DD724E8" w14:textId="77777777" w:rsidR="00772160" w:rsidRPr="006C5D92" w:rsidRDefault="00772160" w:rsidP="00772160">
      <w:pPr>
        <w:tabs>
          <w:tab w:val="left" w:pos="3544"/>
        </w:tabs>
        <w:spacing w:line="360" w:lineRule="auto"/>
        <w:jc w:val="both"/>
        <w:rPr>
          <w:rFonts w:eastAsiaTheme="minorEastAsia"/>
          <w:b/>
          <w:bCs/>
          <w:iCs/>
          <w:sz w:val="24"/>
          <w:szCs w:val="24"/>
          <w:lang w:val="en-GB"/>
        </w:rPr>
      </w:pPr>
      <w:r w:rsidRPr="006C5D92">
        <w:rPr>
          <w:rFonts w:eastAsiaTheme="minorEastAsia"/>
          <w:b/>
          <w:bCs/>
          <w:iCs/>
          <w:sz w:val="24"/>
          <w:szCs w:val="24"/>
          <w:lang w:val="en-GB"/>
        </w:rPr>
        <w:t>Simulation settings</w:t>
      </w:r>
    </w:p>
    <w:p w14:paraId="21AFC800" w14:textId="77777777" w:rsidR="00772160" w:rsidRPr="004E5C0F" w:rsidRDefault="00772160" w:rsidP="00772160">
      <w:pPr>
        <w:spacing w:line="360" w:lineRule="auto"/>
        <w:jc w:val="both"/>
        <w:rPr>
          <w:b/>
          <w:sz w:val="24"/>
          <w:szCs w:val="24"/>
          <w:lang w:val="en-GB"/>
        </w:rPr>
      </w:pPr>
      <w:r>
        <w:rPr>
          <w:rFonts w:eastAsiaTheme="minorEastAsia"/>
          <w:sz w:val="24"/>
          <w:szCs w:val="24"/>
          <w:lang w:val="en-GB"/>
        </w:rPr>
        <w:t>The model was used to evaluate the effects of different experimental setting, such as the virus infectious dose, the timing of treatment initiation, or the dose of COVA1-18</w:t>
      </w:r>
      <w:r w:rsidRPr="001A1B65">
        <w:rPr>
          <w:rFonts w:eastAsiaTheme="minorEastAsia"/>
          <w:sz w:val="24"/>
          <w:szCs w:val="24"/>
          <w:lang w:val="en-GB"/>
        </w:rPr>
        <w:t xml:space="preserve">. Using the parameters </w:t>
      </w:r>
      <w:r>
        <w:rPr>
          <w:rFonts w:eastAsiaTheme="minorEastAsia"/>
          <w:sz w:val="24"/>
          <w:szCs w:val="24"/>
          <w:lang w:val="en-GB"/>
        </w:rPr>
        <w:t xml:space="preserve">given in </w:t>
      </w:r>
      <w:r w:rsidRPr="00227381">
        <w:rPr>
          <w:bCs/>
          <w:color w:val="FFC000" w:themeColor="accent4"/>
          <w:sz w:val="24"/>
          <w:szCs w:val="24"/>
        </w:rPr>
        <w:t xml:space="preserve">Extended Data Table </w:t>
      </w:r>
      <w:r>
        <w:rPr>
          <w:bCs/>
          <w:color w:val="FFC000" w:themeColor="accent4"/>
          <w:sz w:val="24"/>
          <w:szCs w:val="24"/>
        </w:rPr>
        <w:t>3</w:t>
      </w:r>
      <w:r w:rsidRPr="001A1B65">
        <w:rPr>
          <w:rFonts w:eastAsiaTheme="minorEastAsia"/>
          <w:sz w:val="24"/>
          <w:szCs w:val="24"/>
          <w:lang w:val="en-GB"/>
        </w:rPr>
        <w:t xml:space="preserve">, we simulated different experimental designs and observed the predicted viral load (Genomic and </w:t>
      </w:r>
      <w:proofErr w:type="spellStart"/>
      <w:r w:rsidRPr="001A1B65">
        <w:rPr>
          <w:rFonts w:eastAsiaTheme="minorEastAsia"/>
          <w:sz w:val="24"/>
          <w:szCs w:val="24"/>
          <w:lang w:val="en-GB"/>
        </w:rPr>
        <w:t>Subgenomic</w:t>
      </w:r>
      <w:proofErr w:type="spellEnd"/>
      <w:r w:rsidRPr="001A1B65">
        <w:rPr>
          <w:rFonts w:eastAsiaTheme="minorEastAsia"/>
          <w:sz w:val="24"/>
          <w:szCs w:val="24"/>
          <w:lang w:val="en-GB"/>
        </w:rPr>
        <w:t xml:space="preserve">) for both </w:t>
      </w:r>
      <w:r>
        <w:rPr>
          <w:rFonts w:eastAsiaTheme="minorEastAsia"/>
          <w:sz w:val="24"/>
          <w:szCs w:val="24"/>
          <w:lang w:val="en-GB"/>
        </w:rPr>
        <w:t xml:space="preserve">nasopharynx and trachea </w:t>
      </w:r>
      <w:r w:rsidRPr="001A1B65">
        <w:rPr>
          <w:rFonts w:eastAsiaTheme="minorEastAsia"/>
          <w:sz w:val="24"/>
          <w:szCs w:val="24"/>
          <w:lang w:val="en-GB"/>
        </w:rPr>
        <w:t>compartments. Several scenarios were assessed</w:t>
      </w:r>
      <w:r>
        <w:rPr>
          <w:rFonts w:eastAsiaTheme="minorEastAsia"/>
          <w:sz w:val="24"/>
          <w:szCs w:val="24"/>
          <w:lang w:val="en-GB"/>
        </w:rPr>
        <w:t>, according to i</w:t>
      </w:r>
      <w:r w:rsidRPr="001A1B65">
        <w:rPr>
          <w:rFonts w:eastAsiaTheme="minorEastAsia"/>
          <w:sz w:val="24"/>
          <w:szCs w:val="24"/>
          <w:lang w:val="en-GB"/>
        </w:rPr>
        <w:t>noculum size (</w:t>
      </w:r>
      <w:bookmarkStart w:id="0" w:name="_Hlk58355681"/>
      <m:oMath>
        <m:sSup>
          <m:sSupPr>
            <m:ctrlPr>
              <w:rPr>
                <w:rFonts w:ascii="Cambria Math" w:eastAsiaTheme="minorEastAsia" w:hAnsi="Cambria Math"/>
                <w:i/>
                <w:sz w:val="24"/>
                <w:szCs w:val="24"/>
                <w:lang w:val="en-GB"/>
              </w:rPr>
            </m:ctrlPr>
          </m:sSupPr>
          <m:e>
            <m:r>
              <w:rPr>
                <w:rFonts w:ascii="Cambria Math" w:eastAsiaTheme="minorEastAsia" w:hAnsi="Cambria Math"/>
                <w:sz w:val="24"/>
                <w:szCs w:val="24"/>
                <w:lang w:val="en-GB"/>
              </w:rPr>
              <m:t>10</m:t>
            </m:r>
          </m:e>
          <m:sup>
            <m:r>
              <w:rPr>
                <w:rFonts w:ascii="Cambria Math" w:eastAsiaTheme="minorEastAsia" w:hAnsi="Cambria Math"/>
                <w:sz w:val="24"/>
                <w:szCs w:val="24"/>
                <w:lang w:val="en-GB"/>
              </w:rPr>
              <m:t>4</m:t>
            </m:r>
          </m:sup>
        </m:sSup>
        <m:r>
          <w:rPr>
            <w:rFonts w:ascii="Cambria Math" w:eastAsiaTheme="minorEastAsia" w:hAnsi="Cambria Math"/>
            <w:sz w:val="24"/>
            <w:szCs w:val="24"/>
            <w:lang w:val="en-GB"/>
          </w:rPr>
          <m:t xml:space="preserve">, </m:t>
        </m:r>
        <w:bookmarkEnd w:id="0"/>
        <m:sSup>
          <m:sSupPr>
            <m:ctrlPr>
              <w:rPr>
                <w:rFonts w:ascii="Cambria Math" w:eastAsiaTheme="minorEastAsia" w:hAnsi="Cambria Math"/>
                <w:i/>
                <w:sz w:val="24"/>
                <w:szCs w:val="24"/>
                <w:lang w:val="en-GB"/>
              </w:rPr>
            </m:ctrlPr>
          </m:sSupPr>
          <m:e>
            <m:r>
              <w:rPr>
                <w:rFonts w:ascii="Cambria Math" w:eastAsiaTheme="minorEastAsia" w:hAnsi="Cambria Math"/>
                <w:sz w:val="24"/>
                <w:szCs w:val="24"/>
                <w:lang w:val="en-GB"/>
              </w:rPr>
              <m:t>10</m:t>
            </m:r>
          </m:e>
          <m:sup>
            <m:r>
              <w:rPr>
                <w:rFonts w:ascii="Cambria Math" w:eastAsiaTheme="minorEastAsia" w:hAnsi="Cambria Math"/>
                <w:sz w:val="24"/>
                <w:szCs w:val="24"/>
                <w:lang w:val="en-GB"/>
              </w:rPr>
              <m:t>5</m:t>
            </m:r>
          </m:sup>
        </m:sSup>
        <m:r>
          <w:rPr>
            <w:rFonts w:ascii="Cambria Math" w:eastAsiaTheme="minorEastAsia" w:hAnsi="Cambria Math"/>
            <w:sz w:val="24"/>
            <w:szCs w:val="24"/>
            <w:lang w:val="en-GB"/>
          </w:rPr>
          <m:t xml:space="preserve"> and </m:t>
        </m:r>
        <m:sSup>
          <m:sSupPr>
            <m:ctrlPr>
              <w:rPr>
                <w:rFonts w:ascii="Cambria Math" w:eastAsiaTheme="minorEastAsia" w:hAnsi="Cambria Math"/>
                <w:i/>
                <w:sz w:val="24"/>
                <w:szCs w:val="24"/>
                <w:lang w:val="en-GB"/>
              </w:rPr>
            </m:ctrlPr>
          </m:sSupPr>
          <m:e>
            <m:r>
              <w:rPr>
                <w:rFonts w:ascii="Cambria Math" w:eastAsiaTheme="minorEastAsia" w:hAnsi="Cambria Math"/>
                <w:sz w:val="24"/>
                <w:szCs w:val="24"/>
                <w:lang w:val="en-GB"/>
              </w:rPr>
              <m:t>10</m:t>
            </m:r>
          </m:e>
          <m:sup>
            <m:r>
              <w:rPr>
                <w:rFonts w:ascii="Cambria Math" w:eastAsiaTheme="minorEastAsia" w:hAnsi="Cambria Math"/>
                <w:sz w:val="24"/>
                <w:szCs w:val="24"/>
                <w:lang w:val="en-GB"/>
              </w:rPr>
              <m:t>6</m:t>
            </m:r>
          </m:sup>
        </m:sSup>
        <m:r>
          <w:rPr>
            <w:rFonts w:ascii="Cambria Math" w:eastAsiaTheme="minorEastAsia" w:hAnsi="Cambria Math"/>
            <w:sz w:val="24"/>
            <w:szCs w:val="24"/>
            <w:lang w:val="en-GB"/>
          </w:rPr>
          <m:t xml:space="preserve"> PFU), </m:t>
        </m:r>
      </m:oMath>
      <w:r>
        <w:rPr>
          <w:rFonts w:eastAsiaTheme="minorEastAsia"/>
          <w:sz w:val="24"/>
          <w:szCs w:val="24"/>
          <w:lang w:val="en-GB"/>
        </w:rPr>
        <w:t>COVA1-18 d</w:t>
      </w:r>
      <w:proofErr w:type="spellStart"/>
      <w:r>
        <w:rPr>
          <w:rFonts w:eastAsiaTheme="minorEastAsia"/>
          <w:sz w:val="24"/>
          <w:szCs w:val="24"/>
          <w:lang w:val="en-GB"/>
        </w:rPr>
        <w:t>ose</w:t>
      </w:r>
      <w:proofErr w:type="spellEnd"/>
      <w:r>
        <w:rPr>
          <w:rFonts w:eastAsiaTheme="minorEastAsia"/>
          <w:sz w:val="24"/>
          <w:szCs w:val="24"/>
          <w:lang w:val="en-GB"/>
        </w:rPr>
        <w:t xml:space="preserve"> </w:t>
      </w:r>
      <w:r w:rsidRPr="001A1B65">
        <w:rPr>
          <w:rFonts w:eastAsiaTheme="minorEastAsia"/>
          <w:sz w:val="24"/>
          <w:szCs w:val="24"/>
          <w:lang w:val="en-GB"/>
        </w:rPr>
        <w:t>(</w:t>
      </w:r>
      <m:oMath>
        <m:r>
          <w:rPr>
            <w:rFonts w:ascii="Cambria Math" w:eastAsiaTheme="minorEastAsia" w:hAnsi="Cambria Math"/>
            <w:sz w:val="24"/>
            <w:szCs w:val="24"/>
            <w:lang w:val="en-GB"/>
          </w:rPr>
          <m:t>0.1, 1, 5, and 10 mg per kg)</m:t>
        </m:r>
      </m:oMath>
      <w:r w:rsidRPr="001A1B65">
        <w:rPr>
          <w:rFonts w:eastAsiaTheme="minorEastAsia"/>
          <w:sz w:val="24"/>
          <w:szCs w:val="24"/>
          <w:lang w:val="en-GB"/>
        </w:rPr>
        <w:t xml:space="preserve">, and </w:t>
      </w:r>
      <w:r>
        <w:rPr>
          <w:rFonts w:eastAsiaTheme="minorEastAsia"/>
          <w:sz w:val="24"/>
          <w:szCs w:val="24"/>
          <w:lang w:val="en-GB"/>
        </w:rPr>
        <w:t>timing</w:t>
      </w:r>
      <w:r w:rsidRPr="001A1B65">
        <w:rPr>
          <w:rFonts w:eastAsiaTheme="minorEastAsia"/>
          <w:sz w:val="24"/>
          <w:szCs w:val="24"/>
          <w:lang w:val="en-GB"/>
        </w:rPr>
        <w:t xml:space="preserve"> of treatment initiation (</w:t>
      </w:r>
      <m:oMath>
        <m:r>
          <w:rPr>
            <w:rFonts w:ascii="Cambria Math" w:eastAsiaTheme="minorEastAsia" w:hAnsi="Cambria Math"/>
            <w:sz w:val="24"/>
            <w:szCs w:val="24"/>
            <w:lang w:val="en-GB"/>
          </w:rPr>
          <m:t>-1 d.p.i.+1 d.p.i.)</m:t>
        </m:r>
      </m:oMath>
      <w:r w:rsidRPr="001A1B65">
        <w:rPr>
          <w:rFonts w:eastAsiaTheme="minorEastAsia"/>
          <w:sz w:val="24"/>
          <w:szCs w:val="24"/>
          <w:lang w:val="en-GB"/>
        </w:rPr>
        <w:t>. The simulations were performed using the Simulx package on R.3.6.0.</w:t>
      </w:r>
    </w:p>
    <w:p w14:paraId="097CFF00" w14:textId="77777777" w:rsidR="00386883" w:rsidRDefault="00772160"/>
    <w:sectPr w:rsidR="00386883" w:rsidSect="00803FD5">
      <w:pgSz w:w="11906" w:h="16838"/>
      <w:pgMar w:top="1440" w:right="1440" w:bottom="1440" w:left="1440" w:header="432" w:footer="720" w:gutter="0"/>
      <w:lnNumType w:countBy="1" w:restart="continuous"/>
      <w:pgNumType w:start="1"/>
      <w:cols w:space="708"/>
      <w:titlePg/>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2160"/>
    <w:rsid w:val="003107CE"/>
    <w:rsid w:val="00316534"/>
    <w:rsid w:val="00373D83"/>
    <w:rsid w:val="00622525"/>
    <w:rsid w:val="006B2C4D"/>
    <w:rsid w:val="00772160"/>
    <w:rsid w:val="007A60A6"/>
    <w:rsid w:val="00A0389B"/>
    <w:rsid w:val="00B1250C"/>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872E8D"/>
  <w15:chartTrackingRefBased/>
  <w15:docId w15:val="{DBBD1A22-4C45-4E31-943F-9C6F35224E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2160"/>
    <w:pPr>
      <w:spacing w:after="0" w:line="240" w:lineRule="auto"/>
    </w:pPr>
    <w:rPr>
      <w:rFonts w:ascii="Times New Roman" w:eastAsia="Calibri" w:hAnsi="Times New Roman" w:cs="Times New Roman"/>
      <w:sz w:val="20"/>
      <w:szCs w:val="20"/>
      <w:lang w:eastAsia="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7721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5160</Words>
  <Characters>29415</Characters>
  <Application>Microsoft Office Word</Application>
  <DocSecurity>0</DocSecurity>
  <Lines>245</Lines>
  <Paragraphs>69</Paragraphs>
  <ScaleCrop>false</ScaleCrop>
  <Company/>
  <LinksUpToDate>false</LinksUpToDate>
  <CharactersWithSpaces>34506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2021-02-15T18:11:00Z</dcterms:created>
  <dcterms:modified xsi:type="dcterms:W3CDTF">2021-02-15T18:11:00Z</dcterms:modified>
</cp:coreProperties>
</file>