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02AA7640" w:rsidR="00D04BCF" w:rsidRPr="003D2956" w:rsidRDefault="00BB2D2A" w:rsidP="00E31F01">
      <w:pPr>
        <w:jc w:val="center"/>
        <w:rPr>
          <w:b/>
          <w:szCs w:val="32"/>
        </w:rPr>
      </w:pPr>
      <w:r w:rsidRPr="003D2956">
        <w:rPr>
          <w:b/>
          <w:szCs w:val="32"/>
        </w:rPr>
        <w:t>Supp</w:t>
      </w:r>
      <w:r w:rsidR="001414D8" w:rsidRPr="003D2956">
        <w:rPr>
          <w:b/>
          <w:szCs w:val="32"/>
        </w:rPr>
        <w:t>orting</w:t>
      </w:r>
      <w:r w:rsidRPr="003D2956">
        <w:rPr>
          <w:b/>
          <w:szCs w:val="32"/>
        </w:rPr>
        <w:t xml:space="preserve"> </w:t>
      </w:r>
      <w:r w:rsidR="001A1D69" w:rsidRPr="003D2956">
        <w:rPr>
          <w:b/>
          <w:szCs w:val="32"/>
        </w:rPr>
        <w:t>Information</w:t>
      </w:r>
    </w:p>
    <w:p w14:paraId="29411C5A" w14:textId="77777777" w:rsidR="005001AC" w:rsidRPr="003D2956" w:rsidRDefault="005001AC">
      <w:pPr>
        <w:rPr>
          <w:sz w:val="28"/>
          <w:szCs w:val="32"/>
        </w:rPr>
      </w:pPr>
    </w:p>
    <w:p w14:paraId="1C95E1A6" w14:textId="77777777" w:rsidR="00771677" w:rsidRPr="00E0333E" w:rsidRDefault="00771677" w:rsidP="00771677">
      <w:pPr>
        <w:widowControl w:val="0"/>
        <w:spacing w:line="480" w:lineRule="auto"/>
        <w:rPr>
          <w:b/>
          <w:bCs/>
          <w:color w:val="000000" w:themeColor="text1"/>
          <w:sz w:val="28"/>
          <w:szCs w:val="28"/>
        </w:rPr>
      </w:pPr>
      <w:r w:rsidRPr="00E0333E">
        <w:rPr>
          <w:rFonts w:hint="eastAsia"/>
          <w:b/>
          <w:bCs/>
          <w:color w:val="000000" w:themeColor="text1"/>
          <w:sz w:val="28"/>
          <w:szCs w:val="28"/>
          <w:lang w:val="de-DE"/>
        </w:rPr>
        <w:t>C</w:t>
      </w:r>
      <w:r w:rsidRPr="00E0333E">
        <w:rPr>
          <w:b/>
          <w:bCs/>
          <w:color w:val="000000" w:themeColor="text1"/>
          <w:sz w:val="28"/>
          <w:szCs w:val="28"/>
          <w:lang w:val="de-DE"/>
        </w:rPr>
        <w:t>ontrolled Fabrication of RuO</w:t>
      </w:r>
      <w:r w:rsidRPr="00E0333E">
        <w:rPr>
          <w:b/>
          <w:bCs/>
          <w:color w:val="000000" w:themeColor="text1"/>
          <w:sz w:val="28"/>
          <w:szCs w:val="28"/>
          <w:vertAlign w:val="subscript"/>
          <w:lang w:val="de-DE"/>
        </w:rPr>
        <w:t>x</w:t>
      </w:r>
      <w:r w:rsidRPr="00E0333E">
        <w:rPr>
          <w:rFonts w:hint="eastAsia"/>
          <w:b/>
          <w:bCs/>
          <w:color w:val="000000" w:themeColor="text1"/>
          <w:sz w:val="28"/>
          <w:szCs w:val="28"/>
          <w:lang w:val="de-DE"/>
        </w:rPr>
        <w:t>Se</w:t>
      </w:r>
      <w:r w:rsidRPr="00E0333E">
        <w:rPr>
          <w:b/>
          <w:bCs/>
          <w:color w:val="000000" w:themeColor="text1"/>
          <w:sz w:val="28"/>
          <w:szCs w:val="28"/>
          <w:vertAlign w:val="subscript"/>
          <w:lang w:val="de-DE"/>
        </w:rPr>
        <w:t>y</w:t>
      </w:r>
      <w:r w:rsidRPr="00E0333E">
        <w:rPr>
          <w:b/>
          <w:bCs/>
          <w:color w:val="000000" w:themeColor="text1"/>
          <w:sz w:val="28"/>
          <w:szCs w:val="28"/>
          <w:lang w:val="de-DE"/>
        </w:rPr>
        <w:t xml:space="preserve"> Composites for Enhanced Acidic Oxygen Evolutio</w:t>
      </w:r>
      <w:r w:rsidRPr="00E0333E">
        <w:rPr>
          <w:rFonts w:hint="eastAsia"/>
          <w:b/>
          <w:bCs/>
          <w:color w:val="000000" w:themeColor="text1"/>
          <w:sz w:val="28"/>
          <w:szCs w:val="28"/>
          <w:lang w:val="de-DE"/>
        </w:rPr>
        <w:t>n</w:t>
      </w:r>
    </w:p>
    <w:p w14:paraId="535C01D1" w14:textId="77777777" w:rsidR="00181468" w:rsidRPr="00181468" w:rsidRDefault="00181468" w:rsidP="00181468">
      <w:pPr>
        <w:widowControl w:val="0"/>
        <w:spacing w:beforeLines="50" w:before="120" w:afterLines="50" w:after="120" w:line="360" w:lineRule="auto"/>
        <w:jc w:val="both"/>
        <w:rPr>
          <w:lang w:val="en-SG"/>
        </w:rPr>
      </w:pPr>
      <w:r w:rsidRPr="00181468">
        <w:rPr>
          <w:rFonts w:hint="eastAsia"/>
          <w:lang w:val="en-SG"/>
        </w:rPr>
        <w:t>Peng</w:t>
      </w:r>
      <w:r w:rsidRPr="00181468">
        <w:rPr>
          <w:lang w:val="en-SG"/>
        </w:rPr>
        <w:t xml:space="preserve"> Du</w:t>
      </w:r>
      <w:r w:rsidRPr="00181468">
        <w:rPr>
          <w:vertAlign w:val="superscript"/>
          <w:lang w:val="en-SG"/>
        </w:rPr>
        <w:t>1,2</w:t>
      </w:r>
      <w:r w:rsidRPr="00181468">
        <w:rPr>
          <w:lang w:val="en-SG"/>
        </w:rPr>
        <w:t xml:space="preserve">, </w:t>
      </w:r>
      <w:proofErr w:type="spellStart"/>
      <w:r w:rsidRPr="00181468">
        <w:rPr>
          <w:lang w:val="en-SG"/>
        </w:rPr>
        <w:t>Chaoliang</w:t>
      </w:r>
      <w:proofErr w:type="spellEnd"/>
      <w:r w:rsidRPr="00181468">
        <w:rPr>
          <w:lang w:val="en-SG"/>
        </w:rPr>
        <w:t xml:space="preserve"> Lin</w:t>
      </w:r>
      <w:r w:rsidRPr="00181468">
        <w:rPr>
          <w:vertAlign w:val="superscript"/>
          <w:lang w:val="en-SG"/>
        </w:rPr>
        <w:t>2</w:t>
      </w:r>
      <w:r w:rsidRPr="00181468">
        <w:rPr>
          <w:lang w:val="en-SG"/>
        </w:rPr>
        <w:t>, Xian He</w:t>
      </w:r>
      <w:r w:rsidRPr="00181468">
        <w:rPr>
          <w:vertAlign w:val="superscript"/>
          <w:lang w:val="en-SG"/>
        </w:rPr>
        <w:t>2</w:t>
      </w:r>
      <w:r w:rsidRPr="00181468">
        <w:rPr>
          <w:lang w:val="en-SG"/>
        </w:rPr>
        <w:t xml:space="preserve">, </w:t>
      </w:r>
      <w:proofErr w:type="spellStart"/>
      <w:r w:rsidRPr="00181468">
        <w:rPr>
          <w:lang w:val="en-SG"/>
        </w:rPr>
        <w:t>Zhichuan</w:t>
      </w:r>
      <w:proofErr w:type="spellEnd"/>
      <w:r w:rsidRPr="00181468">
        <w:rPr>
          <w:lang w:val="en-SG"/>
        </w:rPr>
        <w:t xml:space="preserve"> Zheng</w:t>
      </w:r>
      <w:r w:rsidRPr="00181468">
        <w:rPr>
          <w:vertAlign w:val="superscript"/>
          <w:lang w:val="en-SG"/>
        </w:rPr>
        <w:t>2</w:t>
      </w:r>
      <w:r w:rsidRPr="00181468">
        <w:rPr>
          <w:lang w:val="en-SG"/>
        </w:rPr>
        <w:t xml:space="preserve">, </w:t>
      </w:r>
      <w:proofErr w:type="spellStart"/>
      <w:r w:rsidRPr="00181468">
        <w:rPr>
          <w:lang w:val="en-SG"/>
        </w:rPr>
        <w:t>Xinyu</w:t>
      </w:r>
      <w:proofErr w:type="spellEnd"/>
      <w:r w:rsidRPr="00181468">
        <w:rPr>
          <w:lang w:val="en-SG"/>
        </w:rPr>
        <w:t xml:space="preserve"> Xie</w:t>
      </w:r>
      <w:r w:rsidRPr="00181468">
        <w:rPr>
          <w:vertAlign w:val="superscript"/>
          <w:lang w:val="en-SG"/>
        </w:rPr>
        <w:t>2</w:t>
      </w:r>
      <w:r w:rsidRPr="00181468">
        <w:rPr>
          <w:lang w:val="en-SG"/>
        </w:rPr>
        <w:t>, Kai Huang</w:t>
      </w:r>
      <w:proofErr w:type="gramStart"/>
      <w:r w:rsidRPr="00181468">
        <w:rPr>
          <w:vertAlign w:val="superscript"/>
          <w:lang w:val="en-SG"/>
        </w:rPr>
        <w:t>2,*</w:t>
      </w:r>
      <w:proofErr w:type="gramEnd"/>
      <w:r w:rsidRPr="00181468">
        <w:rPr>
          <w:lang w:val="en-SG"/>
        </w:rPr>
        <w:t>, Ming Lei</w:t>
      </w:r>
      <w:r w:rsidRPr="00181468">
        <w:rPr>
          <w:vertAlign w:val="superscript"/>
          <w:lang w:val="en-SG"/>
        </w:rPr>
        <w:t>1</w:t>
      </w:r>
      <w:r w:rsidRPr="00181468">
        <w:rPr>
          <w:rFonts w:hint="eastAsia"/>
          <w:lang w:val="en-SG"/>
        </w:rPr>
        <w:t>，</w:t>
      </w:r>
      <w:proofErr w:type="spellStart"/>
      <w:r w:rsidRPr="00181468">
        <w:rPr>
          <w:rFonts w:hint="eastAsia"/>
          <w:lang w:val="en-SG"/>
        </w:rPr>
        <w:t>H</w:t>
      </w:r>
      <w:r w:rsidRPr="00181468">
        <w:rPr>
          <w:lang w:val="en-SG"/>
        </w:rPr>
        <w:t>aolin</w:t>
      </w:r>
      <w:proofErr w:type="spellEnd"/>
      <w:r w:rsidRPr="00181468">
        <w:rPr>
          <w:lang w:val="en-SG"/>
        </w:rPr>
        <w:t xml:space="preserve"> Tang</w:t>
      </w:r>
      <w:r w:rsidRPr="00181468">
        <w:rPr>
          <w:vertAlign w:val="superscript"/>
          <w:lang w:val="en-SG"/>
        </w:rPr>
        <w:t>1,*</w:t>
      </w:r>
    </w:p>
    <w:p w14:paraId="057EC289" w14:textId="02DE2682" w:rsidR="00771677" w:rsidRPr="00F018AE" w:rsidRDefault="00771677" w:rsidP="00771677">
      <w:pPr>
        <w:widowControl w:val="0"/>
        <w:spacing w:beforeLines="50" w:before="120" w:line="360" w:lineRule="auto"/>
        <w:jc w:val="both"/>
        <w:rPr>
          <w:rFonts w:eastAsia="宋体"/>
          <w:color w:val="000000" w:themeColor="text1"/>
          <w:kern w:val="2"/>
          <w:sz w:val="21"/>
          <w:szCs w:val="21"/>
        </w:rPr>
      </w:pPr>
      <w:r w:rsidRPr="00EC465A">
        <w:rPr>
          <w:sz w:val="21"/>
          <w:szCs w:val="21"/>
          <w:vertAlign w:val="superscript"/>
          <w:lang w:val="en-GB"/>
        </w:rPr>
        <w:t>1</w:t>
      </w:r>
      <w:r w:rsidRPr="00EC465A">
        <w:rPr>
          <w:sz w:val="21"/>
          <w:szCs w:val="21"/>
          <w:lang w:val="en-GB"/>
        </w:rPr>
        <w:t xml:space="preserve"> </w:t>
      </w:r>
      <w:r w:rsidR="00417573" w:rsidRPr="00E85B49">
        <w:rPr>
          <w:sz w:val="21"/>
          <w:szCs w:val="21"/>
          <w:lang w:val="en-GB"/>
        </w:rPr>
        <w:t>State Key Laboratory of Advanced Technology for Materials</w:t>
      </w:r>
      <w:r w:rsidR="00417573">
        <w:rPr>
          <w:rFonts w:hint="eastAsia"/>
          <w:sz w:val="21"/>
          <w:szCs w:val="21"/>
          <w:lang w:val="en-GB"/>
        </w:rPr>
        <w:t xml:space="preserve"> </w:t>
      </w:r>
      <w:r w:rsidR="00417573" w:rsidRPr="00E85B49">
        <w:rPr>
          <w:sz w:val="21"/>
          <w:szCs w:val="21"/>
          <w:lang w:val="en-GB"/>
        </w:rPr>
        <w:t>Synthesis and Processing, Wuhan University of Technology,</w:t>
      </w:r>
      <w:r w:rsidR="00417573">
        <w:rPr>
          <w:rFonts w:hint="eastAsia"/>
          <w:sz w:val="21"/>
          <w:szCs w:val="21"/>
          <w:lang w:val="en-GB"/>
        </w:rPr>
        <w:t xml:space="preserve"> </w:t>
      </w:r>
      <w:r w:rsidR="00417573" w:rsidRPr="00E85B49">
        <w:rPr>
          <w:sz w:val="21"/>
          <w:szCs w:val="21"/>
          <w:lang w:val="en-GB"/>
        </w:rPr>
        <w:t>Wuhan 430070, China</w:t>
      </w:r>
    </w:p>
    <w:p w14:paraId="6AF9BDC9" w14:textId="0AB56BDB" w:rsidR="00771677" w:rsidRPr="00EC465A" w:rsidRDefault="00771677" w:rsidP="00771677">
      <w:pPr>
        <w:widowControl w:val="0"/>
        <w:spacing w:beforeLines="50" w:before="120" w:line="360" w:lineRule="auto"/>
        <w:jc w:val="both"/>
        <w:rPr>
          <w:sz w:val="21"/>
          <w:szCs w:val="21"/>
          <w:lang w:val="en-GB"/>
        </w:rPr>
      </w:pPr>
      <w:r w:rsidRPr="00EC465A">
        <w:rPr>
          <w:sz w:val="21"/>
          <w:szCs w:val="21"/>
          <w:vertAlign w:val="superscript"/>
          <w:lang w:val="en-GB"/>
        </w:rPr>
        <w:t>2</w:t>
      </w:r>
      <w:r w:rsidRPr="00EC465A">
        <w:rPr>
          <w:sz w:val="21"/>
          <w:szCs w:val="21"/>
          <w:lang w:val="en-GB"/>
        </w:rPr>
        <w:t xml:space="preserve"> </w:t>
      </w:r>
      <w:r w:rsidR="00417573" w:rsidRPr="00C64DC5">
        <w:rPr>
          <w:sz w:val="21"/>
          <w:szCs w:val="21"/>
        </w:rPr>
        <w:t>State Key Laboratory of Information Photonics and Optical Communications,</w:t>
      </w:r>
      <w:r w:rsidR="00417573" w:rsidRPr="00C64DC5">
        <w:rPr>
          <w:rFonts w:hint="eastAsia"/>
          <w:sz w:val="21"/>
          <w:szCs w:val="21"/>
        </w:rPr>
        <w:t xml:space="preserve"> </w:t>
      </w:r>
      <w:r w:rsidR="00417573" w:rsidRPr="00C64DC5">
        <w:rPr>
          <w:sz w:val="21"/>
          <w:szCs w:val="21"/>
          <w:lang w:val="en-GB"/>
        </w:rPr>
        <w:t>School of Science, Beijing University of Posts and Telecommunications, Beijing 100876, PR China</w:t>
      </w:r>
    </w:p>
    <w:p w14:paraId="501D6DDA" w14:textId="1C869FCD" w:rsidR="00C56173" w:rsidRPr="00771677" w:rsidRDefault="00771677" w:rsidP="00771677">
      <w:pPr>
        <w:widowControl w:val="0"/>
        <w:adjustRightInd w:val="0"/>
        <w:spacing w:beforeLines="50" w:before="120" w:line="360" w:lineRule="auto"/>
        <w:rPr>
          <w:sz w:val="21"/>
          <w:szCs w:val="21"/>
          <w:lang w:val="en-GB"/>
        </w:rPr>
      </w:pPr>
      <w:r w:rsidRPr="00EC465A">
        <w:rPr>
          <w:sz w:val="21"/>
          <w:szCs w:val="21"/>
          <w:lang w:val="en-GB"/>
        </w:rPr>
        <w:t xml:space="preserve">Email: </w:t>
      </w:r>
      <w:r w:rsidR="00417573" w:rsidRPr="00F67409">
        <w:rPr>
          <w:iCs/>
          <w:sz w:val="21"/>
          <w:szCs w:val="21"/>
        </w:rPr>
        <w:t>huang-kai@bupt.edu.cn</w:t>
      </w:r>
      <w:r w:rsidR="00417573" w:rsidRPr="005E6FB8">
        <w:rPr>
          <w:sz w:val="21"/>
          <w:szCs w:val="21"/>
          <w:lang w:val="en-GB"/>
        </w:rPr>
        <w:t>;</w:t>
      </w:r>
      <w:r w:rsidR="00417573" w:rsidRPr="00F67409">
        <w:rPr>
          <w:kern w:val="2"/>
          <w:lang w:val="en-GB"/>
        </w:rPr>
        <w:t xml:space="preserve"> </w:t>
      </w:r>
      <w:r w:rsidR="00417573">
        <w:rPr>
          <w:kern w:val="2"/>
          <w:lang w:val="en-GB"/>
        </w:rPr>
        <w:t>t</w:t>
      </w:r>
      <w:r w:rsidR="00417573" w:rsidRPr="00E85B49">
        <w:rPr>
          <w:sz w:val="21"/>
          <w:szCs w:val="21"/>
          <w:lang w:val="en-GB"/>
        </w:rPr>
        <w:t>hln@whut.edu.cn</w:t>
      </w:r>
      <w:r w:rsidRPr="005E6FB8">
        <w:rPr>
          <w:sz w:val="21"/>
          <w:szCs w:val="21"/>
          <w:lang w:val="en-GB"/>
        </w:rPr>
        <w:t xml:space="preserve"> </w:t>
      </w:r>
    </w:p>
    <w:p w14:paraId="374E8743" w14:textId="25BB20A6" w:rsidR="00E31F01" w:rsidRPr="003D2956" w:rsidRDefault="002D06D4" w:rsidP="002D06D4">
      <w:pPr>
        <w:rPr>
          <w:noProof/>
          <w:sz w:val="22"/>
          <w:szCs w:val="22"/>
          <w:vertAlign w:val="superscript"/>
          <w:lang w:val="en-GB" w:eastAsia="en-GB"/>
        </w:rPr>
      </w:pPr>
      <w:r w:rsidRPr="003D2956">
        <w:rPr>
          <w:sz w:val="22"/>
          <w:vertAlign w:val="superscript"/>
        </w:rPr>
        <w:br w:type="page"/>
      </w:r>
    </w:p>
    <w:p w14:paraId="1367F4C4" w14:textId="0ED78BF4" w:rsidR="000B1C36" w:rsidRPr="003D2956" w:rsidRDefault="000B1C36" w:rsidP="00331742">
      <w:pPr>
        <w:pStyle w:val="afff2"/>
        <w:spacing w:line="480" w:lineRule="auto"/>
        <w:jc w:val="both"/>
        <w:rPr>
          <w:rFonts w:eastAsia="宋体"/>
          <w:b/>
          <w:bCs/>
        </w:rPr>
      </w:pPr>
      <w:r w:rsidRPr="003D2956">
        <w:rPr>
          <w:rFonts w:eastAsia="宋体"/>
          <w:b/>
          <w:bCs/>
        </w:rPr>
        <w:lastRenderedPageBreak/>
        <w:t>Supplementary Figures</w:t>
      </w:r>
    </w:p>
    <w:p w14:paraId="0B5638CA" w14:textId="212D6BC8" w:rsidR="00324107" w:rsidRPr="003D2956" w:rsidRDefault="00331742" w:rsidP="004777F1">
      <w:pPr>
        <w:pStyle w:val="SMcaption"/>
        <w:jc w:val="center"/>
      </w:pPr>
      <w:r w:rsidRPr="003D2956">
        <w:rPr>
          <w:noProof/>
          <w:lang w:eastAsia="zh-CN"/>
        </w:rPr>
        <w:drawing>
          <wp:inline distT="0" distB="0" distL="0" distR="0" wp14:anchorId="668C9505" wp14:editId="3A3DD7F4">
            <wp:extent cx="5760720" cy="2610485"/>
            <wp:effectExtent l="0" t="0" r="0" b="0"/>
            <wp:docPr id="64" name="图片 63">
              <a:extLst xmlns:a="http://schemas.openxmlformats.org/drawingml/2006/main">
                <a:ext uri="{FF2B5EF4-FFF2-40B4-BE49-F238E27FC236}">
                  <a16:creationId xmlns:a16="http://schemas.microsoft.com/office/drawing/2014/main" id="{431DAFBB-E749-45B4-8A9D-629D092433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3">
                      <a:extLst>
                        <a:ext uri="{FF2B5EF4-FFF2-40B4-BE49-F238E27FC236}">
                          <a16:creationId xmlns:a16="http://schemas.microsoft.com/office/drawing/2014/main" id="{431DAFBB-E749-45B4-8A9D-629D09243387}"/>
                        </a:ext>
                      </a:extLst>
                    </pic:cNvPr>
                    <pic:cNvPicPr>
                      <a:picLocks noChangeAspect="1"/>
                    </pic:cNvPicPr>
                  </pic:nvPicPr>
                  <pic:blipFill>
                    <a:blip r:embed="rId7"/>
                    <a:stretch>
                      <a:fillRect/>
                    </a:stretch>
                  </pic:blipFill>
                  <pic:spPr>
                    <a:xfrm>
                      <a:off x="0" y="0"/>
                      <a:ext cx="5760720" cy="2610485"/>
                    </a:xfrm>
                    <a:prstGeom prst="rect">
                      <a:avLst/>
                    </a:prstGeom>
                  </pic:spPr>
                </pic:pic>
              </a:graphicData>
            </a:graphic>
          </wp:inline>
        </w:drawing>
      </w:r>
    </w:p>
    <w:p w14:paraId="07709080" w14:textId="656A8C31" w:rsidR="00812109" w:rsidRPr="003D2956" w:rsidRDefault="009278D6" w:rsidP="001A7B73">
      <w:pPr>
        <w:pStyle w:val="SMHeading"/>
        <w:spacing w:line="480" w:lineRule="auto"/>
        <w:rPr>
          <w:b w:val="0"/>
        </w:rPr>
      </w:pPr>
      <w:bookmarkStart w:id="0" w:name="_Hlk110198727"/>
      <w:r w:rsidRPr="003D2956">
        <w:t>Figure</w:t>
      </w:r>
      <w:r w:rsidR="00E31F01" w:rsidRPr="003D2956">
        <w:t xml:space="preserve"> S</w:t>
      </w:r>
      <w:r w:rsidR="007C3E0E" w:rsidRPr="003D2956">
        <w:t>1</w:t>
      </w:r>
      <w:r w:rsidR="00E31F01" w:rsidRPr="003D2956">
        <w:t xml:space="preserve">. </w:t>
      </w:r>
      <w:r w:rsidR="00331742" w:rsidRPr="003D2956">
        <w:rPr>
          <w:b w:val="0"/>
        </w:rPr>
        <w:t>SEM images</w:t>
      </w:r>
      <w:r w:rsidR="00331742" w:rsidRPr="003D2956">
        <w:rPr>
          <w:rFonts w:hint="eastAsia"/>
          <w:b w:val="0"/>
        </w:rPr>
        <w:t xml:space="preserve"> of (a)</w:t>
      </w:r>
      <w:r w:rsidR="00331742" w:rsidRPr="003D2956">
        <w:rPr>
          <w:b w:val="0"/>
        </w:rPr>
        <w:t xml:space="preserve"> </w:t>
      </w:r>
      <w:r w:rsidR="00331742" w:rsidRPr="003D2956">
        <w:rPr>
          <w:rFonts w:hint="eastAsia"/>
          <w:b w:val="0"/>
        </w:rPr>
        <w:t>RuO</w:t>
      </w:r>
      <w:r w:rsidR="00331742" w:rsidRPr="003D2956">
        <w:rPr>
          <w:rFonts w:hint="eastAsia"/>
          <w:b w:val="0"/>
          <w:vertAlign w:val="subscript"/>
        </w:rPr>
        <w:t>2</w:t>
      </w:r>
      <w:r w:rsidR="00331742" w:rsidRPr="003D2956">
        <w:rPr>
          <w:rFonts w:hint="eastAsia"/>
          <w:b w:val="0"/>
        </w:rPr>
        <w:t xml:space="preserve"> (b) RuO</w:t>
      </w:r>
      <w:r w:rsidR="00331742" w:rsidRPr="003D2956">
        <w:rPr>
          <w:b w:val="0"/>
          <w:vertAlign w:val="subscript"/>
        </w:rPr>
        <w:t>x</w:t>
      </w:r>
      <w:r w:rsidR="00331742" w:rsidRPr="003D2956">
        <w:rPr>
          <w:rFonts w:hint="eastAsia"/>
          <w:b w:val="0"/>
        </w:rPr>
        <w:t>Se</w:t>
      </w:r>
      <w:r w:rsidR="00331742" w:rsidRPr="003D2956">
        <w:rPr>
          <w:b w:val="0"/>
          <w:vertAlign w:val="subscript"/>
        </w:rPr>
        <w:t>y</w:t>
      </w:r>
      <w:r w:rsidR="00331742" w:rsidRPr="003D2956">
        <w:rPr>
          <w:rFonts w:hint="eastAsia"/>
          <w:b w:val="0"/>
        </w:rPr>
        <w:t>-</w:t>
      </w:r>
      <w:r w:rsidR="00331742" w:rsidRPr="003D2956">
        <w:rPr>
          <w:b w:val="0"/>
        </w:rPr>
        <w:t>700</w:t>
      </w:r>
      <w:r w:rsidR="00331742" w:rsidRPr="003D2956">
        <w:rPr>
          <w:rFonts w:hint="eastAsia"/>
          <w:b w:val="0"/>
        </w:rPr>
        <w:t xml:space="preserve"> (c) RuO</w:t>
      </w:r>
      <w:r w:rsidR="00331742" w:rsidRPr="003D2956">
        <w:rPr>
          <w:b w:val="0"/>
          <w:vertAlign w:val="subscript"/>
        </w:rPr>
        <w:t>x</w:t>
      </w:r>
      <w:r w:rsidR="00331742" w:rsidRPr="003D2956">
        <w:rPr>
          <w:rFonts w:hint="eastAsia"/>
          <w:b w:val="0"/>
        </w:rPr>
        <w:t>Se</w:t>
      </w:r>
      <w:r w:rsidR="00331742" w:rsidRPr="003D2956">
        <w:rPr>
          <w:b w:val="0"/>
          <w:vertAlign w:val="subscript"/>
        </w:rPr>
        <w:t>y</w:t>
      </w:r>
      <w:r w:rsidR="00331742" w:rsidRPr="003D2956">
        <w:rPr>
          <w:rFonts w:hint="eastAsia"/>
          <w:b w:val="0"/>
        </w:rPr>
        <w:t>-</w:t>
      </w:r>
      <w:r w:rsidR="00331742" w:rsidRPr="003D2956">
        <w:rPr>
          <w:b w:val="0"/>
        </w:rPr>
        <w:t>75</w:t>
      </w:r>
      <w:r w:rsidR="00331742" w:rsidRPr="003D2956">
        <w:rPr>
          <w:rFonts w:hint="eastAsia"/>
          <w:b w:val="0"/>
        </w:rPr>
        <w:t>0 (d) RuO</w:t>
      </w:r>
      <w:r w:rsidR="00331742" w:rsidRPr="003D2956">
        <w:rPr>
          <w:b w:val="0"/>
          <w:vertAlign w:val="subscript"/>
        </w:rPr>
        <w:t>x</w:t>
      </w:r>
      <w:r w:rsidR="00331742" w:rsidRPr="003D2956">
        <w:rPr>
          <w:rFonts w:hint="eastAsia"/>
          <w:b w:val="0"/>
        </w:rPr>
        <w:t>Se</w:t>
      </w:r>
      <w:r w:rsidR="00331742" w:rsidRPr="003D2956">
        <w:rPr>
          <w:b w:val="0"/>
          <w:vertAlign w:val="subscript"/>
        </w:rPr>
        <w:t>y</w:t>
      </w:r>
      <w:r w:rsidR="00331742" w:rsidRPr="003D2956">
        <w:rPr>
          <w:rFonts w:hint="eastAsia"/>
          <w:b w:val="0"/>
        </w:rPr>
        <w:t>-</w:t>
      </w:r>
      <w:r w:rsidR="00331742" w:rsidRPr="003D2956">
        <w:rPr>
          <w:b w:val="0"/>
        </w:rPr>
        <w:t>800</w:t>
      </w:r>
      <w:r w:rsidR="00331742" w:rsidRPr="003D2956">
        <w:rPr>
          <w:rFonts w:hint="eastAsia"/>
          <w:b w:val="0"/>
        </w:rPr>
        <w:t xml:space="preserve"> (e) RuO</w:t>
      </w:r>
      <w:r w:rsidR="00331742" w:rsidRPr="003D2956">
        <w:rPr>
          <w:b w:val="0"/>
          <w:vertAlign w:val="subscript"/>
        </w:rPr>
        <w:t>x</w:t>
      </w:r>
      <w:r w:rsidR="00331742" w:rsidRPr="003D2956">
        <w:rPr>
          <w:rFonts w:hint="eastAsia"/>
          <w:b w:val="0"/>
        </w:rPr>
        <w:t>Se</w:t>
      </w:r>
      <w:r w:rsidR="00331742" w:rsidRPr="003D2956">
        <w:rPr>
          <w:b w:val="0"/>
          <w:vertAlign w:val="subscript"/>
        </w:rPr>
        <w:t>y</w:t>
      </w:r>
      <w:r w:rsidR="00331742" w:rsidRPr="003D2956">
        <w:rPr>
          <w:rFonts w:hint="eastAsia"/>
          <w:b w:val="0"/>
        </w:rPr>
        <w:t>-</w:t>
      </w:r>
      <w:r w:rsidR="00331742" w:rsidRPr="003D2956">
        <w:rPr>
          <w:b w:val="0"/>
        </w:rPr>
        <w:t>850</w:t>
      </w:r>
      <w:r w:rsidR="00331742" w:rsidRPr="003D2956">
        <w:rPr>
          <w:rFonts w:hint="eastAsia"/>
          <w:b w:val="0"/>
        </w:rPr>
        <w:t xml:space="preserve"> (f) RuO</w:t>
      </w:r>
      <w:r w:rsidR="00331742" w:rsidRPr="003D2956">
        <w:rPr>
          <w:b w:val="0"/>
          <w:vertAlign w:val="subscript"/>
        </w:rPr>
        <w:t>x</w:t>
      </w:r>
      <w:r w:rsidR="00331742" w:rsidRPr="003D2956">
        <w:rPr>
          <w:rFonts w:hint="eastAsia"/>
          <w:b w:val="0"/>
        </w:rPr>
        <w:t>Se</w:t>
      </w:r>
      <w:r w:rsidR="00331742" w:rsidRPr="003D2956">
        <w:rPr>
          <w:b w:val="0"/>
          <w:vertAlign w:val="subscript"/>
        </w:rPr>
        <w:t>y</w:t>
      </w:r>
      <w:r w:rsidR="00331742" w:rsidRPr="003D2956">
        <w:rPr>
          <w:rFonts w:hint="eastAsia"/>
          <w:b w:val="0"/>
        </w:rPr>
        <w:t>-</w:t>
      </w:r>
      <w:r w:rsidR="00331742" w:rsidRPr="003D2956">
        <w:rPr>
          <w:b w:val="0"/>
        </w:rPr>
        <w:t>900</w:t>
      </w:r>
      <w:r w:rsidR="001A7B73" w:rsidRPr="003D2956">
        <w:rPr>
          <w:b w:val="0"/>
        </w:rPr>
        <w:t>.</w:t>
      </w:r>
      <w:bookmarkEnd w:id="0"/>
    </w:p>
    <w:p w14:paraId="1106AAB4" w14:textId="77777777" w:rsidR="00812109" w:rsidRPr="003D2956" w:rsidRDefault="00812109">
      <w:pPr>
        <w:rPr>
          <w:bCs/>
          <w:kern w:val="32"/>
          <w:szCs w:val="24"/>
        </w:rPr>
      </w:pPr>
      <w:r w:rsidRPr="003D2956">
        <w:rPr>
          <w:b/>
        </w:rPr>
        <w:br w:type="page"/>
      </w:r>
    </w:p>
    <w:p w14:paraId="47CF8618" w14:textId="6E8F5A1E" w:rsidR="00812109" w:rsidRPr="003D2956" w:rsidRDefault="009F2973" w:rsidP="00812109">
      <w:pPr>
        <w:pStyle w:val="SMcaption"/>
        <w:jc w:val="center"/>
      </w:pPr>
      <w:r w:rsidRPr="003D2956">
        <w:rPr>
          <w:rFonts w:hint="eastAsia"/>
          <w:noProof/>
          <w:lang w:eastAsia="zh-CN"/>
        </w:rPr>
        <w:lastRenderedPageBreak/>
        <w:drawing>
          <wp:inline distT="0" distB="0" distL="0" distR="0" wp14:anchorId="0C811ED2" wp14:editId="508823BF">
            <wp:extent cx="5760720" cy="637667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V.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6376670"/>
                    </a:xfrm>
                    <a:prstGeom prst="rect">
                      <a:avLst/>
                    </a:prstGeom>
                  </pic:spPr>
                </pic:pic>
              </a:graphicData>
            </a:graphic>
          </wp:inline>
        </w:drawing>
      </w:r>
    </w:p>
    <w:p w14:paraId="7C9BA2EB" w14:textId="65D42974" w:rsidR="00324107" w:rsidRPr="003D2956" w:rsidRDefault="00812109" w:rsidP="00812109">
      <w:pPr>
        <w:pStyle w:val="SMHeading"/>
        <w:spacing w:line="480" w:lineRule="auto"/>
      </w:pPr>
      <w:r w:rsidRPr="003D2956">
        <w:t xml:space="preserve">Figure S2. </w:t>
      </w:r>
      <w:r w:rsidR="009F2973" w:rsidRPr="003D2956">
        <w:rPr>
          <w:rFonts w:hint="eastAsia"/>
          <w:b w:val="0"/>
        </w:rPr>
        <w:t>CV curves of (a)</w:t>
      </w:r>
      <w:r w:rsidR="009F2973" w:rsidRPr="003D2956">
        <w:rPr>
          <w:b w:val="0"/>
        </w:rPr>
        <w:t xml:space="preserve"> </w:t>
      </w:r>
      <w:r w:rsidR="009F2973" w:rsidRPr="003D2956">
        <w:rPr>
          <w:rFonts w:hint="eastAsia"/>
          <w:b w:val="0"/>
        </w:rPr>
        <w:t>RuO</w:t>
      </w:r>
      <w:r w:rsidR="009F2973" w:rsidRPr="003D2956">
        <w:rPr>
          <w:b w:val="0"/>
          <w:vertAlign w:val="subscript"/>
        </w:rPr>
        <w:t>x</w:t>
      </w:r>
      <w:r w:rsidR="009F2973" w:rsidRPr="003D2956">
        <w:rPr>
          <w:rFonts w:hint="eastAsia"/>
          <w:b w:val="0"/>
        </w:rPr>
        <w:t>Se</w:t>
      </w:r>
      <w:r w:rsidR="009F2973" w:rsidRPr="003D2956">
        <w:rPr>
          <w:b w:val="0"/>
          <w:vertAlign w:val="subscript"/>
        </w:rPr>
        <w:t>y</w:t>
      </w:r>
      <w:r w:rsidR="009F2973" w:rsidRPr="003D2956">
        <w:rPr>
          <w:rFonts w:hint="eastAsia"/>
          <w:b w:val="0"/>
        </w:rPr>
        <w:t>-900 (b) RuO</w:t>
      </w:r>
      <w:r w:rsidR="009F2973" w:rsidRPr="003D2956">
        <w:rPr>
          <w:b w:val="0"/>
          <w:vertAlign w:val="subscript"/>
        </w:rPr>
        <w:t>x</w:t>
      </w:r>
      <w:r w:rsidR="009F2973" w:rsidRPr="003D2956">
        <w:rPr>
          <w:rFonts w:hint="eastAsia"/>
          <w:b w:val="0"/>
        </w:rPr>
        <w:t>Se</w:t>
      </w:r>
      <w:r w:rsidR="009F2973" w:rsidRPr="003D2956">
        <w:rPr>
          <w:b w:val="0"/>
          <w:vertAlign w:val="subscript"/>
        </w:rPr>
        <w:t>y</w:t>
      </w:r>
      <w:r w:rsidR="009F2973" w:rsidRPr="003D2956">
        <w:rPr>
          <w:rFonts w:hint="eastAsia"/>
          <w:b w:val="0"/>
        </w:rPr>
        <w:t>-850 (c) RuO</w:t>
      </w:r>
      <w:r w:rsidR="009F2973" w:rsidRPr="003D2956">
        <w:rPr>
          <w:b w:val="0"/>
          <w:vertAlign w:val="subscript"/>
        </w:rPr>
        <w:t>x</w:t>
      </w:r>
      <w:r w:rsidR="009F2973" w:rsidRPr="003D2956">
        <w:rPr>
          <w:rFonts w:hint="eastAsia"/>
          <w:b w:val="0"/>
        </w:rPr>
        <w:t>Se</w:t>
      </w:r>
      <w:r w:rsidR="009F2973" w:rsidRPr="003D2956">
        <w:rPr>
          <w:b w:val="0"/>
          <w:vertAlign w:val="subscript"/>
        </w:rPr>
        <w:t>y</w:t>
      </w:r>
      <w:r w:rsidR="009F2973" w:rsidRPr="003D2956">
        <w:rPr>
          <w:rFonts w:hint="eastAsia"/>
          <w:b w:val="0"/>
        </w:rPr>
        <w:t>-800 (d) RuO</w:t>
      </w:r>
      <w:r w:rsidR="009F2973" w:rsidRPr="003D2956">
        <w:rPr>
          <w:b w:val="0"/>
          <w:vertAlign w:val="subscript"/>
        </w:rPr>
        <w:t>x</w:t>
      </w:r>
      <w:r w:rsidR="009F2973" w:rsidRPr="003D2956">
        <w:rPr>
          <w:rFonts w:hint="eastAsia"/>
          <w:b w:val="0"/>
        </w:rPr>
        <w:t>Se</w:t>
      </w:r>
      <w:r w:rsidR="009F2973" w:rsidRPr="003D2956">
        <w:rPr>
          <w:b w:val="0"/>
          <w:vertAlign w:val="subscript"/>
        </w:rPr>
        <w:t>y</w:t>
      </w:r>
      <w:r w:rsidR="009F2973" w:rsidRPr="003D2956">
        <w:rPr>
          <w:rFonts w:hint="eastAsia"/>
          <w:b w:val="0"/>
        </w:rPr>
        <w:t>-750 (e) RuO</w:t>
      </w:r>
      <w:r w:rsidR="009F2973" w:rsidRPr="003D2956">
        <w:rPr>
          <w:b w:val="0"/>
          <w:vertAlign w:val="subscript"/>
        </w:rPr>
        <w:t>x</w:t>
      </w:r>
      <w:r w:rsidR="009F2973" w:rsidRPr="003D2956">
        <w:rPr>
          <w:rFonts w:hint="eastAsia"/>
          <w:b w:val="0"/>
        </w:rPr>
        <w:t>Se</w:t>
      </w:r>
      <w:r w:rsidR="009F2973" w:rsidRPr="003D2956">
        <w:rPr>
          <w:b w:val="0"/>
          <w:vertAlign w:val="subscript"/>
        </w:rPr>
        <w:t>y</w:t>
      </w:r>
      <w:r w:rsidR="009F2973" w:rsidRPr="003D2956">
        <w:rPr>
          <w:rFonts w:hint="eastAsia"/>
          <w:b w:val="0"/>
        </w:rPr>
        <w:t>-700 (f) RuO</w:t>
      </w:r>
      <w:r w:rsidR="009F2973" w:rsidRPr="003D2956">
        <w:rPr>
          <w:rFonts w:hint="eastAsia"/>
          <w:b w:val="0"/>
          <w:vertAlign w:val="subscript"/>
        </w:rPr>
        <w:t>2</w:t>
      </w:r>
      <w:r w:rsidRPr="003D2956">
        <w:rPr>
          <w:b w:val="0"/>
        </w:rPr>
        <w:t>.</w:t>
      </w:r>
      <w:r w:rsidR="00324107" w:rsidRPr="003D2956">
        <w:br w:type="page"/>
      </w:r>
    </w:p>
    <w:p w14:paraId="79C5FEB0" w14:textId="77777777" w:rsidR="00324107" w:rsidRPr="003D2956" w:rsidRDefault="00324107" w:rsidP="00324107">
      <w:pPr>
        <w:spacing w:line="360" w:lineRule="auto"/>
      </w:pPr>
    </w:p>
    <w:p w14:paraId="3BC8A6BD" w14:textId="3703CBBB" w:rsidR="00324107" w:rsidRPr="003D2956" w:rsidRDefault="00914BB0" w:rsidP="004777F1">
      <w:pPr>
        <w:pStyle w:val="SMcaption"/>
        <w:jc w:val="center"/>
      </w:pPr>
      <w:r w:rsidRPr="003D2956">
        <w:rPr>
          <w:noProof/>
          <w:lang w:eastAsia="zh-CN"/>
        </w:rPr>
        <w:drawing>
          <wp:inline distT="0" distB="0" distL="0" distR="0" wp14:anchorId="27AB9914" wp14:editId="0E66D9A8">
            <wp:extent cx="5730240" cy="2021205"/>
            <wp:effectExtent l="0" t="0" r="3810" b="0"/>
            <wp:docPr id="34" name="图片 33">
              <a:extLst xmlns:a="http://schemas.openxmlformats.org/drawingml/2006/main">
                <a:ext uri="{FF2B5EF4-FFF2-40B4-BE49-F238E27FC236}">
                  <a16:creationId xmlns:a16="http://schemas.microsoft.com/office/drawing/2014/main" id="{678DC6D9-5353-4C01-A38B-A00086E6D8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a:extLst>
                        <a:ext uri="{FF2B5EF4-FFF2-40B4-BE49-F238E27FC236}">
                          <a16:creationId xmlns:a16="http://schemas.microsoft.com/office/drawing/2014/main" id="{678DC6D9-5353-4C01-A38B-A00086E6D8FA}"/>
                        </a:ext>
                      </a:extLst>
                    </pic:cNvPr>
                    <pic:cNvPicPr>
                      <a:picLocks noChangeAspect="1"/>
                    </pic:cNvPicPr>
                  </pic:nvPicPr>
                  <pic:blipFill rotWithShape="1">
                    <a:blip r:embed="rId9"/>
                    <a:srcRect l="530" t="1119" r="1"/>
                    <a:stretch/>
                  </pic:blipFill>
                  <pic:spPr bwMode="auto">
                    <a:xfrm>
                      <a:off x="0" y="0"/>
                      <a:ext cx="5730240" cy="2021205"/>
                    </a:xfrm>
                    <a:prstGeom prst="rect">
                      <a:avLst/>
                    </a:prstGeom>
                    <a:ln>
                      <a:noFill/>
                    </a:ln>
                    <a:extLst>
                      <a:ext uri="{53640926-AAD7-44D8-BBD7-CCE9431645EC}">
                        <a14:shadowObscured xmlns:a14="http://schemas.microsoft.com/office/drawing/2010/main"/>
                      </a:ext>
                    </a:extLst>
                  </pic:spPr>
                </pic:pic>
              </a:graphicData>
            </a:graphic>
          </wp:inline>
        </w:drawing>
      </w:r>
    </w:p>
    <w:p w14:paraId="6B3985D0" w14:textId="1737FEAB" w:rsidR="00324107" w:rsidRPr="003D2956" w:rsidRDefault="009278D6" w:rsidP="00D1224E">
      <w:pPr>
        <w:pStyle w:val="SMHeading"/>
        <w:spacing w:line="480" w:lineRule="auto"/>
      </w:pPr>
      <w:r w:rsidRPr="003D2956">
        <w:t>Figure</w:t>
      </w:r>
      <w:r w:rsidR="00E31F01" w:rsidRPr="003D2956">
        <w:t xml:space="preserve"> S</w:t>
      </w:r>
      <w:r w:rsidR="00E173D6" w:rsidRPr="003D2956">
        <w:t>3</w:t>
      </w:r>
      <w:r w:rsidR="00E31F01" w:rsidRPr="003D2956">
        <w:t xml:space="preserve">. </w:t>
      </w:r>
      <w:r w:rsidR="00914BB0" w:rsidRPr="003D2956">
        <w:rPr>
          <w:b w:val="0"/>
        </w:rPr>
        <w:t xml:space="preserve">HRTEM images at different magnifications of </w:t>
      </w:r>
      <w:proofErr w:type="spellStart"/>
      <w:r w:rsidR="00914BB0" w:rsidRPr="003D2956">
        <w:rPr>
          <w:rFonts w:hint="eastAsia"/>
          <w:b w:val="0"/>
        </w:rPr>
        <w:t>RuO</w:t>
      </w:r>
      <w:r w:rsidR="00914BB0" w:rsidRPr="003D2956">
        <w:rPr>
          <w:b w:val="0"/>
          <w:vertAlign w:val="subscript"/>
        </w:rPr>
        <w:t>x</w:t>
      </w:r>
      <w:r w:rsidR="00914BB0" w:rsidRPr="003D2956">
        <w:rPr>
          <w:rFonts w:hint="eastAsia"/>
          <w:b w:val="0"/>
        </w:rPr>
        <w:t>Se</w:t>
      </w:r>
      <w:r w:rsidR="00914BB0" w:rsidRPr="003D2956">
        <w:rPr>
          <w:b w:val="0"/>
          <w:vertAlign w:val="subscript"/>
        </w:rPr>
        <w:t>y</w:t>
      </w:r>
      <w:proofErr w:type="spellEnd"/>
      <w:r w:rsidR="00914BB0" w:rsidRPr="003D2956">
        <w:rPr>
          <w:b w:val="0"/>
          <w:lang w:val="de-DE"/>
        </w:rPr>
        <w:t>-800 sample</w:t>
      </w:r>
      <w:r w:rsidR="00914BB0" w:rsidRPr="003D2956">
        <w:rPr>
          <w:b w:val="0"/>
        </w:rPr>
        <w:t xml:space="preserve"> after stability test for 18 h</w:t>
      </w:r>
      <w:r w:rsidR="00427894" w:rsidRPr="003D2956">
        <w:rPr>
          <w:b w:val="0"/>
        </w:rPr>
        <w:t>.</w:t>
      </w:r>
      <w:r w:rsidR="00427894" w:rsidRPr="003D2956">
        <w:br w:type="page"/>
      </w:r>
    </w:p>
    <w:p w14:paraId="18CF793F" w14:textId="68256F57" w:rsidR="00324107" w:rsidRPr="003D2956" w:rsidRDefault="00E2238C" w:rsidP="004777F1">
      <w:pPr>
        <w:pStyle w:val="SMcaption"/>
        <w:jc w:val="center"/>
      </w:pPr>
      <w:r w:rsidRPr="003D2956">
        <w:rPr>
          <w:noProof/>
        </w:rPr>
        <w:lastRenderedPageBreak/>
        <w:drawing>
          <wp:inline distT="0" distB="0" distL="0" distR="0" wp14:anchorId="7F2D3A30" wp14:editId="051E3EA0">
            <wp:extent cx="5760720" cy="2529840"/>
            <wp:effectExtent l="0" t="0" r="0" b="0"/>
            <wp:docPr id="9" name="图片 3">
              <a:extLst xmlns:a="http://schemas.openxmlformats.org/drawingml/2006/main">
                <a:ext uri="{FF2B5EF4-FFF2-40B4-BE49-F238E27FC236}">
                  <a16:creationId xmlns:a16="http://schemas.microsoft.com/office/drawing/2014/main" id="{CFB6BBB3-F4C7-46A5-A78A-8CC0E68F8C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CFB6BBB3-F4C7-46A5-A78A-8CC0E68F8C9A}"/>
                        </a:ext>
                      </a:extLst>
                    </pic:cNvPr>
                    <pic:cNvPicPr>
                      <a:picLocks noChangeAspect="1"/>
                    </pic:cNvPicPr>
                  </pic:nvPicPr>
                  <pic:blipFill rotWithShape="1">
                    <a:blip r:embed="rId10"/>
                    <a:srcRect l="8044" t="10030" r="12500" b="928"/>
                    <a:stretch/>
                  </pic:blipFill>
                  <pic:spPr>
                    <a:xfrm>
                      <a:off x="0" y="0"/>
                      <a:ext cx="5760720" cy="2529840"/>
                    </a:xfrm>
                    <a:prstGeom prst="rect">
                      <a:avLst/>
                    </a:prstGeom>
                  </pic:spPr>
                </pic:pic>
              </a:graphicData>
            </a:graphic>
          </wp:inline>
        </w:drawing>
      </w:r>
    </w:p>
    <w:p w14:paraId="2B28C5E8" w14:textId="68D47580" w:rsidR="00324107" w:rsidRPr="003D2956" w:rsidRDefault="009278D6" w:rsidP="00AA45C4">
      <w:pPr>
        <w:pStyle w:val="SMHeading"/>
        <w:spacing w:line="480" w:lineRule="auto"/>
      </w:pPr>
      <w:r w:rsidRPr="003D2956">
        <w:t>Figure</w:t>
      </w:r>
      <w:r w:rsidR="00E31F01" w:rsidRPr="003D2956">
        <w:t xml:space="preserve"> S</w:t>
      </w:r>
      <w:r w:rsidR="00E173D6" w:rsidRPr="003D2956">
        <w:t>4</w:t>
      </w:r>
      <w:r w:rsidR="00E31F01" w:rsidRPr="003D2956">
        <w:t xml:space="preserve">. </w:t>
      </w:r>
      <w:r w:rsidR="00E2238C" w:rsidRPr="003D2956">
        <w:rPr>
          <w:b w:val="0"/>
        </w:rPr>
        <w:t xml:space="preserve">The comparison of </w:t>
      </w:r>
      <w:r w:rsidR="00E2238C" w:rsidRPr="003D2956">
        <w:rPr>
          <w:rFonts w:hint="eastAsia"/>
          <w:b w:val="0"/>
        </w:rPr>
        <w:t>RuO</w:t>
      </w:r>
      <w:r w:rsidR="00E2238C" w:rsidRPr="003D2956">
        <w:rPr>
          <w:b w:val="0"/>
          <w:vertAlign w:val="subscript"/>
        </w:rPr>
        <w:t>x</w:t>
      </w:r>
      <w:r w:rsidR="00E2238C" w:rsidRPr="003D2956">
        <w:rPr>
          <w:rFonts w:hint="eastAsia"/>
          <w:b w:val="0"/>
        </w:rPr>
        <w:t>Se</w:t>
      </w:r>
      <w:r w:rsidR="00E2238C" w:rsidRPr="003D2956">
        <w:rPr>
          <w:b w:val="0"/>
          <w:vertAlign w:val="subscript"/>
        </w:rPr>
        <w:t>y</w:t>
      </w:r>
      <w:r w:rsidR="00E2238C" w:rsidRPr="003D2956">
        <w:rPr>
          <w:b w:val="0"/>
        </w:rPr>
        <w:t xml:space="preserve">-800 with recently reported catalysts in view of </w:t>
      </w:r>
      <w:r w:rsidR="00E2238C" w:rsidRPr="003D2956">
        <w:rPr>
          <w:b w:val="0"/>
          <w:i/>
          <w:iCs/>
        </w:rPr>
        <w:t>η</w:t>
      </w:r>
      <w:r w:rsidR="00E2238C" w:rsidRPr="003D2956">
        <w:rPr>
          <w:b w:val="0"/>
          <w:vertAlign w:val="subscript"/>
        </w:rPr>
        <w:t>10</w:t>
      </w:r>
      <w:r w:rsidR="00E2238C" w:rsidRPr="003D2956">
        <w:rPr>
          <w:b w:val="0"/>
        </w:rPr>
        <w:t xml:space="preserve"> and Tafel slope</w:t>
      </w:r>
      <w:r w:rsidR="00920055" w:rsidRPr="003D2956">
        <w:rPr>
          <w:b w:val="0"/>
        </w:rPr>
        <w:t>.</w:t>
      </w:r>
    </w:p>
    <w:p w14:paraId="563D11E6" w14:textId="77777777" w:rsidR="00324107" w:rsidRPr="003D2956" w:rsidRDefault="00324107" w:rsidP="00324107">
      <w:r w:rsidRPr="003D2956">
        <w:br w:type="page"/>
      </w:r>
    </w:p>
    <w:p w14:paraId="470F692E" w14:textId="270A5F9F" w:rsidR="00961136" w:rsidRPr="003D2956" w:rsidRDefault="00961136" w:rsidP="00EC2399">
      <w:pPr>
        <w:spacing w:afterLines="50" w:after="120" w:line="480" w:lineRule="auto"/>
        <w:jc w:val="both"/>
        <w:rPr>
          <w:rFonts w:eastAsia="宋体"/>
          <w:szCs w:val="24"/>
        </w:rPr>
      </w:pPr>
      <w:r w:rsidRPr="003D2956">
        <w:rPr>
          <w:rFonts w:eastAsia="AdvOT1ef757c0"/>
          <w:b/>
          <w:szCs w:val="24"/>
        </w:rPr>
        <w:lastRenderedPageBreak/>
        <w:t>Table</w:t>
      </w:r>
      <w:r w:rsidRPr="003D2956">
        <w:rPr>
          <w:rFonts w:eastAsia="宋体"/>
          <w:b/>
          <w:szCs w:val="24"/>
        </w:rPr>
        <w:t xml:space="preserve"> </w:t>
      </w:r>
      <w:r w:rsidR="00AB792E" w:rsidRPr="003D2956">
        <w:rPr>
          <w:rFonts w:eastAsia="宋体"/>
          <w:b/>
          <w:szCs w:val="24"/>
        </w:rPr>
        <w:t>S</w:t>
      </w:r>
      <w:r w:rsidRPr="003D2956">
        <w:rPr>
          <w:rFonts w:eastAsia="宋体"/>
          <w:b/>
          <w:szCs w:val="24"/>
        </w:rPr>
        <w:t xml:space="preserve">1. </w:t>
      </w:r>
      <w:r w:rsidR="007F5EB2" w:rsidRPr="003D2956">
        <w:rPr>
          <w:rFonts w:eastAsia="宋体"/>
          <w:bCs/>
        </w:rPr>
        <w:t>EIS fitting results o</w:t>
      </w:r>
      <w:r w:rsidR="007F5EB2" w:rsidRPr="003D2956">
        <w:rPr>
          <w:rFonts w:eastAsia="宋体" w:hint="eastAsia"/>
          <w:bCs/>
        </w:rPr>
        <w:t xml:space="preserve">f </w:t>
      </w:r>
      <w:r w:rsidR="007F5EB2" w:rsidRPr="003D2956">
        <w:rPr>
          <w:rFonts w:eastAsia="宋体"/>
          <w:bCs/>
        </w:rPr>
        <w:t>different RuO</w:t>
      </w:r>
      <w:r w:rsidR="007F5EB2" w:rsidRPr="003D2956">
        <w:rPr>
          <w:rFonts w:eastAsia="宋体"/>
          <w:bCs/>
          <w:vertAlign w:val="subscript"/>
        </w:rPr>
        <w:t>2</w:t>
      </w:r>
      <w:r w:rsidR="007F5EB2" w:rsidRPr="003D2956">
        <w:rPr>
          <w:rFonts w:eastAsia="宋体"/>
          <w:bCs/>
        </w:rPr>
        <w:t>Se</w:t>
      </w:r>
      <w:r w:rsidR="007F5EB2" w:rsidRPr="003D2956">
        <w:rPr>
          <w:rFonts w:eastAsia="宋体"/>
          <w:bCs/>
          <w:vertAlign w:val="subscript"/>
        </w:rPr>
        <w:t>x</w:t>
      </w:r>
      <w:r w:rsidR="007F5EB2" w:rsidRPr="003D2956">
        <w:rPr>
          <w:rFonts w:eastAsia="宋体" w:hint="eastAsia"/>
          <w:bCs/>
        </w:rPr>
        <w:t xml:space="preserve"> catalysts</w:t>
      </w:r>
      <w:r w:rsidRPr="003D2956">
        <w:rPr>
          <w:rFonts w:eastAsia="宋体"/>
          <w:szCs w:val="24"/>
        </w:rPr>
        <w:t>.</w:t>
      </w:r>
    </w:p>
    <w:tbl>
      <w:tblPr>
        <w:tblStyle w:val="affff9"/>
        <w:tblW w:w="9069"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3295"/>
        <w:gridCol w:w="1352"/>
        <w:gridCol w:w="2270"/>
        <w:gridCol w:w="2152"/>
      </w:tblGrid>
      <w:tr w:rsidR="003D2956" w:rsidRPr="003D2956" w14:paraId="093A1FEE" w14:textId="77777777" w:rsidTr="00357F19">
        <w:trPr>
          <w:trHeight w:val="567"/>
          <w:jc w:val="center"/>
        </w:trPr>
        <w:tc>
          <w:tcPr>
            <w:tcW w:w="3295" w:type="dxa"/>
            <w:tcBorders>
              <w:top w:val="single" w:sz="12" w:space="0" w:color="000000" w:themeColor="text1"/>
              <w:bottom w:val="single" w:sz="12" w:space="0" w:color="000000" w:themeColor="text1"/>
            </w:tcBorders>
            <w:vAlign w:val="center"/>
          </w:tcPr>
          <w:p w14:paraId="0917B72E" w14:textId="74941796" w:rsidR="00D51E7A" w:rsidRPr="003D2956" w:rsidRDefault="00D51E7A" w:rsidP="00D51E7A">
            <w:pPr>
              <w:adjustRightInd w:val="0"/>
              <w:snapToGrid w:val="0"/>
              <w:jc w:val="center"/>
              <w:rPr>
                <w:rFonts w:ascii="Times New Roman" w:eastAsia="宋体" w:hAnsi="Times New Roman" w:cs="Times New Roman"/>
                <w:b/>
                <w:bCs/>
                <w:szCs w:val="24"/>
              </w:rPr>
            </w:pPr>
            <w:r w:rsidRPr="003D2956">
              <w:rPr>
                <w:rFonts w:ascii="Times New Roman" w:hAnsi="Times New Roman" w:cs="Times New Roman"/>
                <w:b/>
                <w:bCs/>
              </w:rPr>
              <w:t>Catalyst</w:t>
            </w:r>
          </w:p>
        </w:tc>
        <w:tc>
          <w:tcPr>
            <w:tcW w:w="1352" w:type="dxa"/>
            <w:tcBorders>
              <w:top w:val="single" w:sz="12" w:space="0" w:color="000000" w:themeColor="text1"/>
              <w:bottom w:val="single" w:sz="12" w:space="0" w:color="000000" w:themeColor="text1"/>
            </w:tcBorders>
            <w:vAlign w:val="center"/>
          </w:tcPr>
          <w:p w14:paraId="6DDB2697" w14:textId="6F236730" w:rsidR="00D51E7A" w:rsidRPr="003D2956" w:rsidRDefault="00D51E7A" w:rsidP="00D51E7A">
            <w:pPr>
              <w:adjustRightInd w:val="0"/>
              <w:snapToGrid w:val="0"/>
              <w:jc w:val="center"/>
              <w:rPr>
                <w:rFonts w:ascii="Times New Roman" w:eastAsia="宋体" w:hAnsi="Times New Roman" w:cs="Times New Roman"/>
                <w:b/>
                <w:bCs/>
                <w:szCs w:val="24"/>
              </w:rPr>
            </w:pPr>
            <w:r w:rsidRPr="003D2956">
              <w:rPr>
                <w:rFonts w:ascii="Times New Roman" w:hAnsi="Times New Roman" w:cs="Times New Roman"/>
                <w:b/>
                <w:bCs/>
                <w:i/>
              </w:rPr>
              <w:t>R</w:t>
            </w:r>
            <w:r w:rsidRPr="003D2956">
              <w:rPr>
                <w:rFonts w:ascii="Times New Roman" w:hAnsi="Times New Roman" w:cs="Times New Roman"/>
                <w:b/>
                <w:bCs/>
                <w:vertAlign w:val="subscript"/>
              </w:rPr>
              <w:t>S</w:t>
            </w:r>
            <w:r w:rsidR="00C15FDD" w:rsidRPr="003D2956">
              <w:rPr>
                <w:rFonts w:ascii="Times New Roman" w:hAnsi="Times New Roman" w:cs="Times New Roman"/>
                <w:b/>
                <w:bCs/>
                <w:vertAlign w:val="subscript"/>
              </w:rPr>
              <w:t xml:space="preserve"> </w:t>
            </w:r>
            <w:r w:rsidRPr="003D2956">
              <w:rPr>
                <w:rFonts w:ascii="Times New Roman" w:hAnsi="Times New Roman" w:cs="Times New Roman"/>
                <w:b/>
                <w:bCs/>
              </w:rPr>
              <w:t>(</w:t>
            </w:r>
            <w:r w:rsidRPr="003D2956">
              <w:rPr>
                <w:rFonts w:ascii="Times New Roman" w:hAnsi="Times New Roman" w:cs="Times New Roman"/>
                <w:b/>
                <w:bCs/>
              </w:rPr>
              <w:sym w:font="Symbol" w:char="F057"/>
            </w:r>
            <w:r w:rsidRPr="003D2956">
              <w:rPr>
                <w:rFonts w:ascii="Times New Roman" w:hAnsi="Times New Roman" w:cs="Times New Roman"/>
                <w:b/>
                <w:bCs/>
              </w:rPr>
              <w:t>)</w:t>
            </w:r>
          </w:p>
        </w:tc>
        <w:tc>
          <w:tcPr>
            <w:tcW w:w="2270" w:type="dxa"/>
            <w:tcBorders>
              <w:top w:val="single" w:sz="12" w:space="0" w:color="000000" w:themeColor="text1"/>
              <w:bottom w:val="single" w:sz="12" w:space="0" w:color="000000" w:themeColor="text1"/>
            </w:tcBorders>
            <w:vAlign w:val="center"/>
          </w:tcPr>
          <w:p w14:paraId="0B64689E" w14:textId="3C3A991E" w:rsidR="00D51E7A" w:rsidRPr="003D2956" w:rsidRDefault="00D51E7A" w:rsidP="00D51E7A">
            <w:pPr>
              <w:adjustRightInd w:val="0"/>
              <w:snapToGrid w:val="0"/>
              <w:jc w:val="center"/>
              <w:rPr>
                <w:rFonts w:ascii="Times New Roman" w:eastAsia="宋体" w:hAnsi="Times New Roman" w:cs="Times New Roman"/>
                <w:b/>
                <w:bCs/>
                <w:szCs w:val="24"/>
              </w:rPr>
            </w:pPr>
            <w:r w:rsidRPr="003D2956">
              <w:rPr>
                <w:rFonts w:ascii="Times New Roman" w:hAnsi="Times New Roman" w:cs="Times New Roman"/>
                <w:b/>
                <w:bCs/>
                <w:i/>
              </w:rPr>
              <w:t>R</w:t>
            </w:r>
            <w:r w:rsidRPr="003D2956">
              <w:rPr>
                <w:rFonts w:ascii="Times New Roman" w:hAnsi="Times New Roman" w:cs="Times New Roman"/>
                <w:b/>
                <w:bCs/>
                <w:vertAlign w:val="subscript"/>
              </w:rPr>
              <w:t>ct1</w:t>
            </w:r>
            <w:r w:rsidR="00C15FDD" w:rsidRPr="003D2956">
              <w:rPr>
                <w:rFonts w:ascii="Times New Roman" w:hAnsi="Times New Roman" w:cs="Times New Roman"/>
                <w:b/>
                <w:bCs/>
                <w:vertAlign w:val="subscript"/>
              </w:rPr>
              <w:t xml:space="preserve"> </w:t>
            </w:r>
            <w:r w:rsidRPr="003D2956">
              <w:rPr>
                <w:rFonts w:ascii="Times New Roman" w:hAnsi="Times New Roman" w:cs="Times New Roman"/>
                <w:b/>
                <w:bCs/>
              </w:rPr>
              <w:t>(</w:t>
            </w:r>
            <w:r w:rsidRPr="003D2956">
              <w:rPr>
                <w:rFonts w:ascii="Times New Roman" w:hAnsi="Times New Roman" w:cs="Times New Roman"/>
                <w:b/>
                <w:bCs/>
              </w:rPr>
              <w:sym w:font="Symbol" w:char="F057"/>
            </w:r>
            <w:r w:rsidRPr="003D2956">
              <w:rPr>
                <w:rFonts w:ascii="Times New Roman" w:hAnsi="Times New Roman" w:cs="Times New Roman"/>
                <w:b/>
                <w:bCs/>
              </w:rPr>
              <w:t>)</w:t>
            </w:r>
          </w:p>
        </w:tc>
        <w:tc>
          <w:tcPr>
            <w:tcW w:w="2152" w:type="dxa"/>
            <w:tcBorders>
              <w:top w:val="single" w:sz="12" w:space="0" w:color="000000" w:themeColor="text1"/>
              <w:bottom w:val="single" w:sz="12" w:space="0" w:color="000000" w:themeColor="text1"/>
            </w:tcBorders>
            <w:vAlign w:val="center"/>
          </w:tcPr>
          <w:p w14:paraId="260E2F52" w14:textId="2F10F754" w:rsidR="00D51E7A" w:rsidRPr="003D2956" w:rsidRDefault="00D51E7A" w:rsidP="00D51E7A">
            <w:pPr>
              <w:adjustRightInd w:val="0"/>
              <w:snapToGrid w:val="0"/>
              <w:jc w:val="center"/>
              <w:rPr>
                <w:rFonts w:ascii="Times New Roman" w:eastAsia="宋体" w:hAnsi="Times New Roman" w:cs="Times New Roman"/>
                <w:b/>
                <w:bCs/>
                <w:szCs w:val="24"/>
              </w:rPr>
            </w:pPr>
            <w:r w:rsidRPr="003D2956">
              <w:rPr>
                <w:rFonts w:ascii="Times New Roman" w:hAnsi="Times New Roman" w:cs="Times New Roman"/>
                <w:b/>
                <w:bCs/>
                <w:i/>
              </w:rPr>
              <w:t>R</w:t>
            </w:r>
            <w:r w:rsidRPr="003D2956">
              <w:rPr>
                <w:rFonts w:ascii="Times New Roman" w:hAnsi="Times New Roman" w:cs="Times New Roman"/>
                <w:b/>
                <w:bCs/>
                <w:vertAlign w:val="subscript"/>
              </w:rPr>
              <w:t>2</w:t>
            </w:r>
            <w:r w:rsidR="00C15FDD" w:rsidRPr="003D2956">
              <w:rPr>
                <w:rFonts w:ascii="Times New Roman" w:hAnsi="Times New Roman" w:cs="Times New Roman"/>
                <w:b/>
                <w:bCs/>
                <w:vertAlign w:val="subscript"/>
              </w:rPr>
              <w:t xml:space="preserve"> </w:t>
            </w:r>
            <w:r w:rsidRPr="003D2956">
              <w:rPr>
                <w:rFonts w:ascii="Times New Roman" w:hAnsi="Times New Roman" w:cs="Times New Roman"/>
                <w:b/>
                <w:bCs/>
              </w:rPr>
              <w:t>(</w:t>
            </w:r>
            <w:r w:rsidRPr="003D2956">
              <w:rPr>
                <w:rFonts w:ascii="Times New Roman" w:hAnsi="Times New Roman" w:cs="Times New Roman"/>
                <w:b/>
                <w:bCs/>
              </w:rPr>
              <w:sym w:font="Symbol" w:char="F057"/>
            </w:r>
            <w:r w:rsidRPr="003D2956">
              <w:rPr>
                <w:rFonts w:ascii="Times New Roman" w:hAnsi="Times New Roman" w:cs="Times New Roman"/>
                <w:b/>
                <w:bCs/>
              </w:rPr>
              <w:t>)</w:t>
            </w:r>
          </w:p>
        </w:tc>
      </w:tr>
      <w:tr w:rsidR="003D2956" w:rsidRPr="003D2956" w14:paraId="79C67345" w14:textId="77777777" w:rsidTr="00694E19">
        <w:trPr>
          <w:trHeight w:val="539"/>
          <w:jc w:val="center"/>
        </w:trPr>
        <w:tc>
          <w:tcPr>
            <w:tcW w:w="3295" w:type="dxa"/>
            <w:vAlign w:val="center"/>
          </w:tcPr>
          <w:p w14:paraId="15E79759" w14:textId="32392898" w:rsidR="00D51E7A" w:rsidRPr="003D2956" w:rsidRDefault="00D51E7A" w:rsidP="00D51E7A">
            <w:pPr>
              <w:adjustRightInd w:val="0"/>
              <w:snapToGrid w:val="0"/>
              <w:jc w:val="center"/>
              <w:rPr>
                <w:rFonts w:ascii="Times New Roman" w:eastAsia="宋体" w:hAnsi="Times New Roman" w:cs="Times New Roman"/>
                <w:szCs w:val="24"/>
              </w:rPr>
            </w:pPr>
            <w:r w:rsidRPr="003D2956">
              <w:rPr>
                <w:rFonts w:ascii="Times New Roman" w:hAnsi="Times New Roman" w:cs="Times New Roman"/>
              </w:rPr>
              <w:t>RuO</w:t>
            </w:r>
            <w:r w:rsidRPr="003D2956">
              <w:rPr>
                <w:rFonts w:ascii="Times New Roman" w:hAnsi="Times New Roman" w:cs="Times New Roman"/>
                <w:vertAlign w:val="subscript"/>
              </w:rPr>
              <w:t>x</w:t>
            </w:r>
            <w:r w:rsidRPr="003D2956">
              <w:rPr>
                <w:rFonts w:ascii="Times New Roman" w:hAnsi="Times New Roman" w:cs="Times New Roman"/>
              </w:rPr>
              <w:t>Se</w:t>
            </w:r>
            <w:r w:rsidRPr="003D2956">
              <w:rPr>
                <w:rFonts w:ascii="Times New Roman" w:hAnsi="Times New Roman" w:cs="Times New Roman"/>
                <w:vertAlign w:val="subscript"/>
              </w:rPr>
              <w:t>y</w:t>
            </w:r>
            <w:r w:rsidRPr="003D2956">
              <w:rPr>
                <w:rFonts w:ascii="Times New Roman" w:hAnsi="Times New Roman" w:cs="Times New Roman"/>
              </w:rPr>
              <w:t>-900</w:t>
            </w:r>
          </w:p>
        </w:tc>
        <w:tc>
          <w:tcPr>
            <w:tcW w:w="1352" w:type="dxa"/>
            <w:vAlign w:val="center"/>
          </w:tcPr>
          <w:p w14:paraId="70A5F969" w14:textId="361346E1" w:rsidR="00D51E7A" w:rsidRPr="003D2956" w:rsidRDefault="00D51E7A" w:rsidP="00D51E7A">
            <w:pPr>
              <w:adjustRightInd w:val="0"/>
              <w:snapToGrid w:val="0"/>
              <w:jc w:val="center"/>
              <w:rPr>
                <w:rFonts w:ascii="Times New Roman" w:eastAsia="宋体" w:hAnsi="Times New Roman" w:cs="Times New Roman"/>
                <w:szCs w:val="24"/>
              </w:rPr>
            </w:pPr>
            <w:r w:rsidRPr="003D2956">
              <w:rPr>
                <w:rFonts w:ascii="Times New Roman" w:hAnsi="Times New Roman" w:cs="Times New Roman"/>
              </w:rPr>
              <w:t>3.699</w:t>
            </w:r>
          </w:p>
        </w:tc>
        <w:tc>
          <w:tcPr>
            <w:tcW w:w="2270" w:type="dxa"/>
            <w:vAlign w:val="center"/>
          </w:tcPr>
          <w:p w14:paraId="2A5E274F" w14:textId="4B6FA473" w:rsidR="00D51E7A" w:rsidRPr="003D2956" w:rsidRDefault="00D51E7A" w:rsidP="00D51E7A">
            <w:pPr>
              <w:adjustRightInd w:val="0"/>
              <w:snapToGrid w:val="0"/>
              <w:jc w:val="center"/>
              <w:rPr>
                <w:rFonts w:ascii="Times New Roman" w:eastAsia="宋体" w:hAnsi="Times New Roman" w:cs="Times New Roman"/>
                <w:szCs w:val="24"/>
              </w:rPr>
            </w:pPr>
            <w:r w:rsidRPr="003D2956">
              <w:rPr>
                <w:rFonts w:ascii="Times New Roman" w:hAnsi="Times New Roman" w:cs="Times New Roman"/>
              </w:rPr>
              <w:t>2.586</w:t>
            </w:r>
          </w:p>
        </w:tc>
        <w:tc>
          <w:tcPr>
            <w:tcW w:w="2152" w:type="dxa"/>
            <w:vAlign w:val="center"/>
          </w:tcPr>
          <w:p w14:paraId="7916C668" w14:textId="704D7429" w:rsidR="00D51E7A" w:rsidRPr="003D2956" w:rsidRDefault="00D51E7A" w:rsidP="00D51E7A">
            <w:pPr>
              <w:adjustRightInd w:val="0"/>
              <w:snapToGrid w:val="0"/>
              <w:jc w:val="center"/>
              <w:rPr>
                <w:rFonts w:ascii="Times New Roman" w:eastAsia="宋体" w:hAnsi="Times New Roman" w:cs="Times New Roman"/>
                <w:szCs w:val="24"/>
              </w:rPr>
            </w:pPr>
            <w:r w:rsidRPr="003D2956">
              <w:rPr>
                <w:rFonts w:ascii="Times New Roman" w:hAnsi="Times New Roman" w:cs="Times New Roman"/>
              </w:rPr>
              <w:t>8.334</w:t>
            </w:r>
          </w:p>
        </w:tc>
      </w:tr>
      <w:tr w:rsidR="003D2956" w:rsidRPr="003D2956" w14:paraId="06913D5F" w14:textId="77777777" w:rsidTr="00694E19">
        <w:trPr>
          <w:trHeight w:val="539"/>
          <w:jc w:val="center"/>
        </w:trPr>
        <w:tc>
          <w:tcPr>
            <w:tcW w:w="3295" w:type="dxa"/>
            <w:shd w:val="clear" w:color="auto" w:fill="F2F2F2" w:themeFill="background1" w:themeFillShade="F2"/>
            <w:vAlign w:val="center"/>
          </w:tcPr>
          <w:p w14:paraId="4D41290F" w14:textId="2EAC84A1"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RuO</w:t>
            </w:r>
            <w:r w:rsidRPr="003D2956">
              <w:rPr>
                <w:rFonts w:ascii="Times New Roman" w:hAnsi="Times New Roman" w:cs="Times New Roman"/>
                <w:vertAlign w:val="subscript"/>
              </w:rPr>
              <w:t>x</w:t>
            </w:r>
            <w:r w:rsidRPr="003D2956">
              <w:rPr>
                <w:rFonts w:ascii="Times New Roman" w:hAnsi="Times New Roman" w:cs="Times New Roman"/>
              </w:rPr>
              <w:t>Se</w:t>
            </w:r>
            <w:r w:rsidRPr="003D2956">
              <w:rPr>
                <w:rFonts w:ascii="Times New Roman" w:hAnsi="Times New Roman" w:cs="Times New Roman"/>
                <w:vertAlign w:val="subscript"/>
              </w:rPr>
              <w:t>y</w:t>
            </w:r>
            <w:r w:rsidRPr="003D2956">
              <w:rPr>
                <w:rFonts w:ascii="Times New Roman" w:hAnsi="Times New Roman" w:cs="Times New Roman"/>
              </w:rPr>
              <w:t>-850</w:t>
            </w:r>
          </w:p>
        </w:tc>
        <w:tc>
          <w:tcPr>
            <w:tcW w:w="1352" w:type="dxa"/>
            <w:shd w:val="clear" w:color="auto" w:fill="F2F2F2" w:themeFill="background1" w:themeFillShade="F2"/>
            <w:vAlign w:val="center"/>
          </w:tcPr>
          <w:p w14:paraId="57D0FC30" w14:textId="6FC329C5" w:rsidR="00D51E7A" w:rsidRPr="003D2956" w:rsidRDefault="00D51E7A" w:rsidP="00D51E7A">
            <w:pPr>
              <w:adjustRightInd w:val="0"/>
              <w:snapToGrid w:val="0"/>
              <w:jc w:val="center"/>
              <w:rPr>
                <w:rFonts w:ascii="Times New Roman" w:eastAsia="宋体" w:hAnsi="Times New Roman" w:cs="Times New Roman"/>
                <w:i/>
                <w:iCs/>
                <w:szCs w:val="24"/>
              </w:rPr>
            </w:pPr>
            <w:r w:rsidRPr="003D2956">
              <w:rPr>
                <w:rFonts w:ascii="Times New Roman" w:hAnsi="Times New Roman" w:cs="Times New Roman"/>
              </w:rPr>
              <w:t>3.162</w:t>
            </w:r>
          </w:p>
        </w:tc>
        <w:tc>
          <w:tcPr>
            <w:tcW w:w="2270" w:type="dxa"/>
            <w:shd w:val="clear" w:color="auto" w:fill="F2F2F2" w:themeFill="background1" w:themeFillShade="F2"/>
            <w:vAlign w:val="center"/>
          </w:tcPr>
          <w:p w14:paraId="0767B22E" w14:textId="3131EEE9"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2.29</w:t>
            </w:r>
          </w:p>
        </w:tc>
        <w:tc>
          <w:tcPr>
            <w:tcW w:w="2152" w:type="dxa"/>
            <w:shd w:val="clear" w:color="auto" w:fill="F2F2F2" w:themeFill="background1" w:themeFillShade="F2"/>
            <w:vAlign w:val="center"/>
          </w:tcPr>
          <w:p w14:paraId="302B420A" w14:textId="1F00354D"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4.426</w:t>
            </w:r>
          </w:p>
        </w:tc>
      </w:tr>
      <w:tr w:rsidR="003D2956" w:rsidRPr="003D2956" w14:paraId="3299FEA0" w14:textId="77777777" w:rsidTr="00694E19">
        <w:trPr>
          <w:trHeight w:val="539"/>
          <w:jc w:val="center"/>
        </w:trPr>
        <w:tc>
          <w:tcPr>
            <w:tcW w:w="3295" w:type="dxa"/>
            <w:vAlign w:val="center"/>
          </w:tcPr>
          <w:p w14:paraId="0CEC20C9" w14:textId="19750337"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RuO</w:t>
            </w:r>
            <w:r w:rsidRPr="003D2956">
              <w:rPr>
                <w:rFonts w:ascii="Times New Roman" w:hAnsi="Times New Roman" w:cs="Times New Roman"/>
                <w:vertAlign w:val="subscript"/>
              </w:rPr>
              <w:t>x</w:t>
            </w:r>
            <w:r w:rsidRPr="003D2956">
              <w:rPr>
                <w:rFonts w:ascii="Times New Roman" w:hAnsi="Times New Roman" w:cs="Times New Roman"/>
              </w:rPr>
              <w:t>Se</w:t>
            </w:r>
            <w:r w:rsidRPr="003D2956">
              <w:rPr>
                <w:rFonts w:ascii="Times New Roman" w:hAnsi="Times New Roman" w:cs="Times New Roman"/>
                <w:vertAlign w:val="subscript"/>
              </w:rPr>
              <w:t>y</w:t>
            </w:r>
            <w:r w:rsidRPr="003D2956">
              <w:rPr>
                <w:rFonts w:ascii="Times New Roman" w:hAnsi="Times New Roman" w:cs="Times New Roman"/>
              </w:rPr>
              <w:t>-800</w:t>
            </w:r>
          </w:p>
        </w:tc>
        <w:tc>
          <w:tcPr>
            <w:tcW w:w="1352" w:type="dxa"/>
            <w:vAlign w:val="center"/>
          </w:tcPr>
          <w:p w14:paraId="59B26622" w14:textId="2A20677B" w:rsidR="00D51E7A" w:rsidRPr="003D2956" w:rsidRDefault="00D51E7A" w:rsidP="00D51E7A">
            <w:pPr>
              <w:adjustRightInd w:val="0"/>
              <w:snapToGrid w:val="0"/>
              <w:jc w:val="center"/>
              <w:rPr>
                <w:rFonts w:ascii="Times New Roman" w:eastAsia="宋体" w:hAnsi="Times New Roman" w:cs="Times New Roman"/>
                <w:i/>
                <w:iCs/>
                <w:szCs w:val="24"/>
              </w:rPr>
            </w:pPr>
            <w:r w:rsidRPr="003D2956">
              <w:rPr>
                <w:rFonts w:ascii="Times New Roman" w:hAnsi="Times New Roman" w:cs="Times New Roman"/>
              </w:rPr>
              <w:t>2.986</w:t>
            </w:r>
          </w:p>
        </w:tc>
        <w:tc>
          <w:tcPr>
            <w:tcW w:w="2270" w:type="dxa"/>
            <w:vAlign w:val="center"/>
          </w:tcPr>
          <w:p w14:paraId="2C04F926" w14:textId="6F2BF592"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2.112</w:t>
            </w:r>
          </w:p>
        </w:tc>
        <w:tc>
          <w:tcPr>
            <w:tcW w:w="2152" w:type="dxa"/>
            <w:vAlign w:val="center"/>
          </w:tcPr>
          <w:p w14:paraId="55D6F5A1" w14:textId="2913FE4F"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4.098</w:t>
            </w:r>
          </w:p>
        </w:tc>
      </w:tr>
      <w:tr w:rsidR="003D2956" w:rsidRPr="003D2956" w14:paraId="6326D1A7" w14:textId="77777777" w:rsidTr="00694E19">
        <w:trPr>
          <w:trHeight w:val="539"/>
          <w:jc w:val="center"/>
        </w:trPr>
        <w:tc>
          <w:tcPr>
            <w:tcW w:w="3295" w:type="dxa"/>
            <w:shd w:val="clear" w:color="auto" w:fill="F2F2F2" w:themeFill="background1" w:themeFillShade="F2"/>
            <w:vAlign w:val="center"/>
          </w:tcPr>
          <w:p w14:paraId="58CA117F" w14:textId="1FD41BF1"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RuO</w:t>
            </w:r>
            <w:r w:rsidRPr="003D2956">
              <w:rPr>
                <w:rFonts w:ascii="Times New Roman" w:hAnsi="Times New Roman" w:cs="Times New Roman"/>
                <w:vertAlign w:val="subscript"/>
              </w:rPr>
              <w:t>x</w:t>
            </w:r>
            <w:r w:rsidRPr="003D2956">
              <w:rPr>
                <w:rFonts w:ascii="Times New Roman" w:hAnsi="Times New Roman" w:cs="Times New Roman"/>
              </w:rPr>
              <w:t>Se</w:t>
            </w:r>
            <w:r w:rsidRPr="003D2956">
              <w:rPr>
                <w:rFonts w:ascii="Times New Roman" w:hAnsi="Times New Roman" w:cs="Times New Roman"/>
                <w:vertAlign w:val="subscript"/>
              </w:rPr>
              <w:t>y</w:t>
            </w:r>
            <w:r w:rsidRPr="003D2956">
              <w:rPr>
                <w:rFonts w:ascii="Times New Roman" w:hAnsi="Times New Roman" w:cs="Times New Roman"/>
              </w:rPr>
              <w:t>-750</w:t>
            </w:r>
          </w:p>
        </w:tc>
        <w:tc>
          <w:tcPr>
            <w:tcW w:w="1352" w:type="dxa"/>
            <w:shd w:val="clear" w:color="auto" w:fill="F2F2F2" w:themeFill="background1" w:themeFillShade="F2"/>
            <w:vAlign w:val="center"/>
          </w:tcPr>
          <w:p w14:paraId="5B0E1904" w14:textId="7564BCEB" w:rsidR="00D51E7A" w:rsidRPr="003D2956" w:rsidRDefault="00D51E7A" w:rsidP="00D51E7A">
            <w:pPr>
              <w:adjustRightInd w:val="0"/>
              <w:snapToGrid w:val="0"/>
              <w:jc w:val="center"/>
              <w:rPr>
                <w:rFonts w:ascii="Times New Roman" w:eastAsia="宋体" w:hAnsi="Times New Roman" w:cs="Times New Roman"/>
                <w:i/>
                <w:iCs/>
                <w:szCs w:val="24"/>
              </w:rPr>
            </w:pPr>
            <w:r w:rsidRPr="003D2956">
              <w:rPr>
                <w:rFonts w:ascii="Times New Roman" w:hAnsi="Times New Roman" w:cs="Times New Roman"/>
              </w:rPr>
              <w:t>3.018</w:t>
            </w:r>
          </w:p>
        </w:tc>
        <w:tc>
          <w:tcPr>
            <w:tcW w:w="2270" w:type="dxa"/>
            <w:shd w:val="clear" w:color="auto" w:fill="F2F2F2" w:themeFill="background1" w:themeFillShade="F2"/>
            <w:vAlign w:val="center"/>
          </w:tcPr>
          <w:p w14:paraId="46E28D2A" w14:textId="7235F5D6"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2.355</w:t>
            </w:r>
          </w:p>
        </w:tc>
        <w:tc>
          <w:tcPr>
            <w:tcW w:w="2152" w:type="dxa"/>
            <w:shd w:val="clear" w:color="auto" w:fill="F2F2F2" w:themeFill="background1" w:themeFillShade="F2"/>
            <w:vAlign w:val="center"/>
          </w:tcPr>
          <w:p w14:paraId="7C4E4E82" w14:textId="77BC4696" w:rsidR="00D51E7A" w:rsidRPr="003D2956" w:rsidRDefault="00D51E7A" w:rsidP="00D51E7A">
            <w:pPr>
              <w:adjustRightInd w:val="0"/>
              <w:snapToGrid w:val="0"/>
              <w:jc w:val="center"/>
              <w:rPr>
                <w:rFonts w:ascii="Times New Roman" w:eastAsia="宋体" w:hAnsi="Times New Roman" w:cs="Times New Roman"/>
                <w:bCs/>
                <w:szCs w:val="24"/>
                <w:vertAlign w:val="subscript"/>
              </w:rPr>
            </w:pPr>
            <w:r w:rsidRPr="003D2956">
              <w:rPr>
                <w:rFonts w:ascii="Times New Roman" w:hAnsi="Times New Roman" w:cs="Times New Roman"/>
              </w:rPr>
              <w:t>18.14</w:t>
            </w:r>
          </w:p>
        </w:tc>
      </w:tr>
      <w:tr w:rsidR="003D2956" w:rsidRPr="003D2956" w14:paraId="5751174C" w14:textId="77777777" w:rsidTr="00694E19">
        <w:trPr>
          <w:trHeight w:val="539"/>
          <w:jc w:val="center"/>
        </w:trPr>
        <w:tc>
          <w:tcPr>
            <w:tcW w:w="3295" w:type="dxa"/>
            <w:vAlign w:val="center"/>
          </w:tcPr>
          <w:p w14:paraId="6345DA65" w14:textId="77E9E382"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RuO</w:t>
            </w:r>
            <w:r w:rsidRPr="003D2956">
              <w:rPr>
                <w:rFonts w:ascii="Times New Roman" w:hAnsi="Times New Roman" w:cs="Times New Roman"/>
                <w:vertAlign w:val="subscript"/>
              </w:rPr>
              <w:t>x</w:t>
            </w:r>
            <w:r w:rsidRPr="003D2956">
              <w:rPr>
                <w:rFonts w:ascii="Times New Roman" w:hAnsi="Times New Roman" w:cs="Times New Roman"/>
              </w:rPr>
              <w:t>Se</w:t>
            </w:r>
            <w:r w:rsidRPr="003D2956">
              <w:rPr>
                <w:rFonts w:ascii="Times New Roman" w:hAnsi="Times New Roman" w:cs="Times New Roman"/>
                <w:vertAlign w:val="subscript"/>
              </w:rPr>
              <w:t>y</w:t>
            </w:r>
            <w:r w:rsidRPr="003D2956">
              <w:rPr>
                <w:rFonts w:ascii="Times New Roman" w:hAnsi="Times New Roman" w:cs="Times New Roman"/>
              </w:rPr>
              <w:t>-700</w:t>
            </w:r>
          </w:p>
        </w:tc>
        <w:tc>
          <w:tcPr>
            <w:tcW w:w="1352" w:type="dxa"/>
            <w:vAlign w:val="center"/>
          </w:tcPr>
          <w:p w14:paraId="09D82FA8" w14:textId="77B6DFAB" w:rsidR="00D51E7A" w:rsidRPr="003D2956" w:rsidRDefault="00D51E7A" w:rsidP="00D51E7A">
            <w:pPr>
              <w:adjustRightInd w:val="0"/>
              <w:snapToGrid w:val="0"/>
              <w:jc w:val="center"/>
              <w:rPr>
                <w:rFonts w:ascii="Times New Roman" w:eastAsia="宋体" w:hAnsi="Times New Roman" w:cs="Times New Roman"/>
                <w:i/>
                <w:iCs/>
                <w:szCs w:val="24"/>
              </w:rPr>
            </w:pPr>
            <w:r w:rsidRPr="003D2956">
              <w:rPr>
                <w:rFonts w:ascii="Times New Roman" w:hAnsi="Times New Roman" w:cs="Times New Roman"/>
              </w:rPr>
              <w:t>3.549</w:t>
            </w:r>
          </w:p>
        </w:tc>
        <w:tc>
          <w:tcPr>
            <w:tcW w:w="2270" w:type="dxa"/>
            <w:vAlign w:val="center"/>
          </w:tcPr>
          <w:p w14:paraId="45A90723" w14:textId="158C9F50"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2.422</w:t>
            </w:r>
          </w:p>
        </w:tc>
        <w:tc>
          <w:tcPr>
            <w:tcW w:w="2152" w:type="dxa"/>
            <w:vAlign w:val="center"/>
          </w:tcPr>
          <w:p w14:paraId="0083B205" w14:textId="7E8EBE10"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29.53</w:t>
            </w:r>
          </w:p>
        </w:tc>
      </w:tr>
      <w:tr w:rsidR="003D2956" w:rsidRPr="003D2956" w14:paraId="11982DF3" w14:textId="77777777" w:rsidTr="00694E19">
        <w:trPr>
          <w:trHeight w:val="539"/>
          <w:jc w:val="center"/>
        </w:trPr>
        <w:tc>
          <w:tcPr>
            <w:tcW w:w="3295" w:type="dxa"/>
            <w:shd w:val="clear" w:color="auto" w:fill="F2F2F2" w:themeFill="background1" w:themeFillShade="F2"/>
            <w:vAlign w:val="center"/>
          </w:tcPr>
          <w:p w14:paraId="5CF7A244" w14:textId="3BFFFD2B"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RuO</w:t>
            </w:r>
            <w:r w:rsidRPr="003D2956">
              <w:rPr>
                <w:rFonts w:ascii="Times New Roman" w:hAnsi="Times New Roman" w:cs="Times New Roman"/>
                <w:vertAlign w:val="subscript"/>
              </w:rPr>
              <w:t>2</w:t>
            </w:r>
          </w:p>
        </w:tc>
        <w:tc>
          <w:tcPr>
            <w:tcW w:w="1352" w:type="dxa"/>
            <w:shd w:val="clear" w:color="auto" w:fill="F2F2F2" w:themeFill="background1" w:themeFillShade="F2"/>
            <w:vAlign w:val="center"/>
          </w:tcPr>
          <w:p w14:paraId="2318DFF9" w14:textId="2968974B" w:rsidR="00D51E7A" w:rsidRPr="003D2956" w:rsidRDefault="00D51E7A" w:rsidP="00D51E7A">
            <w:pPr>
              <w:adjustRightInd w:val="0"/>
              <w:snapToGrid w:val="0"/>
              <w:jc w:val="center"/>
              <w:rPr>
                <w:rFonts w:ascii="Times New Roman" w:eastAsia="宋体" w:hAnsi="Times New Roman" w:cs="Times New Roman"/>
                <w:i/>
                <w:iCs/>
                <w:szCs w:val="24"/>
              </w:rPr>
            </w:pPr>
            <w:r w:rsidRPr="003D2956">
              <w:rPr>
                <w:rFonts w:ascii="Times New Roman" w:hAnsi="Times New Roman" w:cs="Times New Roman"/>
              </w:rPr>
              <w:t>3.745</w:t>
            </w:r>
          </w:p>
        </w:tc>
        <w:tc>
          <w:tcPr>
            <w:tcW w:w="2270" w:type="dxa"/>
            <w:shd w:val="clear" w:color="auto" w:fill="F2F2F2" w:themeFill="background1" w:themeFillShade="F2"/>
            <w:vAlign w:val="center"/>
          </w:tcPr>
          <w:p w14:paraId="0C55220F" w14:textId="67530480"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1.982</w:t>
            </w:r>
          </w:p>
        </w:tc>
        <w:tc>
          <w:tcPr>
            <w:tcW w:w="2152" w:type="dxa"/>
            <w:shd w:val="clear" w:color="auto" w:fill="F2F2F2" w:themeFill="background1" w:themeFillShade="F2"/>
            <w:vAlign w:val="center"/>
          </w:tcPr>
          <w:p w14:paraId="390861AE" w14:textId="227B48D1" w:rsidR="00D51E7A" w:rsidRPr="003D2956" w:rsidRDefault="00D51E7A" w:rsidP="00D51E7A">
            <w:pPr>
              <w:adjustRightInd w:val="0"/>
              <w:snapToGrid w:val="0"/>
              <w:jc w:val="center"/>
              <w:rPr>
                <w:rFonts w:ascii="Times New Roman" w:eastAsia="宋体" w:hAnsi="Times New Roman" w:cs="Times New Roman"/>
                <w:bCs/>
                <w:szCs w:val="24"/>
              </w:rPr>
            </w:pPr>
            <w:r w:rsidRPr="003D2956">
              <w:rPr>
                <w:rFonts w:ascii="Times New Roman" w:hAnsi="Times New Roman" w:cs="Times New Roman"/>
              </w:rPr>
              <w:t>41.2</w:t>
            </w:r>
          </w:p>
        </w:tc>
      </w:tr>
    </w:tbl>
    <w:p w14:paraId="39F457E9" w14:textId="77777777" w:rsidR="00961136" w:rsidRPr="003D2956" w:rsidRDefault="00961136" w:rsidP="00961136">
      <w:pPr>
        <w:rPr>
          <w:rFonts w:eastAsia="宋体"/>
          <w:b/>
          <w:szCs w:val="24"/>
        </w:rPr>
      </w:pPr>
      <w:r w:rsidRPr="003D2956">
        <w:rPr>
          <w:rFonts w:eastAsia="宋体"/>
          <w:b/>
          <w:szCs w:val="24"/>
        </w:rPr>
        <w:br w:type="page"/>
      </w:r>
    </w:p>
    <w:p w14:paraId="5B55915B" w14:textId="5341C2FE" w:rsidR="003F1050" w:rsidRPr="003D2956" w:rsidRDefault="003F1050" w:rsidP="003F1050">
      <w:pPr>
        <w:spacing w:afterLines="50" w:after="120" w:line="480" w:lineRule="auto"/>
        <w:ind w:left="241" w:hangingChars="100" w:hanging="241"/>
        <w:jc w:val="both"/>
        <w:rPr>
          <w:rFonts w:eastAsia="宋体"/>
          <w:szCs w:val="24"/>
        </w:rPr>
      </w:pPr>
      <w:r w:rsidRPr="003D2956">
        <w:rPr>
          <w:rFonts w:eastAsia="宋体"/>
          <w:b/>
          <w:szCs w:val="24"/>
        </w:rPr>
        <w:lastRenderedPageBreak/>
        <w:t>T</w:t>
      </w:r>
      <w:r w:rsidRPr="003D2956">
        <w:rPr>
          <w:rFonts w:eastAsia="AdvOT1ef757c0"/>
          <w:b/>
          <w:szCs w:val="24"/>
        </w:rPr>
        <w:t>able</w:t>
      </w:r>
      <w:r w:rsidRPr="003D2956">
        <w:rPr>
          <w:rFonts w:eastAsia="宋体"/>
          <w:b/>
          <w:szCs w:val="24"/>
        </w:rPr>
        <w:t xml:space="preserve"> S</w:t>
      </w:r>
      <w:r w:rsidR="009C4583" w:rsidRPr="003D2956">
        <w:rPr>
          <w:rFonts w:eastAsia="宋体"/>
          <w:b/>
          <w:szCs w:val="24"/>
        </w:rPr>
        <w:t>2</w:t>
      </w:r>
      <w:r w:rsidRPr="003D2956">
        <w:rPr>
          <w:rFonts w:eastAsia="宋体"/>
          <w:b/>
          <w:szCs w:val="24"/>
        </w:rPr>
        <w:t>.</w:t>
      </w:r>
      <w:r w:rsidRPr="003D2956">
        <w:rPr>
          <w:rFonts w:eastAsia="宋体"/>
          <w:szCs w:val="24"/>
        </w:rPr>
        <w:t xml:space="preserve"> </w:t>
      </w:r>
      <w:r w:rsidR="006E3491" w:rsidRPr="003D2956">
        <w:rPr>
          <w:rFonts w:eastAsia="宋体" w:hint="eastAsia"/>
          <w:bCs/>
          <w:szCs w:val="24"/>
          <w:lang w:val="de-DE"/>
        </w:rPr>
        <w:t>Comparison of electrochemical performances of various catalysts</w:t>
      </w:r>
      <w:r w:rsidRPr="003D2956">
        <w:rPr>
          <w:rFonts w:eastAsia="宋体"/>
          <w:szCs w:val="24"/>
        </w:rPr>
        <w:t>.</w:t>
      </w:r>
    </w:p>
    <w:tbl>
      <w:tblPr>
        <w:tblStyle w:val="2c"/>
        <w:tblW w:w="9827" w:type="dxa"/>
        <w:jc w:val="center"/>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2370"/>
        <w:gridCol w:w="1452"/>
        <w:gridCol w:w="1752"/>
        <w:gridCol w:w="750"/>
        <w:gridCol w:w="1867"/>
        <w:gridCol w:w="1636"/>
      </w:tblGrid>
      <w:tr w:rsidR="003D2956" w:rsidRPr="003D2956" w14:paraId="5F915CC7" w14:textId="77777777" w:rsidTr="00A51F19">
        <w:trPr>
          <w:trHeight w:val="539"/>
          <w:jc w:val="center"/>
        </w:trPr>
        <w:tc>
          <w:tcPr>
            <w:tcW w:w="2370" w:type="dxa"/>
            <w:tcBorders>
              <w:top w:val="single" w:sz="12" w:space="0" w:color="000000" w:themeColor="text1"/>
              <w:bottom w:val="single" w:sz="12" w:space="0" w:color="000000" w:themeColor="text1"/>
            </w:tcBorders>
            <w:vAlign w:val="center"/>
          </w:tcPr>
          <w:p w14:paraId="0373A8EA" w14:textId="4E3034F9" w:rsidR="00667598" w:rsidRPr="003D2956" w:rsidRDefault="00667598" w:rsidP="00667598">
            <w:pPr>
              <w:jc w:val="center"/>
              <w:rPr>
                <w:rFonts w:ascii="Times New Roman" w:eastAsia="宋体" w:hAnsi="Times New Roman" w:cs="Times New Roman"/>
                <w:b/>
                <w:bCs/>
                <w:szCs w:val="24"/>
              </w:rPr>
            </w:pPr>
            <w:r w:rsidRPr="003D2956">
              <w:rPr>
                <w:rFonts w:ascii="Times New Roman" w:hAnsi="Times New Roman" w:cs="Times New Roman"/>
                <w:b/>
                <w:bCs/>
                <w:szCs w:val="24"/>
              </w:rPr>
              <w:t>Catalyst</w:t>
            </w:r>
          </w:p>
        </w:tc>
        <w:tc>
          <w:tcPr>
            <w:tcW w:w="1455" w:type="dxa"/>
            <w:tcBorders>
              <w:top w:val="single" w:sz="12" w:space="0" w:color="000000" w:themeColor="text1"/>
              <w:bottom w:val="single" w:sz="12" w:space="0" w:color="000000" w:themeColor="text1"/>
            </w:tcBorders>
            <w:vAlign w:val="center"/>
          </w:tcPr>
          <w:p w14:paraId="36D8539E" w14:textId="77777777" w:rsidR="00667598" w:rsidRPr="003D2956" w:rsidRDefault="00667598" w:rsidP="00667598">
            <w:pPr>
              <w:spacing w:line="360" w:lineRule="auto"/>
              <w:jc w:val="center"/>
              <w:rPr>
                <w:rFonts w:ascii="Times New Roman" w:hAnsi="Times New Roman" w:cs="Times New Roman"/>
                <w:b/>
                <w:bCs/>
                <w:szCs w:val="24"/>
              </w:rPr>
            </w:pPr>
            <w:r w:rsidRPr="003D2956">
              <w:rPr>
                <w:rFonts w:ascii="Times New Roman" w:hAnsi="Times New Roman" w:cs="Times New Roman"/>
                <w:b/>
                <w:bCs/>
                <w:szCs w:val="24"/>
              </w:rPr>
              <w:t>Loading</w:t>
            </w:r>
          </w:p>
          <w:p w14:paraId="0723C97D" w14:textId="240C948A" w:rsidR="00667598" w:rsidRPr="003D2956" w:rsidRDefault="00667598" w:rsidP="00667598">
            <w:pPr>
              <w:jc w:val="center"/>
              <w:rPr>
                <w:rFonts w:ascii="Times New Roman" w:eastAsia="宋体" w:hAnsi="Times New Roman" w:cs="Times New Roman"/>
                <w:b/>
                <w:bCs/>
                <w:szCs w:val="24"/>
              </w:rPr>
            </w:pPr>
            <w:r w:rsidRPr="003D2956">
              <w:rPr>
                <w:rFonts w:ascii="Times New Roman" w:hAnsi="Times New Roman" w:cs="Times New Roman"/>
                <w:b/>
                <w:bCs/>
                <w:szCs w:val="24"/>
              </w:rPr>
              <w:t>(</w:t>
            </w:r>
            <w:proofErr w:type="gramStart"/>
            <w:r w:rsidRPr="003D2956">
              <w:rPr>
                <w:rFonts w:ascii="Times New Roman" w:hAnsi="Times New Roman" w:cs="Times New Roman"/>
                <w:b/>
                <w:bCs/>
                <w:szCs w:val="24"/>
              </w:rPr>
              <w:t>mg</w:t>
            </w:r>
            <w:proofErr w:type="gramEnd"/>
            <w:r w:rsidRPr="003D2956">
              <w:rPr>
                <w:rFonts w:ascii="Times New Roman" w:hAnsi="Times New Roman" w:cs="Times New Roman"/>
                <w:b/>
                <w:bCs/>
                <w:szCs w:val="24"/>
              </w:rPr>
              <w:t xml:space="preserve"> cm</w:t>
            </w:r>
            <w:r w:rsidRPr="003D2956">
              <w:rPr>
                <w:rFonts w:ascii="Times New Roman" w:hAnsi="Times New Roman" w:cs="Times New Roman"/>
                <w:b/>
                <w:bCs/>
                <w:szCs w:val="24"/>
                <w:vertAlign w:val="superscript"/>
              </w:rPr>
              <w:t>-2</w:t>
            </w:r>
            <w:r w:rsidRPr="003D2956">
              <w:rPr>
                <w:rFonts w:ascii="Times New Roman" w:hAnsi="Times New Roman" w:cs="Times New Roman"/>
                <w:b/>
                <w:bCs/>
                <w:szCs w:val="24"/>
              </w:rPr>
              <w:t>)</w:t>
            </w:r>
          </w:p>
        </w:tc>
        <w:tc>
          <w:tcPr>
            <w:tcW w:w="1757" w:type="dxa"/>
            <w:tcBorders>
              <w:top w:val="single" w:sz="12" w:space="0" w:color="000000" w:themeColor="text1"/>
              <w:bottom w:val="single" w:sz="12" w:space="0" w:color="000000" w:themeColor="text1"/>
            </w:tcBorders>
            <w:vAlign w:val="center"/>
          </w:tcPr>
          <w:p w14:paraId="70978345" w14:textId="77777777" w:rsidR="00667598" w:rsidRPr="003D2956" w:rsidRDefault="00667598" w:rsidP="00667598">
            <w:pPr>
              <w:spacing w:line="360" w:lineRule="auto"/>
              <w:jc w:val="center"/>
              <w:rPr>
                <w:rFonts w:ascii="Times New Roman" w:hAnsi="Times New Roman" w:cs="Times New Roman"/>
                <w:b/>
                <w:bCs/>
                <w:szCs w:val="24"/>
              </w:rPr>
            </w:pPr>
            <w:r w:rsidRPr="003D2956">
              <w:rPr>
                <w:rFonts w:ascii="Times New Roman" w:hAnsi="Times New Roman" w:cs="Times New Roman"/>
                <w:b/>
                <w:bCs/>
                <w:szCs w:val="24"/>
              </w:rPr>
              <w:t>Tafel slope</w:t>
            </w:r>
          </w:p>
          <w:p w14:paraId="206B1A9C" w14:textId="7F93D53D" w:rsidR="00667598" w:rsidRPr="003D2956" w:rsidRDefault="00667598" w:rsidP="00667598">
            <w:pPr>
              <w:jc w:val="center"/>
              <w:rPr>
                <w:rFonts w:ascii="Times New Roman" w:eastAsia="宋体" w:hAnsi="Times New Roman" w:cs="Times New Roman"/>
                <w:b/>
                <w:bCs/>
                <w:szCs w:val="24"/>
              </w:rPr>
            </w:pPr>
            <w:r w:rsidRPr="003D2956">
              <w:rPr>
                <w:rFonts w:ascii="Times New Roman" w:hAnsi="Times New Roman" w:cs="Times New Roman"/>
                <w:b/>
                <w:bCs/>
                <w:szCs w:val="24"/>
              </w:rPr>
              <w:t>(mV dec</w:t>
            </w:r>
            <w:r w:rsidRPr="003D2956">
              <w:rPr>
                <w:rFonts w:ascii="Times New Roman" w:hAnsi="Times New Roman" w:cs="Times New Roman"/>
                <w:b/>
                <w:bCs/>
                <w:szCs w:val="24"/>
                <w:vertAlign w:val="superscript"/>
              </w:rPr>
              <w:t>-1</w:t>
            </w:r>
            <w:r w:rsidRPr="003D2956">
              <w:rPr>
                <w:rFonts w:ascii="Times New Roman" w:hAnsi="Times New Roman" w:cs="Times New Roman"/>
                <w:b/>
                <w:bCs/>
                <w:szCs w:val="24"/>
              </w:rPr>
              <w:t>)</w:t>
            </w:r>
          </w:p>
        </w:tc>
        <w:tc>
          <w:tcPr>
            <w:tcW w:w="736" w:type="dxa"/>
            <w:tcBorders>
              <w:top w:val="single" w:sz="12" w:space="0" w:color="000000" w:themeColor="text1"/>
              <w:bottom w:val="single" w:sz="12" w:space="0" w:color="000000" w:themeColor="text1"/>
            </w:tcBorders>
            <w:vAlign w:val="center"/>
          </w:tcPr>
          <w:p w14:paraId="76834A83" w14:textId="77777777" w:rsidR="00667598" w:rsidRPr="003D2956" w:rsidRDefault="00667598" w:rsidP="00667598">
            <w:pPr>
              <w:spacing w:line="360" w:lineRule="auto"/>
              <w:jc w:val="center"/>
              <w:rPr>
                <w:rFonts w:ascii="Times New Roman" w:hAnsi="Times New Roman" w:cs="Times New Roman"/>
                <w:b/>
                <w:bCs/>
                <w:szCs w:val="24"/>
                <w:vertAlign w:val="subscript"/>
              </w:rPr>
            </w:pPr>
            <w:r w:rsidRPr="003D2956">
              <w:rPr>
                <w:rFonts w:ascii="Times New Roman" w:hAnsi="Times New Roman" w:cs="Times New Roman"/>
                <w:b/>
                <w:bCs/>
                <w:i/>
                <w:szCs w:val="24"/>
              </w:rPr>
              <w:t>η</w:t>
            </w:r>
            <w:r w:rsidRPr="003D2956">
              <w:rPr>
                <w:rFonts w:ascii="Times New Roman" w:hAnsi="Times New Roman" w:cs="Times New Roman"/>
                <w:b/>
                <w:bCs/>
                <w:szCs w:val="24"/>
                <w:vertAlign w:val="subscript"/>
              </w:rPr>
              <w:t>10</w:t>
            </w:r>
          </w:p>
          <w:p w14:paraId="47E891EA" w14:textId="25CE70FD" w:rsidR="00667598" w:rsidRPr="003D2956" w:rsidRDefault="00667598" w:rsidP="00667598">
            <w:pPr>
              <w:jc w:val="center"/>
              <w:rPr>
                <w:rFonts w:ascii="Times New Roman" w:eastAsia="宋体" w:hAnsi="Times New Roman" w:cs="Times New Roman"/>
                <w:b/>
                <w:bCs/>
                <w:szCs w:val="24"/>
              </w:rPr>
            </w:pPr>
            <w:r w:rsidRPr="003D2956">
              <w:rPr>
                <w:rFonts w:ascii="Times New Roman" w:hAnsi="Times New Roman" w:cs="Times New Roman"/>
                <w:b/>
                <w:bCs/>
                <w:szCs w:val="24"/>
              </w:rPr>
              <w:t>(mV)</w:t>
            </w:r>
          </w:p>
        </w:tc>
        <w:tc>
          <w:tcPr>
            <w:tcW w:w="1871" w:type="dxa"/>
            <w:tcBorders>
              <w:top w:val="single" w:sz="12" w:space="0" w:color="000000" w:themeColor="text1"/>
              <w:bottom w:val="single" w:sz="12" w:space="0" w:color="000000" w:themeColor="text1"/>
            </w:tcBorders>
            <w:vAlign w:val="center"/>
          </w:tcPr>
          <w:p w14:paraId="4032942D" w14:textId="518C5097" w:rsidR="00667598" w:rsidRPr="003D2956" w:rsidRDefault="00667598" w:rsidP="00667598">
            <w:pPr>
              <w:spacing w:line="360" w:lineRule="auto"/>
              <w:jc w:val="center"/>
              <w:rPr>
                <w:rFonts w:ascii="Times New Roman" w:hAnsi="Times New Roman" w:cs="Times New Roman"/>
                <w:b/>
                <w:bCs/>
                <w:szCs w:val="24"/>
              </w:rPr>
            </w:pPr>
            <w:r w:rsidRPr="003D2956">
              <w:rPr>
                <w:rFonts w:ascii="Times New Roman" w:hAnsi="Times New Roman" w:cs="Times New Roman"/>
                <w:b/>
                <w:bCs/>
                <w:szCs w:val="24"/>
              </w:rPr>
              <w:t>Stability</w:t>
            </w:r>
            <w:r w:rsidRPr="003D2956">
              <w:rPr>
                <w:rFonts w:ascii="Times New Roman" w:hAnsi="Times New Roman" w:cs="Times New Roman" w:hint="eastAsia"/>
                <w:b/>
                <w:bCs/>
                <w:szCs w:val="24"/>
              </w:rPr>
              <w:t xml:space="preserve"> </w:t>
            </w:r>
            <w:r w:rsidRPr="003D2956">
              <w:rPr>
                <w:rFonts w:ascii="Times New Roman" w:hAnsi="Times New Roman" w:cs="Times New Roman"/>
                <w:b/>
                <w:bCs/>
                <w:szCs w:val="24"/>
              </w:rPr>
              <w:t>(h)</w:t>
            </w:r>
          </w:p>
        </w:tc>
        <w:tc>
          <w:tcPr>
            <w:tcW w:w="1638" w:type="dxa"/>
            <w:tcBorders>
              <w:top w:val="single" w:sz="12" w:space="0" w:color="000000" w:themeColor="text1"/>
              <w:bottom w:val="single" w:sz="12" w:space="0" w:color="000000" w:themeColor="text1"/>
            </w:tcBorders>
            <w:vAlign w:val="center"/>
          </w:tcPr>
          <w:p w14:paraId="0415B69D" w14:textId="05984635" w:rsidR="00667598" w:rsidRPr="003D2956" w:rsidRDefault="00667598" w:rsidP="00667598">
            <w:pPr>
              <w:jc w:val="center"/>
              <w:rPr>
                <w:rFonts w:ascii="Times New Roman" w:eastAsia="宋体" w:hAnsi="Times New Roman" w:cs="Times New Roman"/>
                <w:b/>
                <w:bCs/>
                <w:i/>
                <w:iCs/>
                <w:szCs w:val="24"/>
              </w:rPr>
            </w:pPr>
            <w:r w:rsidRPr="003D2956">
              <w:rPr>
                <w:rFonts w:ascii="Times New Roman" w:hAnsi="Times New Roman" w:cs="Times New Roman"/>
                <w:b/>
                <w:bCs/>
                <w:szCs w:val="24"/>
              </w:rPr>
              <w:t>Reference</w:t>
            </w:r>
          </w:p>
        </w:tc>
      </w:tr>
      <w:tr w:rsidR="003D2956" w:rsidRPr="003D2956" w14:paraId="0B40C9F7" w14:textId="77777777" w:rsidTr="00A51F19">
        <w:trPr>
          <w:trHeight w:val="539"/>
          <w:jc w:val="center"/>
        </w:trPr>
        <w:tc>
          <w:tcPr>
            <w:tcW w:w="2370" w:type="dxa"/>
            <w:tcBorders>
              <w:top w:val="single" w:sz="12" w:space="0" w:color="000000" w:themeColor="text1"/>
              <w:bottom w:val="nil"/>
            </w:tcBorders>
            <w:vAlign w:val="center"/>
          </w:tcPr>
          <w:p w14:paraId="66A1167B" w14:textId="70415E0E"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RuO</w:t>
            </w:r>
            <w:r w:rsidRPr="003D2956">
              <w:rPr>
                <w:rFonts w:ascii="Times New Roman" w:hAnsi="Times New Roman" w:cs="Times New Roman"/>
                <w:szCs w:val="24"/>
                <w:vertAlign w:val="subscript"/>
              </w:rPr>
              <w:t>x</w:t>
            </w:r>
            <w:r w:rsidRPr="003D2956">
              <w:rPr>
                <w:rFonts w:ascii="Times New Roman" w:hAnsi="Times New Roman" w:cs="Times New Roman"/>
                <w:szCs w:val="24"/>
              </w:rPr>
              <w:t>Se</w:t>
            </w:r>
            <w:r w:rsidRPr="003D2956">
              <w:rPr>
                <w:rFonts w:ascii="Times New Roman" w:hAnsi="Times New Roman" w:cs="Times New Roman"/>
                <w:szCs w:val="24"/>
                <w:vertAlign w:val="subscript"/>
              </w:rPr>
              <w:t>y</w:t>
            </w:r>
            <w:r w:rsidRPr="003D2956">
              <w:rPr>
                <w:rFonts w:ascii="Times New Roman" w:hAnsi="Times New Roman" w:cs="Times New Roman"/>
                <w:szCs w:val="24"/>
              </w:rPr>
              <w:t>-800</w:t>
            </w:r>
          </w:p>
        </w:tc>
        <w:tc>
          <w:tcPr>
            <w:tcW w:w="1455" w:type="dxa"/>
            <w:tcBorders>
              <w:top w:val="single" w:sz="12" w:space="0" w:color="000000" w:themeColor="text1"/>
              <w:bottom w:val="nil"/>
            </w:tcBorders>
            <w:vAlign w:val="center"/>
          </w:tcPr>
          <w:p w14:paraId="4CE864DE" w14:textId="16C21FAC"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0.5</w:t>
            </w:r>
          </w:p>
        </w:tc>
        <w:tc>
          <w:tcPr>
            <w:tcW w:w="1757" w:type="dxa"/>
            <w:tcBorders>
              <w:top w:val="single" w:sz="12" w:space="0" w:color="000000" w:themeColor="text1"/>
              <w:bottom w:val="nil"/>
            </w:tcBorders>
            <w:vAlign w:val="center"/>
          </w:tcPr>
          <w:p w14:paraId="0A727FFA" w14:textId="3045C235"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bCs/>
                <w:szCs w:val="24"/>
              </w:rPr>
              <w:t>45.4</w:t>
            </w:r>
          </w:p>
        </w:tc>
        <w:tc>
          <w:tcPr>
            <w:tcW w:w="736" w:type="dxa"/>
            <w:tcBorders>
              <w:top w:val="single" w:sz="12" w:space="0" w:color="000000" w:themeColor="text1"/>
              <w:bottom w:val="nil"/>
            </w:tcBorders>
            <w:vAlign w:val="center"/>
          </w:tcPr>
          <w:p w14:paraId="65A45FCD" w14:textId="7F3831FC"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211</w:t>
            </w:r>
          </w:p>
        </w:tc>
        <w:tc>
          <w:tcPr>
            <w:tcW w:w="1871" w:type="dxa"/>
            <w:tcBorders>
              <w:top w:val="single" w:sz="12" w:space="0" w:color="000000" w:themeColor="text1"/>
              <w:bottom w:val="nil"/>
            </w:tcBorders>
            <w:vAlign w:val="center"/>
          </w:tcPr>
          <w:p w14:paraId="6DFC2E56" w14:textId="29E27C5F"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18</w:t>
            </w:r>
          </w:p>
        </w:tc>
        <w:tc>
          <w:tcPr>
            <w:tcW w:w="1638" w:type="dxa"/>
            <w:tcBorders>
              <w:top w:val="single" w:sz="12" w:space="0" w:color="000000" w:themeColor="text1"/>
              <w:bottom w:val="nil"/>
            </w:tcBorders>
            <w:vAlign w:val="center"/>
          </w:tcPr>
          <w:p w14:paraId="7E8A8489" w14:textId="70CA0AAC"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This work</w:t>
            </w:r>
          </w:p>
        </w:tc>
      </w:tr>
      <w:tr w:rsidR="003D2956" w:rsidRPr="003D2956" w14:paraId="4C3D358D" w14:textId="77777777" w:rsidTr="00A51F19">
        <w:trPr>
          <w:trHeight w:val="539"/>
          <w:jc w:val="center"/>
        </w:trPr>
        <w:tc>
          <w:tcPr>
            <w:tcW w:w="2370" w:type="dxa"/>
            <w:tcBorders>
              <w:top w:val="nil"/>
              <w:bottom w:val="nil"/>
            </w:tcBorders>
            <w:shd w:val="clear" w:color="auto" w:fill="F2F2F2" w:themeFill="background1" w:themeFillShade="F2"/>
            <w:vAlign w:val="center"/>
          </w:tcPr>
          <w:p w14:paraId="4F90C220" w14:textId="1208513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Ru/RuS</w:t>
            </w:r>
            <w:r w:rsidRPr="003D2956">
              <w:rPr>
                <w:rFonts w:ascii="Times New Roman" w:hAnsi="Times New Roman" w:cs="Times New Roman"/>
                <w:szCs w:val="24"/>
                <w:vertAlign w:val="subscript"/>
              </w:rPr>
              <w:t>2</w:t>
            </w:r>
            <w:r w:rsidRPr="003D2956">
              <w:rPr>
                <w:rFonts w:ascii="Times New Roman" w:hAnsi="Times New Roman" w:cs="Times New Roman"/>
                <w:szCs w:val="24"/>
              </w:rPr>
              <w:t>-2</w:t>
            </w:r>
          </w:p>
        </w:tc>
        <w:tc>
          <w:tcPr>
            <w:tcW w:w="1455" w:type="dxa"/>
            <w:tcBorders>
              <w:top w:val="nil"/>
              <w:bottom w:val="nil"/>
            </w:tcBorders>
            <w:shd w:val="clear" w:color="auto" w:fill="F2F2F2" w:themeFill="background1" w:themeFillShade="F2"/>
            <w:vAlign w:val="center"/>
          </w:tcPr>
          <w:p w14:paraId="7F7424B5" w14:textId="6421423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0.849</w:t>
            </w:r>
          </w:p>
        </w:tc>
        <w:tc>
          <w:tcPr>
            <w:tcW w:w="1757" w:type="dxa"/>
            <w:tcBorders>
              <w:top w:val="nil"/>
              <w:bottom w:val="nil"/>
            </w:tcBorders>
            <w:shd w:val="clear" w:color="auto" w:fill="F2F2F2" w:themeFill="background1" w:themeFillShade="F2"/>
            <w:vAlign w:val="center"/>
          </w:tcPr>
          <w:p w14:paraId="25B120DA" w14:textId="6AF6F706"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47.2</w:t>
            </w:r>
          </w:p>
        </w:tc>
        <w:tc>
          <w:tcPr>
            <w:tcW w:w="736" w:type="dxa"/>
            <w:tcBorders>
              <w:top w:val="nil"/>
              <w:bottom w:val="nil"/>
            </w:tcBorders>
            <w:shd w:val="clear" w:color="auto" w:fill="F2F2F2" w:themeFill="background1" w:themeFillShade="F2"/>
            <w:vAlign w:val="center"/>
          </w:tcPr>
          <w:p w14:paraId="174610A8" w14:textId="1F6F8B5B"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201</w:t>
            </w:r>
          </w:p>
        </w:tc>
        <w:tc>
          <w:tcPr>
            <w:tcW w:w="1871" w:type="dxa"/>
            <w:tcBorders>
              <w:top w:val="nil"/>
              <w:bottom w:val="nil"/>
            </w:tcBorders>
            <w:shd w:val="clear" w:color="auto" w:fill="F2F2F2" w:themeFill="background1" w:themeFillShade="F2"/>
            <w:vAlign w:val="center"/>
          </w:tcPr>
          <w:p w14:paraId="75F9BF1D" w14:textId="1541E460"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24</w:t>
            </w:r>
          </w:p>
        </w:tc>
        <w:tc>
          <w:tcPr>
            <w:tcW w:w="1638" w:type="dxa"/>
            <w:tcBorders>
              <w:top w:val="nil"/>
              <w:bottom w:val="nil"/>
            </w:tcBorders>
            <w:shd w:val="clear" w:color="auto" w:fill="F2F2F2" w:themeFill="background1" w:themeFillShade="F2"/>
            <w:vAlign w:val="center"/>
          </w:tcPr>
          <w:p w14:paraId="0925C3AF" w14:textId="1BE2E0D6" w:rsidR="00667598" w:rsidRPr="003D2956" w:rsidRDefault="00667598" w:rsidP="00667598">
            <w:pPr>
              <w:jc w:val="center"/>
              <w:rPr>
                <w:rFonts w:ascii="Times New Roman" w:hAnsi="Times New Roman" w:cs="Times New Roman"/>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{"citationID":"0vJHh4Kx","properties":{"formattedCitation":"\\super [1]\\nosupersub{}","plainCitation":"[1]","noteIndex":0},"citationItems":[{"id":574,"uris":["http://zotero.org/users/6921855/items/L2RY72VX"],"itemData":{"id":574,"type":"article-journal","abstract":"Theoretical calculations unveil the charge redistribution over abundant interfaces and the enhanced electronic states of Ru/RuS2 heterostructure. The resulting surface electron-deficient Ru sites display optimized adsorption behavior toward diverse reaction intermediates, thereby reducing the thermodynamic energy barriers. Experimentally, for the first time the laminar Ru/RuS2 heterostructure is rationally engineered by virtue of the synchronous reduction and sulfurization under eutectic salt system. Impressively, it exhibits extremely high catalytic activity for both OER (201 mV @ 10 mA cm−2) and HER (45 mV @ 10 mA cm−2) in acidic media due to favorable kinetics and excellent specific activity, consequently leading to a terrific performance in acidic overall water splitting devices (1.501 V @ 10 mA cm−2). The in-depth insight into the internal activity origin of interfacial effect could offer precise guidance for the rational establishment of hybrid interfaces.","container-title":"Angewandte Chemie International Edition","DOI":"10.1002/anie.202101539","ISSN":"1521-3773","issue":"22","language":"en","note":"_eprint: https://onlinelibrary.wiley.com/doi/pdf/10.1002/anie.202101539","page":"12328-12334","source":"Wiley Online Library","title":"Regulative Electronic States around Ruthenium/Ruthenium Disulphide Heterointerfaces for Efficient Water Splitting in Acidic Media","volume":"60","author":[{"family":"Zhu","given":"Jiawei"},{"family":"Guo","given":"Yao"},{"family":"Liu","given":"Fang"},{"family":"Xu","given":"Hanwen"},{"family":"Gong","given":"Lei"},{"family":"Shi","given":"Wenjie"},{"family":"Chen","given":"Ding"},{"family":"Wang","given":"Pengyan"},{"family":"Yang","given":"Yue"},{"family":"Zhang","given":"Chengtian"},{"family":"Wu","given":"Jinsong"},{"family":"Luo","given":"Jiahuan"},{"family":"Mu","given":"Shichun"}],"issued":{"date-parts":[["2021"]]}}}],"schema":"https://github.com/citation-style-language/schema/raw/master/csl-citation.json"} </w:instrText>
            </w:r>
            <w:r w:rsidRPr="003D2956">
              <w:rPr>
                <w:szCs w:val="24"/>
              </w:rPr>
              <w:fldChar w:fldCharType="separate"/>
            </w:r>
            <w:r w:rsidRPr="003D2956">
              <w:rPr>
                <w:rFonts w:ascii="Times New Roman" w:hAnsi="Times New Roman" w:cs="Times New Roman"/>
                <w:szCs w:val="24"/>
              </w:rPr>
              <w:t>[1]</w:t>
            </w:r>
            <w:r w:rsidRPr="003D2956">
              <w:rPr>
                <w:szCs w:val="24"/>
              </w:rPr>
              <w:fldChar w:fldCharType="end"/>
            </w:r>
          </w:p>
        </w:tc>
      </w:tr>
      <w:tr w:rsidR="003D2956" w:rsidRPr="003D2956" w14:paraId="60AE1939" w14:textId="77777777" w:rsidTr="00A51F19">
        <w:trPr>
          <w:trHeight w:val="539"/>
          <w:jc w:val="center"/>
        </w:trPr>
        <w:tc>
          <w:tcPr>
            <w:tcW w:w="2370" w:type="dxa"/>
            <w:tcBorders>
              <w:top w:val="nil"/>
              <w:bottom w:val="nil"/>
            </w:tcBorders>
            <w:vAlign w:val="center"/>
          </w:tcPr>
          <w:p w14:paraId="633C2DAC" w14:textId="69D840CA"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Pt/Co-RuO</w:t>
            </w:r>
            <w:r w:rsidRPr="003D2956">
              <w:rPr>
                <w:rFonts w:ascii="Times New Roman" w:hAnsi="Times New Roman" w:cs="Times New Roman"/>
                <w:szCs w:val="24"/>
                <w:vertAlign w:val="subscript"/>
              </w:rPr>
              <w:t>2</w:t>
            </w:r>
            <w:r w:rsidRPr="003D2956">
              <w:rPr>
                <w:rFonts w:ascii="Times New Roman" w:hAnsi="Times New Roman" w:cs="Times New Roman"/>
                <w:szCs w:val="24"/>
              </w:rPr>
              <w:t>/C</w:t>
            </w:r>
          </w:p>
        </w:tc>
        <w:tc>
          <w:tcPr>
            <w:tcW w:w="1455" w:type="dxa"/>
            <w:tcBorders>
              <w:top w:val="nil"/>
              <w:bottom w:val="nil"/>
            </w:tcBorders>
            <w:vAlign w:val="center"/>
          </w:tcPr>
          <w:p w14:paraId="16B11C51" w14:textId="283A776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nil"/>
            </w:tcBorders>
            <w:vAlign w:val="center"/>
          </w:tcPr>
          <w:p w14:paraId="23981A6E" w14:textId="6604559B"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48.5</w:t>
            </w:r>
          </w:p>
        </w:tc>
        <w:tc>
          <w:tcPr>
            <w:tcW w:w="736" w:type="dxa"/>
            <w:tcBorders>
              <w:top w:val="nil"/>
              <w:bottom w:val="nil"/>
            </w:tcBorders>
            <w:vAlign w:val="center"/>
          </w:tcPr>
          <w:p w14:paraId="1D3AC0FC" w14:textId="4F550050"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212</w:t>
            </w:r>
          </w:p>
        </w:tc>
        <w:tc>
          <w:tcPr>
            <w:tcW w:w="1871" w:type="dxa"/>
            <w:tcBorders>
              <w:top w:val="nil"/>
              <w:bottom w:val="nil"/>
            </w:tcBorders>
            <w:vAlign w:val="center"/>
          </w:tcPr>
          <w:p w14:paraId="720A40E9" w14:textId="0AF9D136"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20</w:t>
            </w:r>
          </w:p>
        </w:tc>
        <w:tc>
          <w:tcPr>
            <w:tcW w:w="1638" w:type="dxa"/>
            <w:tcBorders>
              <w:top w:val="nil"/>
              <w:bottom w:val="nil"/>
            </w:tcBorders>
            <w:vAlign w:val="center"/>
          </w:tcPr>
          <w:p w14:paraId="0E6921C9" w14:textId="2CDBB76C" w:rsidR="00667598" w:rsidRPr="003D2956" w:rsidRDefault="00667598" w:rsidP="00667598">
            <w:pPr>
              <w:jc w:val="center"/>
              <w:rPr>
                <w:rFonts w:ascii="Times New Roman" w:hAnsi="Times New Roman" w:cs="Times New Roman"/>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{"citationID":"jaEsUBIF","properties":{"formattedCitation":"\\super [2]\\nosupersub{}","plainCitation":"[2]","noteIndex":0},"citationItems":[{"id":1250,"uris":["http://zotero.org/users/6921855/items/GQ82BL5C"],"itemData":{"id":1250,"type":"article-journal","abstract":"Defective RuO2 possesses excellent initial activity toward the oxygen evolution reaction in acidic water electrooxidation due to the involvement of lattice oxygens, which, however, is the very reason for the accelerated dissolution of Ru species. Therefore, it is crucial to steer the electrochemical oxygen evolution towards the adsorbate evolution mechanism (AEM) for improved durability of the RuO2 phase in acidic electrolytes. Herein, we developed a method to mix Pt atoms with the RuO2 matrix in a controlled manner by exploiting the oxophilicity of certain first-row transition metals in pulling out the Pt atoms in Pt-based nanorod@Ru under oxidative conditions. The resulting nanorod-shaped PtCo–RuO2/C showed 212.6 ± 5.3 mV overpotential at 10 mA cm−2 in a half-cell test and exhibited mass activity and long-term stability that greatly surpass those of Pt–RuO2/C and commercial Ir/C. Microscopic and spectroscopic analyses and density functional theory calculation of the nanocatalysts before and after OER cycles were conducted to scrutinize the role of Pt dopants for the observed durability and activity, revealing that Pt dopants promote *OOH adsorption and deprotonation, thereby limiting Ru overoxidation during OER cycles. When PtCo–RuO2/C was applied to a proton-exchange membrane water electrolyzer, it showed a single-cell performance of 3.7 A mgRu+Pt−1 at 2.0 V, which greatly outperforms that of commercial IrO2.","container-title":"Energy &amp; Environmental Science","DOI":"10.1039/D1EE02636D","ISSN":"1754-5706","issue":"3","journalAbbreviation":"Energy Environ. Sci.","language":"en","note":"publisher: The Royal Society of Chemistry","page":"1119-1130","source":"pubs.rsc.org","title":"Safeguarding the RuO2 phase against lattice oxygen oxidation during acidic water electrooxidation","volume":"15","author":[{"family":"Jin","given":"Haneul"},{"family":"Choi","given":"Songa"},{"family":"Bang","given":"Gi Joo"},{"family":"Kwon","given":"Taehyun"},{"family":"Kim","given":"Hee Soo"},{"family":"Lee","given":"Su Ji"},{"family":"Hong","given":"Yongju"},{"family":"Lee","given":"Dong Wook"},{"family":"Park","given":"Hyun S."},{"family":"Baik","given":"Hionsuck"},{"family":"Jung","given":"Yousung"},{"family":"Yoo","given":"Sung Jong"},{"family":"Lee","given":"Kwangyeol"}],"issued":{"date-parts":[["2022",3,16]]}}}],"schema":"https://github.com/citation-style-language/schema/raw/master/csl-citation.json"} </w:instrText>
            </w:r>
            <w:r w:rsidRPr="003D2956">
              <w:rPr>
                <w:szCs w:val="24"/>
              </w:rPr>
              <w:fldChar w:fldCharType="separate"/>
            </w:r>
            <w:r w:rsidRPr="003D2956">
              <w:rPr>
                <w:rFonts w:ascii="Times New Roman" w:hAnsi="Times New Roman" w:cs="Times New Roman"/>
                <w:szCs w:val="24"/>
              </w:rPr>
              <w:t>[2]</w:t>
            </w:r>
            <w:r w:rsidRPr="003D2956">
              <w:rPr>
                <w:szCs w:val="24"/>
              </w:rPr>
              <w:fldChar w:fldCharType="end"/>
            </w:r>
          </w:p>
        </w:tc>
      </w:tr>
      <w:tr w:rsidR="003D2956" w:rsidRPr="003D2956" w14:paraId="7FDBB9E4" w14:textId="77777777" w:rsidTr="00A51F19">
        <w:trPr>
          <w:trHeight w:val="539"/>
          <w:jc w:val="center"/>
        </w:trPr>
        <w:tc>
          <w:tcPr>
            <w:tcW w:w="2370" w:type="dxa"/>
            <w:tcBorders>
              <w:top w:val="nil"/>
              <w:bottom w:val="nil"/>
            </w:tcBorders>
            <w:shd w:val="clear" w:color="auto" w:fill="F2F2F2" w:themeFill="background1" w:themeFillShade="F2"/>
            <w:vAlign w:val="center"/>
          </w:tcPr>
          <w:p w14:paraId="120A853D" w14:textId="0418638F"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IrO</w:t>
            </w:r>
            <w:r w:rsidRPr="003D2956">
              <w:rPr>
                <w:rFonts w:ascii="Times New Roman" w:hAnsi="Times New Roman" w:cs="Times New Roman"/>
                <w:szCs w:val="24"/>
                <w:vertAlign w:val="subscript"/>
              </w:rPr>
              <w:t>2</w:t>
            </w:r>
            <w:r w:rsidRPr="003D2956">
              <w:rPr>
                <w:rFonts w:ascii="Times New Roman" w:hAnsi="Times New Roman" w:cs="Times New Roman"/>
                <w:szCs w:val="24"/>
              </w:rPr>
              <w:t>-RuO</w:t>
            </w:r>
            <w:r w:rsidRPr="003D2956">
              <w:rPr>
                <w:rFonts w:ascii="Times New Roman" w:hAnsi="Times New Roman" w:cs="Times New Roman"/>
                <w:szCs w:val="24"/>
                <w:vertAlign w:val="subscript"/>
              </w:rPr>
              <w:t>2</w:t>
            </w:r>
            <w:r w:rsidRPr="003D2956">
              <w:rPr>
                <w:rFonts w:ascii="Times New Roman" w:hAnsi="Times New Roman" w:cs="Times New Roman"/>
                <w:szCs w:val="24"/>
              </w:rPr>
              <w:t>@</w:t>
            </w:r>
            <w:proofErr w:type="gramStart"/>
            <w:r w:rsidRPr="003D2956">
              <w:rPr>
                <w:rFonts w:ascii="Times New Roman" w:hAnsi="Times New Roman" w:cs="Times New Roman"/>
                <w:szCs w:val="24"/>
              </w:rPr>
              <w:t>Ru(</w:t>
            </w:r>
            <w:proofErr w:type="gramEnd"/>
            <w:r w:rsidRPr="003D2956">
              <w:rPr>
                <w:rFonts w:ascii="Times New Roman" w:hAnsi="Times New Roman" w:cs="Times New Roman"/>
                <w:szCs w:val="24"/>
              </w:rPr>
              <w:t>3:1)</w:t>
            </w:r>
          </w:p>
        </w:tc>
        <w:tc>
          <w:tcPr>
            <w:tcW w:w="1455" w:type="dxa"/>
            <w:tcBorders>
              <w:top w:val="nil"/>
              <w:bottom w:val="nil"/>
            </w:tcBorders>
            <w:shd w:val="clear" w:color="auto" w:fill="F2F2F2" w:themeFill="background1" w:themeFillShade="F2"/>
            <w:vAlign w:val="center"/>
          </w:tcPr>
          <w:p w14:paraId="38A62D5B" w14:textId="36B016B4"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0.379</w:t>
            </w:r>
          </w:p>
        </w:tc>
        <w:tc>
          <w:tcPr>
            <w:tcW w:w="1757" w:type="dxa"/>
            <w:tcBorders>
              <w:top w:val="nil"/>
              <w:bottom w:val="nil"/>
            </w:tcBorders>
            <w:shd w:val="clear" w:color="auto" w:fill="F2F2F2" w:themeFill="background1" w:themeFillShade="F2"/>
            <w:vAlign w:val="center"/>
          </w:tcPr>
          <w:p w14:paraId="5A26DEBD" w14:textId="1C63C23F"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bCs/>
                <w:szCs w:val="24"/>
              </w:rPr>
              <w:t>53.1</w:t>
            </w:r>
          </w:p>
        </w:tc>
        <w:tc>
          <w:tcPr>
            <w:tcW w:w="736" w:type="dxa"/>
            <w:tcBorders>
              <w:top w:val="nil"/>
              <w:bottom w:val="nil"/>
            </w:tcBorders>
            <w:shd w:val="clear" w:color="auto" w:fill="F2F2F2" w:themeFill="background1" w:themeFillShade="F2"/>
            <w:vAlign w:val="center"/>
          </w:tcPr>
          <w:p w14:paraId="203BDAF8" w14:textId="3A1FAFF9"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281</w:t>
            </w:r>
          </w:p>
        </w:tc>
        <w:tc>
          <w:tcPr>
            <w:tcW w:w="1871" w:type="dxa"/>
            <w:tcBorders>
              <w:top w:val="nil"/>
              <w:bottom w:val="nil"/>
            </w:tcBorders>
            <w:shd w:val="clear" w:color="auto" w:fill="F2F2F2" w:themeFill="background1" w:themeFillShade="F2"/>
            <w:vAlign w:val="center"/>
          </w:tcPr>
          <w:p w14:paraId="334C1B8F" w14:textId="6CAEA910"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w:t>
            </w:r>
          </w:p>
        </w:tc>
        <w:tc>
          <w:tcPr>
            <w:tcW w:w="1638" w:type="dxa"/>
            <w:tcBorders>
              <w:top w:val="nil"/>
              <w:bottom w:val="nil"/>
            </w:tcBorders>
            <w:shd w:val="clear" w:color="auto" w:fill="F2F2F2" w:themeFill="background1" w:themeFillShade="F2"/>
            <w:vAlign w:val="center"/>
          </w:tcPr>
          <w:p w14:paraId="09CA1106" w14:textId="0398C134" w:rsidR="00667598" w:rsidRPr="003D2956" w:rsidRDefault="00667598" w:rsidP="00667598">
            <w:pPr>
              <w:jc w:val="center"/>
              <w:rPr>
                <w:rFonts w:ascii="Times New Roman" w:eastAsia="宋体" w:hAnsi="Times New Roman" w:cs="Times New Roman"/>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{"citationID":"Baxr0yWL","properties":{"formattedCitation":"\\super [3]\\nosupersub{}","plainCitation":"[3]","noteIndex":0},"citationItems":[{"id":626,"uris":["http://zotero.org/users/6921855/items/8ZW4VZPI"],"itemData":{"id":626,"type":"article-journal","abstract":"Here, we present our effort in simultaneously enhancing the intrinsic activity and improving the durability of catalysts based on Ir and Ru oxides. Through successful design and fabrication of the discontinuously covered IrO2–RuO2@Ru (3 : 1) supported structure, we are able to combine the high activity of RuO2 and the outstanding stability of IrO2. Specifically, the overpotential of the IrO2–RuO2@Ru (3 : 1) catalyst at 10 mA cm−2 is only 281 mV, and the turnover frequency (TOF) values of IrO2–RuO2@Ru (3 : 1), Ir3RuO2 and IrO2 catalysts are ca. 0.039, 0.023 and 0.017 s−1 at 1.55 V, respectively, indicating that IrO2–RuO2@Ru (3 : 1) exhibits higher intrinsic activity and the active surface sites possess greater ability to generate oxygen. The excellent durability of the IrO2–RuO2@Ru (3 : 1) catalyst is confirmed with the overpotential at 10 mA cm−2 positively shifting by only 16 mV after 3000 cycles through accelerated durability tests. Remarkably, the IrO2–RuO2@Ru (3 : 1) catalyst exhibits a huge advantage in reducing the use of precious metals in water electrolysis. Hence, the supported iridium–ruthenium bimetallic oxides show huge potential towards an active and stable application for the oxygen evolution reaction in acidic media.","container-title":"Journal of Materials Chemistry A","DOI":"10.1039/C7TA05126C","ISSN":"2050-7496","issue":"33","journalAbbreviation":"J. Mater. Chem. A","language":"en","note":"publisher: The Royal Society of Chemistry","page":"17221-17229","source":"pubs.rsc.org","title":"Discontinuously covered IrO2–RuO2@Ru electrocatalysts for the oxygen evolution reaction: how high activity and long-term durability can be simultaneously realized in the synergistic and hybrid nano-structure","title-short":"Discontinuously covered IrO2–RuO2@Ru electrocatalysts for the oxygen evolution reaction","volume":"5","author":[{"family":"Li","given":"Guoqiang"},{"family":"Li","given":"Songtao"},{"family":"Ge","given":"Junjie"},{"family":"Liu","given":"Changpeng"},{"family":"Xing","given":"Wei"}],"issued":{"date-parts":[["2017",8,22]]}}}],"schema":"https://github.com/citation-style-language/schema/raw/master/csl-citation.json"} </w:instrText>
            </w:r>
            <w:r w:rsidRPr="003D2956">
              <w:rPr>
                <w:szCs w:val="24"/>
              </w:rPr>
              <w:fldChar w:fldCharType="separate"/>
            </w:r>
            <w:r w:rsidRPr="003D2956">
              <w:rPr>
                <w:rFonts w:ascii="Times New Roman" w:hAnsi="Times New Roman" w:cs="Times New Roman"/>
                <w:szCs w:val="24"/>
              </w:rPr>
              <w:t>[3]</w:t>
            </w:r>
            <w:r w:rsidRPr="003D2956">
              <w:rPr>
                <w:szCs w:val="24"/>
              </w:rPr>
              <w:fldChar w:fldCharType="end"/>
            </w:r>
          </w:p>
        </w:tc>
      </w:tr>
      <w:tr w:rsidR="003D2956" w:rsidRPr="003D2956" w14:paraId="52BB5C5E" w14:textId="77777777" w:rsidTr="00A51F19">
        <w:trPr>
          <w:trHeight w:val="539"/>
          <w:jc w:val="center"/>
        </w:trPr>
        <w:tc>
          <w:tcPr>
            <w:tcW w:w="2370" w:type="dxa"/>
            <w:tcBorders>
              <w:top w:val="nil"/>
              <w:bottom w:val="nil"/>
            </w:tcBorders>
            <w:vAlign w:val="center"/>
          </w:tcPr>
          <w:p w14:paraId="2B775DEF" w14:textId="16389B12" w:rsidR="00667598" w:rsidRPr="003D2956" w:rsidRDefault="00667598" w:rsidP="00667598">
            <w:pPr>
              <w:jc w:val="center"/>
              <w:rPr>
                <w:rFonts w:ascii="Times New Roman" w:eastAsia="宋体" w:hAnsi="Times New Roman" w:cs="Times New Roman"/>
                <w:szCs w:val="24"/>
              </w:rPr>
            </w:pPr>
            <w:proofErr w:type="spellStart"/>
            <w:r w:rsidRPr="003D2956">
              <w:rPr>
                <w:rFonts w:ascii="Times New Roman" w:hAnsi="Times New Roman" w:cs="Times New Roman"/>
                <w:szCs w:val="24"/>
              </w:rPr>
              <w:t>RuIrCo</w:t>
            </w:r>
            <w:proofErr w:type="spellEnd"/>
          </w:p>
        </w:tc>
        <w:tc>
          <w:tcPr>
            <w:tcW w:w="1455" w:type="dxa"/>
            <w:tcBorders>
              <w:top w:val="nil"/>
              <w:bottom w:val="nil"/>
            </w:tcBorders>
            <w:vAlign w:val="center"/>
          </w:tcPr>
          <w:p w14:paraId="1D5B6847" w14:textId="14A1B757"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0.051</w:t>
            </w:r>
          </w:p>
        </w:tc>
        <w:tc>
          <w:tcPr>
            <w:tcW w:w="1757" w:type="dxa"/>
            <w:tcBorders>
              <w:top w:val="nil"/>
              <w:bottom w:val="nil"/>
            </w:tcBorders>
            <w:vAlign w:val="center"/>
          </w:tcPr>
          <w:p w14:paraId="56BC2616" w14:textId="1B03481E"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bCs/>
                <w:szCs w:val="24"/>
              </w:rPr>
              <w:t>66.9</w:t>
            </w:r>
          </w:p>
        </w:tc>
        <w:tc>
          <w:tcPr>
            <w:tcW w:w="736" w:type="dxa"/>
            <w:tcBorders>
              <w:top w:val="nil"/>
              <w:bottom w:val="nil"/>
            </w:tcBorders>
            <w:vAlign w:val="center"/>
          </w:tcPr>
          <w:p w14:paraId="0B0DFFF9" w14:textId="67F2739F"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235</w:t>
            </w:r>
          </w:p>
        </w:tc>
        <w:tc>
          <w:tcPr>
            <w:tcW w:w="1871" w:type="dxa"/>
            <w:tcBorders>
              <w:top w:val="nil"/>
              <w:bottom w:val="nil"/>
            </w:tcBorders>
            <w:vAlign w:val="center"/>
          </w:tcPr>
          <w:p w14:paraId="3321AF1A" w14:textId="5B4A9AF6" w:rsidR="00667598" w:rsidRPr="003D2956" w:rsidRDefault="00667598" w:rsidP="00667598">
            <w:pPr>
              <w:jc w:val="center"/>
              <w:rPr>
                <w:rFonts w:ascii="Times New Roman" w:eastAsia="宋体" w:hAnsi="Times New Roman" w:cs="Times New Roman"/>
                <w:szCs w:val="24"/>
              </w:rPr>
            </w:pPr>
            <w:r w:rsidRPr="003D2956">
              <w:rPr>
                <w:rFonts w:ascii="Times New Roman" w:hAnsi="Times New Roman" w:cs="Times New Roman"/>
                <w:szCs w:val="24"/>
              </w:rPr>
              <w:t>25</w:t>
            </w:r>
          </w:p>
        </w:tc>
        <w:tc>
          <w:tcPr>
            <w:tcW w:w="1638" w:type="dxa"/>
            <w:tcBorders>
              <w:top w:val="nil"/>
              <w:bottom w:val="nil"/>
            </w:tcBorders>
            <w:vAlign w:val="center"/>
          </w:tcPr>
          <w:p w14:paraId="2E474267" w14:textId="5827C767" w:rsidR="00667598" w:rsidRPr="003D2956" w:rsidRDefault="00667598" w:rsidP="00667598">
            <w:pPr>
              <w:jc w:val="center"/>
              <w:rPr>
                <w:rFonts w:ascii="Times New Roman" w:eastAsia="宋体" w:hAnsi="Times New Roman" w:cs="Times New Roman"/>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{"citationID":"fHCqd9ct","properties":{"formattedCitation":"\\super [4]\\nosupersub{}","plainCitation":"[4]","noteIndex":0},"citationItems":[{"id":836,"uris":["http://zotero.org/users/6921855/items/MBTL6YCE"],"itemData":{"id":836,"type":"article-journal","abstract":"The establishment of electrocatalysts with bifunctionality for efficient oxygen evolution reaction (OER) and hydrogen evolution reaction (HER) in acidic environments is necessary for the development of proton exchange membrane (PEM) water electrolyzers for the production of clean hydrogen fuel. RuIr alloy is considered to be a promising electrocatalyst because of its favorable OER performance and potential for HER. Here, the design of a bifunctional electrocatalyst with greatly boosted water-splitting performance from doping RuIr alloy nanocrystals with transition metals that modify electronic structure and binding strength of reaction intermediates is reported. Significantly, Co-RuIr results in small overpotentials of 235 mV for OER and 14 mV for HER (@ 10 mA cm−2 current density) in 0.1 m HClO4 media. Therefore a cell voltage of just 1.52 V is needed for overall water splitting to produce hydrogen and oxygen. More importantly, for a series of M-RuIr (M = Co, Ni, Fe), the catalytic activity dependence at fundamental level on the chemical/valence states is used to establish a novel composition-activity relationship. This permits new design principles for bifunctional electrocatalysts.","container-title":"Advanced Materials","DOI":"10.1002/adma.201900510","ISSN":"1521-4095","issue":"17","language":"en","note":"_eprint: https://onlinelibrary.wiley.com/doi/pdf/10.1002/adma.201900510","page":"1900510","source":"Wiley Online Library","title":"Transition-Metal-Doped RuIr Bifunctional Nanocrystals for Overall Water Splitting in Acidic Environments","volume":"31","author":[{"family":"Shan","given":"Jieqiong"},{"family":"Ling","given":"Tao"},{"family":"Davey","given":"Kenneth"},{"family":"Zheng","given":"Yao"},{"family":"Qiao","given":"Shi-Zhang"}],"issued":{"date-parts":[["2019"]]}}}],"schema":"https://github.com/citation-style-language/schema/raw/master/csl-citation.json"} </w:instrText>
            </w:r>
            <w:r w:rsidRPr="003D2956">
              <w:rPr>
                <w:szCs w:val="24"/>
              </w:rPr>
              <w:fldChar w:fldCharType="separate"/>
            </w:r>
            <w:r w:rsidRPr="003D2956">
              <w:rPr>
                <w:rFonts w:ascii="Times New Roman" w:hAnsi="Times New Roman" w:cs="Times New Roman"/>
                <w:szCs w:val="24"/>
              </w:rPr>
              <w:t>[4]</w:t>
            </w:r>
            <w:r w:rsidRPr="003D2956">
              <w:rPr>
                <w:szCs w:val="24"/>
              </w:rPr>
              <w:fldChar w:fldCharType="end"/>
            </w:r>
          </w:p>
        </w:tc>
      </w:tr>
      <w:tr w:rsidR="003D2956" w:rsidRPr="003D2956" w14:paraId="69E14D66" w14:textId="77777777" w:rsidTr="00A51F19">
        <w:trPr>
          <w:trHeight w:val="539"/>
          <w:jc w:val="center"/>
        </w:trPr>
        <w:tc>
          <w:tcPr>
            <w:tcW w:w="2370" w:type="dxa"/>
            <w:tcBorders>
              <w:top w:val="nil"/>
              <w:bottom w:val="nil"/>
            </w:tcBorders>
            <w:shd w:val="clear" w:color="auto" w:fill="F2F2F2" w:themeFill="background1" w:themeFillShade="F2"/>
            <w:vAlign w:val="center"/>
          </w:tcPr>
          <w:p w14:paraId="78D3741C" w14:textId="091993D0"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Cu-RuO</w:t>
            </w:r>
            <w:r w:rsidRPr="003D2956">
              <w:rPr>
                <w:rFonts w:ascii="Times New Roman" w:hAnsi="Times New Roman" w:cs="Times New Roman"/>
                <w:szCs w:val="24"/>
                <w:vertAlign w:val="subscript"/>
              </w:rPr>
              <w:t>2</w:t>
            </w:r>
          </w:p>
        </w:tc>
        <w:tc>
          <w:tcPr>
            <w:tcW w:w="1455" w:type="dxa"/>
            <w:tcBorders>
              <w:top w:val="nil"/>
              <w:bottom w:val="nil"/>
            </w:tcBorders>
            <w:shd w:val="clear" w:color="auto" w:fill="F2F2F2" w:themeFill="background1" w:themeFillShade="F2"/>
            <w:vAlign w:val="center"/>
          </w:tcPr>
          <w:p w14:paraId="631A60F0" w14:textId="35483A6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0.275</w:t>
            </w:r>
          </w:p>
        </w:tc>
        <w:tc>
          <w:tcPr>
            <w:tcW w:w="1757" w:type="dxa"/>
            <w:tcBorders>
              <w:top w:val="nil"/>
              <w:bottom w:val="nil"/>
            </w:tcBorders>
            <w:shd w:val="clear" w:color="auto" w:fill="F2F2F2" w:themeFill="background1" w:themeFillShade="F2"/>
            <w:vAlign w:val="center"/>
          </w:tcPr>
          <w:p w14:paraId="0605C051" w14:textId="2EF6335A"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43.96</w:t>
            </w:r>
          </w:p>
        </w:tc>
        <w:tc>
          <w:tcPr>
            <w:tcW w:w="736" w:type="dxa"/>
            <w:tcBorders>
              <w:top w:val="nil"/>
              <w:bottom w:val="nil"/>
            </w:tcBorders>
            <w:shd w:val="clear" w:color="auto" w:fill="F2F2F2" w:themeFill="background1" w:themeFillShade="F2"/>
            <w:vAlign w:val="center"/>
          </w:tcPr>
          <w:p w14:paraId="25AF90D6" w14:textId="361CCFA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188</w:t>
            </w:r>
          </w:p>
        </w:tc>
        <w:tc>
          <w:tcPr>
            <w:tcW w:w="1871" w:type="dxa"/>
            <w:tcBorders>
              <w:top w:val="nil"/>
              <w:bottom w:val="nil"/>
            </w:tcBorders>
            <w:shd w:val="clear" w:color="auto" w:fill="F2F2F2" w:themeFill="background1" w:themeFillShade="F2"/>
            <w:vAlign w:val="center"/>
          </w:tcPr>
          <w:p w14:paraId="5B541810" w14:textId="0A57DA5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8</w:t>
            </w:r>
          </w:p>
        </w:tc>
        <w:tc>
          <w:tcPr>
            <w:tcW w:w="1638" w:type="dxa"/>
            <w:tcBorders>
              <w:top w:val="nil"/>
              <w:bottom w:val="nil"/>
            </w:tcBorders>
            <w:shd w:val="clear" w:color="auto" w:fill="F2F2F2" w:themeFill="background1" w:themeFillShade="F2"/>
            <w:vAlign w:val="center"/>
          </w:tcPr>
          <w:p w14:paraId="442C121A" w14:textId="67611CAA" w:rsidR="00667598" w:rsidRPr="003D2956" w:rsidRDefault="00667598" w:rsidP="00667598">
            <w:pPr>
              <w:jc w:val="center"/>
              <w:rPr>
                <w:rFonts w:ascii="Times New Roman" w:hAnsi="Times New Roman" w:cs="Times New Roman"/>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{"citationID":"pnbpAE9M","properties":{"formattedCitation":"\\super [5]\\nosupersub{}","plainCitation":"[5]","noteIndex":0},"citationItems":[{"id":104,"uris":["http://zotero.org/users/6921855/items/UNFQRPCU"],"itemData":{"id":104,"type":"article-journal","container-title":"Advanced Materials","DOI":"10.1002/adma.201801351","ISSN":"09359648","issue":"29","journalAbbreviation":"Adv. Mater.","language":"en","page":"1801351","source":"DOI.org (Crossref)","title":"Assembling Ultrasmall Copper-Doped Ruthenium Oxide Nanocrystals into Hollow Porous Polyhedra: Highly Robust Electrocatalysts for Oxygen Evolution in Acidic Media","title-short":"Assembling Ultrasmall Copper-Doped Ruthenium Oxide Nanocrystals into Hollow Porous Polyhedra","volume":"30","author":[{"family":"Su","given":"Jianwei"},{"family":"Ge","given":"Ruixiang"},{"family":"Jiang","given":"Kemin"},{"family":"Dong","given":"Yan"},{"family":"Hao","given":"Fei"},{"family":"Tian","given":"Ziqi"},{"family":"Chen","given":"Guoxin"},{"family":"Chen","given":"Liang"}],"issued":{"date-parts":[["2018",7]]}}}],"schema":"https://github.com/citation-style-language/schema/raw/master/csl-citation.json"} </w:instrText>
            </w:r>
            <w:r w:rsidRPr="003D2956">
              <w:rPr>
                <w:szCs w:val="24"/>
              </w:rPr>
              <w:fldChar w:fldCharType="separate"/>
            </w:r>
            <w:r w:rsidRPr="003D2956">
              <w:rPr>
                <w:rFonts w:ascii="Times New Roman" w:hAnsi="Times New Roman" w:cs="Times New Roman"/>
                <w:szCs w:val="24"/>
              </w:rPr>
              <w:t>[5]</w:t>
            </w:r>
            <w:r w:rsidRPr="003D2956">
              <w:rPr>
                <w:szCs w:val="24"/>
              </w:rPr>
              <w:fldChar w:fldCharType="end"/>
            </w:r>
          </w:p>
        </w:tc>
      </w:tr>
      <w:tr w:rsidR="003D2956" w:rsidRPr="003D2956" w14:paraId="0C2796CD" w14:textId="77777777" w:rsidTr="00A51F19">
        <w:trPr>
          <w:trHeight w:val="539"/>
          <w:jc w:val="center"/>
        </w:trPr>
        <w:tc>
          <w:tcPr>
            <w:tcW w:w="2370" w:type="dxa"/>
            <w:tcBorders>
              <w:top w:val="nil"/>
              <w:bottom w:val="nil"/>
            </w:tcBorders>
            <w:vAlign w:val="center"/>
          </w:tcPr>
          <w:p w14:paraId="03632171" w14:textId="1395A1C4"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RuB</w:t>
            </w:r>
            <w:r w:rsidRPr="003D2956">
              <w:rPr>
                <w:rFonts w:ascii="Times New Roman" w:hAnsi="Times New Roman" w:cs="Times New Roman"/>
                <w:szCs w:val="24"/>
                <w:vertAlign w:val="subscript"/>
              </w:rPr>
              <w:t>2</w:t>
            </w:r>
          </w:p>
        </w:tc>
        <w:tc>
          <w:tcPr>
            <w:tcW w:w="1455" w:type="dxa"/>
            <w:tcBorders>
              <w:top w:val="nil"/>
              <w:bottom w:val="nil"/>
            </w:tcBorders>
            <w:vAlign w:val="center"/>
          </w:tcPr>
          <w:p w14:paraId="0D06A84C" w14:textId="6E6BA747"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0.571</w:t>
            </w:r>
          </w:p>
        </w:tc>
        <w:tc>
          <w:tcPr>
            <w:tcW w:w="1757" w:type="dxa"/>
            <w:tcBorders>
              <w:top w:val="nil"/>
              <w:bottom w:val="nil"/>
            </w:tcBorders>
            <w:vAlign w:val="center"/>
          </w:tcPr>
          <w:p w14:paraId="53732095" w14:textId="32FD4F25"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39.8</w:t>
            </w:r>
          </w:p>
        </w:tc>
        <w:tc>
          <w:tcPr>
            <w:tcW w:w="736" w:type="dxa"/>
            <w:tcBorders>
              <w:top w:val="nil"/>
              <w:bottom w:val="nil"/>
            </w:tcBorders>
            <w:vAlign w:val="center"/>
          </w:tcPr>
          <w:p w14:paraId="02B5DE15" w14:textId="3AD21E20"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223</w:t>
            </w:r>
          </w:p>
        </w:tc>
        <w:tc>
          <w:tcPr>
            <w:tcW w:w="1871" w:type="dxa"/>
            <w:tcBorders>
              <w:top w:val="nil"/>
              <w:bottom w:val="nil"/>
            </w:tcBorders>
            <w:vAlign w:val="center"/>
          </w:tcPr>
          <w:p w14:paraId="161578F7" w14:textId="29DA89BE"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10</w:t>
            </w:r>
          </w:p>
        </w:tc>
        <w:tc>
          <w:tcPr>
            <w:tcW w:w="1638" w:type="dxa"/>
            <w:tcBorders>
              <w:top w:val="nil"/>
              <w:bottom w:val="nil"/>
            </w:tcBorders>
            <w:vAlign w:val="center"/>
          </w:tcPr>
          <w:p w14:paraId="50CE4B16" w14:textId="3FE308E1"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{"citationID":"IMZwe8gL","properties":{"formattedCitation":"\\super [6]\\nosupersub{}","plainCitation":"[6]","noteIndex":0},"citationItems":[{"id":310,"uris":["http://zotero.org/users/6921855/items/EMKR4Q3K"],"itemData":{"id":310,"type":"article-journal","container-title":"ACS Energy Letters","DOI":"10.1021/acsenergylett.0c01384","ISSN":"2380-8195, 2380-8195","issue":"9","journalAbbreviation":"ACS Energy Lett.","language":"en","page":"2909-2915","source":"DOI.org (Crossref)","title":"Ionothermal Route to Phase-Pure RuB &lt;sub&gt;2&lt;/sub&gt; Catalysts for Efficient Oxygen Evolution and Water Splitting in Acidic Media","volume":"5","author":[{"family":"Chen","given":"Ding"},{"family":"Liu","given":"Tingting"},{"family":"Wang","given":"Pengyan"},{"family":"Zhao","given":"Jiahuan"},{"family":"Zhang","given":"Chengtian"},{"family":"Cheng","given":"Ruilin"},{"family":"Li","given":"Wenqiang"},{"family":"Ji","given":"Pengxia"},{"family":"Pu","given":"Zonghua"},{"family":"Mu","given":"Shichun"}],"issued":{"date-parts":[["2020",9,11]]}}}],"schema":"https://github.com/citation-style-language/schema/raw/master/csl-citation.json"} </w:instrText>
            </w:r>
            <w:r w:rsidRPr="003D2956">
              <w:rPr>
                <w:szCs w:val="24"/>
              </w:rPr>
              <w:fldChar w:fldCharType="separate"/>
            </w:r>
            <w:r w:rsidRPr="003D2956">
              <w:rPr>
                <w:rFonts w:ascii="Times New Roman" w:hAnsi="Times New Roman" w:cs="Times New Roman"/>
                <w:szCs w:val="24"/>
              </w:rPr>
              <w:t>[6]</w:t>
            </w:r>
            <w:r w:rsidRPr="003D2956">
              <w:rPr>
                <w:szCs w:val="24"/>
              </w:rPr>
              <w:fldChar w:fldCharType="end"/>
            </w:r>
          </w:p>
        </w:tc>
      </w:tr>
      <w:tr w:rsidR="003D2956" w:rsidRPr="003D2956" w14:paraId="55772D30" w14:textId="77777777" w:rsidTr="00A51F19">
        <w:trPr>
          <w:trHeight w:val="539"/>
          <w:jc w:val="center"/>
        </w:trPr>
        <w:tc>
          <w:tcPr>
            <w:tcW w:w="2370" w:type="dxa"/>
            <w:tcBorders>
              <w:top w:val="nil"/>
              <w:bottom w:val="nil"/>
            </w:tcBorders>
            <w:shd w:val="clear" w:color="auto" w:fill="F2F2F2" w:themeFill="background1" w:themeFillShade="F2"/>
            <w:vAlign w:val="center"/>
          </w:tcPr>
          <w:p w14:paraId="65D0F0EA" w14:textId="03D864D3"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1D-RuO</w:t>
            </w:r>
            <w:r w:rsidRPr="003D2956">
              <w:rPr>
                <w:rFonts w:ascii="Times New Roman" w:hAnsi="Times New Roman" w:cs="Times New Roman"/>
                <w:bCs/>
                <w:szCs w:val="24"/>
                <w:vertAlign w:val="subscript"/>
              </w:rPr>
              <w:t>2</w:t>
            </w:r>
            <w:r w:rsidRPr="003D2956">
              <w:rPr>
                <w:rFonts w:ascii="Times New Roman" w:hAnsi="Times New Roman" w:cs="Times New Roman"/>
                <w:bCs/>
                <w:szCs w:val="24"/>
              </w:rPr>
              <w:t>-CN</w:t>
            </w:r>
            <w:r w:rsidRPr="003D2956">
              <w:rPr>
                <w:rFonts w:ascii="Times New Roman" w:hAnsi="Times New Roman" w:cs="Times New Roman"/>
                <w:bCs/>
                <w:i/>
                <w:szCs w:val="24"/>
                <w:vertAlign w:val="subscript"/>
              </w:rPr>
              <w:t>x</w:t>
            </w:r>
          </w:p>
        </w:tc>
        <w:tc>
          <w:tcPr>
            <w:tcW w:w="1455" w:type="dxa"/>
            <w:tcBorders>
              <w:top w:val="nil"/>
              <w:bottom w:val="nil"/>
            </w:tcBorders>
            <w:shd w:val="clear" w:color="auto" w:fill="F2F2F2" w:themeFill="background1" w:themeFillShade="F2"/>
            <w:vAlign w:val="center"/>
          </w:tcPr>
          <w:p w14:paraId="1BB734ED" w14:textId="1FA0B843"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0.171</w:t>
            </w:r>
          </w:p>
        </w:tc>
        <w:tc>
          <w:tcPr>
            <w:tcW w:w="1757" w:type="dxa"/>
            <w:tcBorders>
              <w:top w:val="nil"/>
              <w:bottom w:val="nil"/>
            </w:tcBorders>
            <w:shd w:val="clear" w:color="auto" w:fill="F2F2F2" w:themeFill="background1" w:themeFillShade="F2"/>
            <w:vAlign w:val="center"/>
          </w:tcPr>
          <w:p w14:paraId="5E761B7F" w14:textId="73C9B25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52</w:t>
            </w:r>
          </w:p>
        </w:tc>
        <w:tc>
          <w:tcPr>
            <w:tcW w:w="736" w:type="dxa"/>
            <w:tcBorders>
              <w:top w:val="nil"/>
              <w:bottom w:val="nil"/>
            </w:tcBorders>
            <w:shd w:val="clear" w:color="auto" w:fill="F2F2F2" w:themeFill="background1" w:themeFillShade="F2"/>
            <w:vAlign w:val="center"/>
          </w:tcPr>
          <w:p w14:paraId="7409C833" w14:textId="1BCC7354"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250</w:t>
            </w:r>
          </w:p>
        </w:tc>
        <w:tc>
          <w:tcPr>
            <w:tcW w:w="1871" w:type="dxa"/>
            <w:tcBorders>
              <w:top w:val="nil"/>
              <w:bottom w:val="nil"/>
            </w:tcBorders>
            <w:shd w:val="clear" w:color="auto" w:fill="F2F2F2" w:themeFill="background1" w:themeFillShade="F2"/>
            <w:vAlign w:val="center"/>
          </w:tcPr>
          <w:p w14:paraId="36525067" w14:textId="0D711364"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w:t>
            </w:r>
          </w:p>
        </w:tc>
        <w:tc>
          <w:tcPr>
            <w:tcW w:w="1638" w:type="dxa"/>
            <w:tcBorders>
              <w:top w:val="nil"/>
              <w:bottom w:val="nil"/>
            </w:tcBorders>
            <w:shd w:val="clear" w:color="auto" w:fill="F2F2F2" w:themeFill="background1" w:themeFillShade="F2"/>
            <w:vAlign w:val="center"/>
          </w:tcPr>
          <w:p w14:paraId="0EE34D46" w14:textId="4601ADCF"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{"citationID":"vhOxF5Mr","properties":{"formattedCitation":"\\super [7]\\nosupersub{}","plainCitation":"[7]","noteIndex":0},"citationItems":[{"id":624,"uris":["http://zotero.org/users/6921855/items/89BYSE88"],"itemData":{"id":624,"type":"article-journal","abstract":"Development of highly efficient and durable bifunctional electrocatalyst for hydrogen and oxygen evolution reactions (HER and OER) is essential for efficient solar fuel generation. The commercial RuO2 or RuO2-based catalysts are highly active toward OER, but their poor stability under different operating conditions is the main obstacle for their commercialization. Herein, we report growth of one-dimensional highly crystalline RuO2 nanowires on carbon nitride (1D-RuO2-CNx) for their applications in HER and OER at all pH values. The 1D-RuO2-CNx, as an OER catalyst, exhibits a low onset overpotential of </w:instrText>
            </w:r>
            <w:r w:rsidRPr="003D2956">
              <w:rPr>
                <w:rFonts w:ascii="Cambria Math" w:hAnsi="Cambria Math" w:cs="Cambria Math"/>
                <w:szCs w:val="24"/>
              </w:rPr>
              <w:instrText>∼</w:instrText>
            </w:r>
            <w:r w:rsidRPr="003D2956">
              <w:rPr>
                <w:rFonts w:ascii="Times New Roman" w:hAnsi="Times New Roman" w:cs="Times New Roman"/>
                <w:szCs w:val="24"/>
              </w:rPr>
              <w:instrText xml:space="preserve">200 mV in both acidic and basic media, whereas Tafel slopes are 52 and 56 mV/dec in acidic and basic media, respectively. This catalyst requires a low overpotential of 250 and 260 mV to drive the current density of 10 mA cm–2 in acidic and basic media, respectively. The mass activity of 1D-RuO2-CNx catalyst is 352 mA mg–1, which is </w:instrText>
            </w:r>
            <w:r w:rsidRPr="003D2956">
              <w:rPr>
                <w:rFonts w:ascii="Cambria Math" w:hAnsi="Cambria Math" w:cs="Cambria Math"/>
                <w:szCs w:val="24"/>
              </w:rPr>
              <w:instrText>∼</w:instrText>
            </w:r>
            <w:r w:rsidRPr="003D2956">
              <w:rPr>
                <w:rFonts w:ascii="Times New Roman" w:hAnsi="Times New Roman" w:cs="Times New Roman"/>
                <w:szCs w:val="24"/>
              </w:rPr>
              <w:instrText xml:space="preserve">14 times higher than that of commercial RuO2. Most importantly, the 1D-RuO2-CNx catalyst has remarkably higher stability compared to commercial RuO2. This catalyst also exhibits superior HER activity with a current density of 10 mAcm–2 at </w:instrText>
            </w:r>
            <w:r w:rsidRPr="003D2956">
              <w:rPr>
                <w:rFonts w:ascii="Cambria Math" w:hAnsi="Cambria Math" w:cs="Cambria Math"/>
                <w:szCs w:val="24"/>
              </w:rPr>
              <w:instrText>∼</w:instrText>
            </w:r>
            <w:r w:rsidRPr="003D2956">
              <w:rPr>
                <w:rFonts w:ascii="Times New Roman" w:hAnsi="Times New Roman" w:cs="Times New Roman"/>
                <w:szCs w:val="24"/>
              </w:rPr>
              <w:instrText xml:space="preserve">93 and 95 mV in acidic and basic media. The HER Tafel slopes of this catalyst are 40 mV/dec in acidic condition and 70 mV/dec in basic condition. The HER activity of this catalyst is slightly lower than Pt/C in acidic media, whereas in basic media it is comparable or even better than that of Pt/C at higher overpotentials. The HER stability of this catalyst is also better than that of Pt/C in all pH solutions. This superior catalytic activity of 1D-RuO2-CNx composite can be attributed to catalyst–support interaction, enhanced mass and electron transport, one-dimensional morphology, and highly crystalline rutile RuO2 structure.","container-title":"ACS Applied Materials &amp; Interfaces","DOI":"10.1021/acsami.6b10436","ISSN":"1944-8244","issue":"42","journalAbbreviation":"ACS Appl. Mater. Interfaces","note":"publisher: American Chemical Society","page":"28678-28688","source":"ACS Publications","title":"Growth of One-Dimensional RuO2 Nanowires on g-Carbon Nitride: An Active and Stable Bifunctional Electrocatalyst for Hydrogen and Oxygen Evolution Reactions at All pH Values","title-short":"Growth of One-Dimensional RuO2 Nanowires on g-Carbon Nitride","volume":"8","author":[{"family":"Bhowmik","given":"Tanmay"},{"family":"Kundu","given":"Manas Kumar"},{"family":"Barman","given":"Sudip"}],"issued":{"date-parts":[["2016",10,26]]}}}],"schema":"https://github.com/citation-style-language/schema/raw/master/csl-citation.json"} </w:instrText>
            </w:r>
            <w:r w:rsidRPr="003D2956">
              <w:rPr>
                <w:szCs w:val="24"/>
              </w:rPr>
              <w:fldChar w:fldCharType="separate"/>
            </w:r>
            <w:r w:rsidRPr="003D2956">
              <w:rPr>
                <w:rFonts w:ascii="Times New Roman" w:hAnsi="Times New Roman" w:cs="Times New Roman"/>
                <w:szCs w:val="24"/>
              </w:rPr>
              <w:t>[7]</w:t>
            </w:r>
            <w:r w:rsidRPr="003D2956">
              <w:rPr>
                <w:szCs w:val="24"/>
              </w:rPr>
              <w:fldChar w:fldCharType="end"/>
            </w:r>
          </w:p>
        </w:tc>
      </w:tr>
      <w:tr w:rsidR="003D2956" w:rsidRPr="003D2956" w14:paraId="72B4EBEC" w14:textId="77777777" w:rsidTr="00A51F19">
        <w:trPr>
          <w:trHeight w:val="539"/>
          <w:jc w:val="center"/>
        </w:trPr>
        <w:tc>
          <w:tcPr>
            <w:tcW w:w="2370" w:type="dxa"/>
            <w:tcBorders>
              <w:top w:val="nil"/>
              <w:bottom w:val="nil"/>
            </w:tcBorders>
            <w:vAlign w:val="center"/>
          </w:tcPr>
          <w:p w14:paraId="580D6972" w14:textId="4975A6CE"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RuO</w:t>
            </w:r>
            <w:r w:rsidRPr="003D2956">
              <w:rPr>
                <w:rFonts w:ascii="Times New Roman" w:hAnsi="Times New Roman" w:cs="Times New Roman"/>
                <w:szCs w:val="24"/>
                <w:vertAlign w:val="subscript"/>
              </w:rPr>
              <w:t>2</w:t>
            </w:r>
            <w:r w:rsidRPr="003D2956">
              <w:rPr>
                <w:rFonts w:ascii="Times New Roman" w:hAnsi="Times New Roman" w:cs="Times New Roman"/>
                <w:szCs w:val="24"/>
              </w:rPr>
              <w:t>/(</w:t>
            </w:r>
            <w:proofErr w:type="spellStart"/>
            <w:proofErr w:type="gramStart"/>
            <w:r w:rsidRPr="003D2956">
              <w:rPr>
                <w:rFonts w:ascii="Times New Roman" w:hAnsi="Times New Roman" w:cs="Times New Roman"/>
                <w:szCs w:val="24"/>
              </w:rPr>
              <w:t>Co,Mn</w:t>
            </w:r>
            <w:proofErr w:type="spellEnd"/>
            <w:proofErr w:type="gramEnd"/>
            <w:r w:rsidRPr="003D2956">
              <w:rPr>
                <w:rFonts w:ascii="Times New Roman" w:hAnsi="Times New Roman" w:cs="Times New Roman"/>
                <w:szCs w:val="24"/>
              </w:rPr>
              <w:t>)</w:t>
            </w:r>
            <w:r w:rsidRPr="003D2956">
              <w:rPr>
                <w:rFonts w:ascii="Times New Roman" w:hAnsi="Times New Roman" w:cs="Times New Roman"/>
                <w:szCs w:val="24"/>
                <w:vertAlign w:val="subscript"/>
              </w:rPr>
              <w:t>3</w:t>
            </w:r>
            <w:r w:rsidRPr="003D2956">
              <w:rPr>
                <w:rFonts w:ascii="Times New Roman" w:hAnsi="Times New Roman" w:cs="Times New Roman"/>
                <w:szCs w:val="24"/>
              </w:rPr>
              <w:t>O</w:t>
            </w:r>
            <w:r w:rsidRPr="003D2956">
              <w:rPr>
                <w:rFonts w:ascii="Times New Roman" w:hAnsi="Times New Roman" w:cs="Times New Roman"/>
                <w:szCs w:val="24"/>
                <w:vertAlign w:val="subscript"/>
              </w:rPr>
              <w:t>4</w:t>
            </w:r>
            <w:r w:rsidRPr="003D2956">
              <w:rPr>
                <w:rFonts w:ascii="Times New Roman" w:hAnsi="Times New Roman" w:cs="Times New Roman"/>
                <w:szCs w:val="24"/>
              </w:rPr>
              <w:t>/CC</w:t>
            </w:r>
          </w:p>
        </w:tc>
        <w:tc>
          <w:tcPr>
            <w:tcW w:w="1455" w:type="dxa"/>
            <w:tcBorders>
              <w:top w:val="nil"/>
              <w:bottom w:val="nil"/>
            </w:tcBorders>
            <w:vAlign w:val="center"/>
          </w:tcPr>
          <w:p w14:paraId="1593208B" w14:textId="418D070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nil"/>
            </w:tcBorders>
            <w:vAlign w:val="center"/>
          </w:tcPr>
          <w:p w14:paraId="48543E13" w14:textId="5A544BD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77</w:t>
            </w:r>
          </w:p>
        </w:tc>
        <w:tc>
          <w:tcPr>
            <w:tcW w:w="736" w:type="dxa"/>
            <w:tcBorders>
              <w:top w:val="nil"/>
              <w:bottom w:val="nil"/>
            </w:tcBorders>
            <w:vAlign w:val="center"/>
          </w:tcPr>
          <w:p w14:paraId="62DE46FA" w14:textId="6EEF9528"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270</w:t>
            </w:r>
          </w:p>
        </w:tc>
        <w:tc>
          <w:tcPr>
            <w:tcW w:w="1871" w:type="dxa"/>
            <w:tcBorders>
              <w:top w:val="nil"/>
              <w:bottom w:val="nil"/>
            </w:tcBorders>
            <w:vAlign w:val="center"/>
          </w:tcPr>
          <w:p w14:paraId="0455CA21" w14:textId="783A15FD"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24</w:t>
            </w:r>
          </w:p>
        </w:tc>
        <w:tc>
          <w:tcPr>
            <w:tcW w:w="1638" w:type="dxa"/>
            <w:tcBorders>
              <w:top w:val="nil"/>
              <w:bottom w:val="nil"/>
            </w:tcBorders>
            <w:vAlign w:val="center"/>
          </w:tcPr>
          <w:p w14:paraId="6A37F747" w14:textId="676A91DB"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{"citationID":"jpBXMjn7","properties":{"formattedCitation":"\\super [8]\\nosupersub{}","plainCitation":"[8]","noteIndex":0},"citationItems":[{"id":1257,"uris":["http://zotero.org/users/6921855/items/BQ28KKUF"],"itemData":{"id":1257,"type":"article-journal","abstract":"Oxygen evolution reaction (OER) in acidic media usually requires a catalyst with high content of noble Ir or Ru, becoming a bottleneck for the electrochemical water splitting. To address this issue, here we report the fabrication of a RuO2/(Co,Mn)3O4 nanocomposite with low Ru loading (2.51 wt%) as a highly efficient OER catalyst in acidic media (0.5 M H2SO4). Spectroscopic and theoretical studies demonstrate that the introduction of Mn in Co3O4 results in redistribution of electrons and the generation of electron-rich Ru species of the RuO2/(Co,Mn)3O4 catalyst. With modulated electronic properties, the adsorption of O on RuO2/(Co,Mn)3O4 is weakened and the rate determining step, formation of OOH*, of the OER process is therefore accelerated. At such a low Ru loading, RuO2/(Co,Mn)3O4 exhibits superior acidic OER activity (η =270 mV at 10 mA/cm2) and long‐term stability to the benchmark RuO2 catalyst. This work provides a new strategy for the design of cost-effective acidic OER electrocatalysts for energy conversion applications.","container-title":"Applied Catalysis B: Environmental","DOI":"10.1016/j.apcatb.2021.120442","ISSN":"0926-3373","journalAbbreviation":"Applied Catalysis B: Environmental","language":"en","page":"120442","source":"ScienceDirect","title":"Low Ru loading RuO2/(Co,Mn)3O4 nanocomposite with modulated electronic structure for efficient oxygen evolution reaction in acid","volume":"297","author":[{"family":"Niu","given":"Siqi"},{"family":"Kong","given":"Xiang-Peng"},{"family":"Li","given":"Siwei"},{"family":"Zhang","given":"Yuanyuan"},{"family":"Wu","given":"Jie"},{"family":"Zhao","given":"Weiwei"},{"family":"Xu","given":"Ping"}],"issued":{"date-parts":[["2021",11,15]]}}}],"schema":"https://github.com/citation-style-language/schema/raw/master/csl-citation.json"} </w:instrText>
            </w:r>
            <w:r w:rsidRPr="003D2956">
              <w:rPr>
                <w:szCs w:val="24"/>
              </w:rPr>
              <w:fldChar w:fldCharType="separate"/>
            </w:r>
            <w:r w:rsidRPr="003D2956">
              <w:rPr>
                <w:rFonts w:ascii="Times New Roman" w:hAnsi="Times New Roman" w:cs="Times New Roman"/>
                <w:szCs w:val="24"/>
              </w:rPr>
              <w:t>[8]</w:t>
            </w:r>
            <w:r w:rsidRPr="003D2956">
              <w:rPr>
                <w:szCs w:val="24"/>
              </w:rPr>
              <w:fldChar w:fldCharType="end"/>
            </w:r>
          </w:p>
        </w:tc>
      </w:tr>
      <w:tr w:rsidR="003D2956" w:rsidRPr="003D2956" w14:paraId="7FF352BC" w14:textId="77777777" w:rsidTr="00A51F19">
        <w:trPr>
          <w:trHeight w:val="539"/>
          <w:jc w:val="center"/>
        </w:trPr>
        <w:tc>
          <w:tcPr>
            <w:tcW w:w="2370" w:type="dxa"/>
            <w:tcBorders>
              <w:top w:val="nil"/>
              <w:bottom w:val="nil"/>
            </w:tcBorders>
            <w:shd w:val="clear" w:color="auto" w:fill="F2F2F2" w:themeFill="background1" w:themeFillShade="F2"/>
            <w:vAlign w:val="center"/>
          </w:tcPr>
          <w:p w14:paraId="21CBAD21" w14:textId="7E6A5DA4"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RuO</w:t>
            </w:r>
            <w:r w:rsidRPr="003D2956">
              <w:rPr>
                <w:rFonts w:ascii="Times New Roman" w:hAnsi="Times New Roman" w:cs="Times New Roman"/>
                <w:szCs w:val="24"/>
                <w:vertAlign w:val="subscript"/>
              </w:rPr>
              <w:t>2</w:t>
            </w:r>
            <w:r w:rsidRPr="003D2956">
              <w:rPr>
                <w:rFonts w:ascii="Times New Roman" w:hAnsi="Times New Roman" w:cs="Times New Roman"/>
                <w:szCs w:val="24"/>
              </w:rPr>
              <w:t>-NS/CF</w:t>
            </w:r>
          </w:p>
        </w:tc>
        <w:tc>
          <w:tcPr>
            <w:tcW w:w="1455" w:type="dxa"/>
            <w:tcBorders>
              <w:top w:val="nil"/>
              <w:bottom w:val="nil"/>
            </w:tcBorders>
            <w:shd w:val="clear" w:color="auto" w:fill="F2F2F2" w:themeFill="background1" w:themeFillShade="F2"/>
            <w:vAlign w:val="center"/>
          </w:tcPr>
          <w:p w14:paraId="1DBD9DF0" w14:textId="519749A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0.2</w:t>
            </w:r>
          </w:p>
        </w:tc>
        <w:tc>
          <w:tcPr>
            <w:tcW w:w="1757" w:type="dxa"/>
            <w:tcBorders>
              <w:top w:val="nil"/>
              <w:bottom w:val="nil"/>
            </w:tcBorders>
            <w:shd w:val="clear" w:color="auto" w:fill="F2F2F2" w:themeFill="background1" w:themeFillShade="F2"/>
            <w:vAlign w:val="center"/>
          </w:tcPr>
          <w:p w14:paraId="0E60B697" w14:textId="33F2374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73</w:t>
            </w:r>
          </w:p>
        </w:tc>
        <w:tc>
          <w:tcPr>
            <w:tcW w:w="736" w:type="dxa"/>
            <w:tcBorders>
              <w:top w:val="nil"/>
              <w:bottom w:val="nil"/>
            </w:tcBorders>
            <w:shd w:val="clear" w:color="auto" w:fill="F2F2F2" w:themeFill="background1" w:themeFillShade="F2"/>
            <w:vAlign w:val="center"/>
          </w:tcPr>
          <w:p w14:paraId="2F496D63" w14:textId="6E4093C9"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212</w:t>
            </w:r>
          </w:p>
        </w:tc>
        <w:tc>
          <w:tcPr>
            <w:tcW w:w="1871" w:type="dxa"/>
            <w:tcBorders>
              <w:top w:val="nil"/>
              <w:bottom w:val="nil"/>
            </w:tcBorders>
            <w:shd w:val="clear" w:color="auto" w:fill="F2F2F2" w:themeFill="background1" w:themeFillShade="F2"/>
            <w:vAlign w:val="center"/>
          </w:tcPr>
          <w:p w14:paraId="2EF64116" w14:textId="3E7267CD"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50</w:t>
            </w:r>
          </w:p>
        </w:tc>
        <w:tc>
          <w:tcPr>
            <w:tcW w:w="1638" w:type="dxa"/>
            <w:tcBorders>
              <w:top w:val="nil"/>
              <w:bottom w:val="nil"/>
            </w:tcBorders>
            <w:shd w:val="clear" w:color="auto" w:fill="F2F2F2" w:themeFill="background1" w:themeFillShade="F2"/>
            <w:vAlign w:val="center"/>
          </w:tcPr>
          <w:p w14:paraId="382BC5D4" w14:textId="4604FEF6"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{"citationID":"JtWrYzeW","properties":{"formattedCitation":"\\super [9]\\nosupersub{}","plainCitation":"[9]","noteIndex":0},"citationItems":[{"id":677,"uris":["http://zotero.org/users/6921855/items/WZ2SDKSN"],"itemData":{"id":677,"type":"article-journal","abstract":"The use of proton exchange membrane water electrolyzers (PEMWEs) is severely limited by large overpotentials and the low stability of their anode catalysts. The majority of the state-of-the-art anode catalysts have been tested in half-cells; however, it is highly desirable to design an anode catalyst that can be effectively employed in a real electrolyzer. Herein, a new structural design strategy is proposed as an effective pathway for constructing efficient and stable PEMWE anodes. The developed self-standing electrode with hierarchical structure comprises porous and defective RuO2 nanosheets aligned on carbon fiber (RuO2-NS/CF) with several structural advantages, including large electrochemically active surface area, abundant defects, and exposed atoms/edges, and enhanced mass transfer capacity. Therefore, RuO2-NS/CF exhibits outstanding performance and durability for oxygen evolution reaction in acidic condition, and its mass activity is 60 times greater than that of commercial RuO2 at an overpotential of 300 mV. Furthermore, the RuO2-NS/CF anode produces 2.827 A cm−2 at a voltage of 1.7 Vcell during a single cell test, which considerably exceeds other reported catalysts. This work illustrates the significance of catalyst layer structure in electrocatalysis and sheds new light on the structural engineering of advanced catalysts.","container-title":"Nano Energy","DOI":"10.1016/j.nanoen.2021.106276","ISSN":"2211-2855","journalAbbreviation":"Nano Energy","language":"en","page":"106276","source":"ScienceDirect","title":"Structure engineering defective and mass transfer-enhanced RuO2 nanosheets for proton exchange membrane water electrolyzer","volume":"88","author":[{"family":"Huang","given":"Huawei"},{"family":"Kim","given":"Hoyoung"},{"family":"Lee","given":"Ahryeon"},{"family":"Kim","given":"Seongbeen"},{"family":"Lim","given":"Won-Gwang"},{"family":"Park","given":"Cheol-Young"},{"family":"Kim","given":"Seoa"},{"family":"Kim","given":"Soo-Kil"},{"family":"Lee","given":"Jinwoo"}],"issued":{"date-parts":[["2021",10,1]]}}}],"schema":"https://github.com/citation-style-language/schema/raw/master/csl-citation.json"} </w:instrText>
            </w:r>
            <w:r w:rsidRPr="003D2956">
              <w:rPr>
                <w:szCs w:val="24"/>
              </w:rPr>
              <w:fldChar w:fldCharType="separate"/>
            </w:r>
            <w:r w:rsidRPr="003D2956">
              <w:rPr>
                <w:rFonts w:ascii="Times New Roman" w:hAnsi="Times New Roman" w:cs="Times New Roman"/>
                <w:szCs w:val="24"/>
              </w:rPr>
              <w:t>[9]</w:t>
            </w:r>
            <w:r w:rsidRPr="003D2956">
              <w:rPr>
                <w:szCs w:val="24"/>
              </w:rPr>
              <w:fldChar w:fldCharType="end"/>
            </w:r>
          </w:p>
        </w:tc>
      </w:tr>
      <w:tr w:rsidR="003D2956" w:rsidRPr="003D2956" w14:paraId="16FB7B2C" w14:textId="77777777" w:rsidTr="00A51F19">
        <w:trPr>
          <w:trHeight w:val="539"/>
          <w:jc w:val="center"/>
        </w:trPr>
        <w:tc>
          <w:tcPr>
            <w:tcW w:w="2370" w:type="dxa"/>
            <w:tcBorders>
              <w:top w:val="nil"/>
              <w:bottom w:val="nil"/>
            </w:tcBorders>
            <w:vAlign w:val="center"/>
          </w:tcPr>
          <w:p w14:paraId="34B9F9E0" w14:textId="48B5F4E4"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s-RuO</w:t>
            </w:r>
            <w:r w:rsidRPr="003D2956">
              <w:rPr>
                <w:rFonts w:ascii="Times New Roman" w:hAnsi="Times New Roman" w:cs="Times New Roman"/>
                <w:szCs w:val="24"/>
                <w:vertAlign w:val="subscript"/>
              </w:rPr>
              <w:t>2</w:t>
            </w:r>
            <w:r w:rsidRPr="003D2956">
              <w:rPr>
                <w:rFonts w:ascii="Times New Roman" w:hAnsi="Times New Roman" w:cs="Times New Roman"/>
                <w:szCs w:val="24"/>
              </w:rPr>
              <w:t>/ATO</w:t>
            </w:r>
          </w:p>
        </w:tc>
        <w:tc>
          <w:tcPr>
            <w:tcW w:w="1455" w:type="dxa"/>
            <w:tcBorders>
              <w:top w:val="nil"/>
              <w:bottom w:val="nil"/>
            </w:tcBorders>
            <w:vAlign w:val="center"/>
          </w:tcPr>
          <w:p w14:paraId="5DB3CF6E" w14:textId="07809A49"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0.19</w:t>
            </w:r>
          </w:p>
        </w:tc>
        <w:tc>
          <w:tcPr>
            <w:tcW w:w="1757" w:type="dxa"/>
            <w:tcBorders>
              <w:top w:val="nil"/>
              <w:bottom w:val="nil"/>
            </w:tcBorders>
            <w:vAlign w:val="center"/>
          </w:tcPr>
          <w:p w14:paraId="56298C9F" w14:textId="6BAB929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50</w:t>
            </w:r>
          </w:p>
        </w:tc>
        <w:tc>
          <w:tcPr>
            <w:tcW w:w="736" w:type="dxa"/>
            <w:tcBorders>
              <w:top w:val="nil"/>
              <w:bottom w:val="nil"/>
            </w:tcBorders>
            <w:vAlign w:val="center"/>
          </w:tcPr>
          <w:p w14:paraId="13048B8D" w14:textId="3024CF21"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224</w:t>
            </w:r>
          </w:p>
        </w:tc>
        <w:tc>
          <w:tcPr>
            <w:tcW w:w="1871" w:type="dxa"/>
            <w:tcBorders>
              <w:top w:val="nil"/>
              <w:bottom w:val="nil"/>
            </w:tcBorders>
            <w:vAlign w:val="center"/>
          </w:tcPr>
          <w:p w14:paraId="306A6742" w14:textId="0F2AF816"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11.6</w:t>
            </w:r>
          </w:p>
        </w:tc>
        <w:tc>
          <w:tcPr>
            <w:tcW w:w="1638" w:type="dxa"/>
            <w:tcBorders>
              <w:top w:val="nil"/>
              <w:bottom w:val="nil"/>
            </w:tcBorders>
            <w:vAlign w:val="center"/>
          </w:tcPr>
          <w:p w14:paraId="7D0809F1" w14:textId="7E7C2853"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{"citationID":"X1Np9Vi0","properties":{"formattedCitation":"\\super [10]\\nosupersub{}","plainCitation":"[10]","noteIndex":0},"citationItems":[{"id":1284,"uris":["http://zotero.org/users/6921855/items/X9UGU676"],"itemData":{"id":1284,"type":"article-journal","abstract":"The tensile strained RuO2 nanorod catalyst loaded on antimony-tin oxide (ATO) substrate is prepared by a fast-quenching method. With multiple characterizations, it is proved that the tensile strain a...","container-title":"Advanced Science","DOI":"10.1002/advs.202201654","ISSN":"2198-3844","language":"en","note":"publisher: John Wiley &amp; Sons, Ltd","page":"2201654","source":"onlinelibrary.wiley.com","title":"Tensile-Strained RuO2 Loaded on Antimony-Tin Oxide by Fast Quenching for Proton-Exchange Membrane Water Electrolyzer","author":[{"family":"Huang","given":"Bing"},{"family":"Xu","given":"Hengyue"},{"family":"Jiang","given":"Nannan"},{"family":"Wang","given":"Minghao"},{"family":"Huang","given":"Jianren"},{"family":"Guan","given":"Lunhui"}],"issued":{"date-parts":[["2022",6,19]]}}}],"schema":"https://github.com/citation-style-language/schema/raw/master/csl-citation.json"} </w:instrText>
            </w:r>
            <w:r w:rsidRPr="003D2956">
              <w:rPr>
                <w:szCs w:val="24"/>
              </w:rPr>
              <w:fldChar w:fldCharType="separate"/>
            </w:r>
            <w:r w:rsidRPr="003D2956">
              <w:rPr>
                <w:rFonts w:ascii="Times New Roman" w:hAnsi="Times New Roman" w:cs="Times New Roman"/>
                <w:szCs w:val="24"/>
              </w:rPr>
              <w:t>[10]</w:t>
            </w:r>
            <w:r w:rsidRPr="003D2956">
              <w:rPr>
                <w:szCs w:val="24"/>
              </w:rPr>
              <w:fldChar w:fldCharType="end"/>
            </w:r>
          </w:p>
        </w:tc>
      </w:tr>
      <w:tr w:rsidR="003D2956" w:rsidRPr="003D2956" w14:paraId="243548D4" w14:textId="77777777" w:rsidTr="00A51F19">
        <w:trPr>
          <w:trHeight w:val="539"/>
          <w:jc w:val="center"/>
        </w:trPr>
        <w:tc>
          <w:tcPr>
            <w:tcW w:w="2370" w:type="dxa"/>
            <w:tcBorders>
              <w:top w:val="nil"/>
              <w:bottom w:val="nil"/>
            </w:tcBorders>
            <w:shd w:val="clear" w:color="auto" w:fill="F2F2F2" w:themeFill="background1" w:themeFillShade="F2"/>
            <w:vAlign w:val="center"/>
          </w:tcPr>
          <w:p w14:paraId="48B0FBE2" w14:textId="7C23EB2A"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Ru</w:t>
            </w:r>
            <w:r w:rsidRPr="003D2956">
              <w:rPr>
                <w:rFonts w:ascii="Times New Roman" w:hAnsi="Times New Roman" w:cs="Times New Roman"/>
                <w:bCs/>
                <w:szCs w:val="24"/>
                <w:vertAlign w:val="subscript"/>
              </w:rPr>
              <w:t>1</w:t>
            </w:r>
            <w:r w:rsidRPr="003D2956">
              <w:rPr>
                <w:rFonts w:ascii="Times New Roman" w:hAnsi="Times New Roman" w:cs="Times New Roman"/>
                <w:bCs/>
                <w:szCs w:val="24"/>
              </w:rPr>
              <w:t>-Pt</w:t>
            </w:r>
            <w:r w:rsidRPr="003D2956">
              <w:rPr>
                <w:rFonts w:ascii="Times New Roman" w:hAnsi="Times New Roman" w:cs="Times New Roman"/>
                <w:bCs/>
                <w:szCs w:val="24"/>
                <w:vertAlign w:val="subscript"/>
              </w:rPr>
              <w:t>3</w:t>
            </w:r>
            <w:r w:rsidRPr="003D2956">
              <w:rPr>
                <w:rFonts w:ascii="Times New Roman" w:hAnsi="Times New Roman" w:cs="Times New Roman"/>
                <w:bCs/>
                <w:szCs w:val="24"/>
              </w:rPr>
              <w:t>Cu</w:t>
            </w:r>
          </w:p>
        </w:tc>
        <w:tc>
          <w:tcPr>
            <w:tcW w:w="1455" w:type="dxa"/>
            <w:tcBorders>
              <w:top w:val="nil"/>
              <w:bottom w:val="nil"/>
            </w:tcBorders>
            <w:shd w:val="clear" w:color="auto" w:fill="F2F2F2" w:themeFill="background1" w:themeFillShade="F2"/>
            <w:vAlign w:val="center"/>
          </w:tcPr>
          <w:p w14:paraId="48BBF015" w14:textId="0901A392"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nil"/>
            </w:tcBorders>
            <w:shd w:val="clear" w:color="auto" w:fill="F2F2F2" w:themeFill="background1" w:themeFillShade="F2"/>
            <w:vAlign w:val="center"/>
          </w:tcPr>
          <w:p w14:paraId="6CF62D71" w14:textId="1EECCE84"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50</w:t>
            </w:r>
          </w:p>
        </w:tc>
        <w:tc>
          <w:tcPr>
            <w:tcW w:w="736" w:type="dxa"/>
            <w:tcBorders>
              <w:top w:val="nil"/>
              <w:bottom w:val="nil"/>
            </w:tcBorders>
            <w:shd w:val="clear" w:color="auto" w:fill="F2F2F2" w:themeFill="background1" w:themeFillShade="F2"/>
            <w:vAlign w:val="center"/>
          </w:tcPr>
          <w:p w14:paraId="3B3A43C2" w14:textId="7DBB5373"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220</w:t>
            </w:r>
          </w:p>
        </w:tc>
        <w:tc>
          <w:tcPr>
            <w:tcW w:w="1871" w:type="dxa"/>
            <w:tcBorders>
              <w:top w:val="nil"/>
              <w:bottom w:val="nil"/>
            </w:tcBorders>
            <w:shd w:val="clear" w:color="auto" w:fill="F2F2F2" w:themeFill="background1" w:themeFillShade="F2"/>
            <w:vAlign w:val="center"/>
          </w:tcPr>
          <w:p w14:paraId="45463F1F" w14:textId="167D5725"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28</w:t>
            </w:r>
          </w:p>
        </w:tc>
        <w:tc>
          <w:tcPr>
            <w:tcW w:w="1638" w:type="dxa"/>
            <w:tcBorders>
              <w:top w:val="nil"/>
              <w:bottom w:val="nil"/>
            </w:tcBorders>
            <w:shd w:val="clear" w:color="auto" w:fill="F2F2F2" w:themeFill="background1" w:themeFillShade="F2"/>
            <w:vAlign w:val="center"/>
          </w:tcPr>
          <w:p w14:paraId="32F05357" w14:textId="6184DD5D"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{"citationID":"A63Z7k6x","properties":{"formattedCitation":"\\super [11]\\nosupersub{}","plainCitation":"[11]","noteIndex":0},"citationItems":[{"id":621,"uris":["http://zotero.org/users/6921855/items/XRVY4BDA"],"itemData":{"id":621,"type":"article-journal","abstract":"Single-atom precious metal catalysts hold the promise of perfect atom utilization, yet control of their activity and stability remains challenging. Here we show that engineering the electronic structure of atomically dispersed Ru1 on metal supports via compressive strain boosts the kinetically sluggish electrocatalytic oxygen evolution reaction (OER), and mitigates the degradation of Ru-based electrocatalysts in an acidic electrolyte. We construct a series of alloy-supported Ru1 using different PtCu alloys through sequential acid etching and electrochemical leaching, and find a volcano relation between OER activity and the lattice constant of the PtCu alloys. Our best catalyst, Ru1–Pt3Cu, delivers 90 mV lower overpotential to reach a current density of 10 mA cm−2, and an order of magnitude longer lifetime over that of commercial RuO2. Density functional theory investigations reveal that the compressive strain of the Ptskin shell engineers the electronic structure of the Ru1, allowing optimized binding of oxygen species and better resistance to over-oxidation and dissolution.","container-title":"Nature Catalysis","DOI":"10.1038/s41929-019-0246-2","ISSN":"2520-1158","issue":"4","journalAbbreviation":"Nat Catal","language":"en","note":"Bandiera_abtest: a\nCg_type: Nature Research Journals\nnumber: 4\nPrimary_atype: Research\npublisher: Nature Publishing Group\nSubject_term: Electrocatalysis;Energy;Heterogeneous catalysis\nSubject_term_id: electrocatalysis;energy;heterogeneous-catalysis","page":"304-313","source":"www.nature.com","title":"Engineering the electronic structure of single atom Ru sites via compressive strain boosts acidic water oxidation electrocatalysis","volume":"2","author":[{"family":"Yao","given":"Yancai"},{"family":"Hu","given":"Sulei"},{"family":"Chen","given":"Wenxing"},{"family":"Huang","given":"Zheng-Qing"},{"family":"Wei","given":"Weichen"},{"family":"Yao","given":"Tao"},{"family":"Liu","given":"Ruirui"},{"family":"Zang","given":"Ketao"},{"family":"Wang","given":"Xiaoqian"},{"family":"Wu","given":"Geng"},{"family":"Yuan","given":"Wenjuan"},{"family":"Yuan","given":"Tongwei"},{"family":"Zhu","given":"Baiquan"},{"family":"Liu","given":"Wei"},{"family":"Li","given":"Zhijun"},{"family":"He","given":"Dongsheng"},{"family":"Xue","given":"Zhenggang"},{"family":"Wang","given":"Yu"},{"family":"Zheng","given":"Xusheng"},{"family":"Dong","given":"Juncai"},{"family":"Chang","given":"Chun-Ran"},{"family":"Chen","given":"Yanxia"},{"family":"Hong","given":"Xun"},{"family":"Luo","given":"Jun"},{"family":"Wei","given":"Shiqiang"},{"family":"Li","given":"Wei-Xue"},{"family":"Strasser","given":"Peter"},{"family":"Wu","given":"Yuen"},{"family":"Li","given":"Yadong"}],"issued":{"date-parts":[["2019",4]]}}}],"schema":"https://github.com/citation-style-language/schema/raw/master/csl-citation.json"} </w:instrText>
            </w:r>
            <w:r w:rsidRPr="003D2956">
              <w:rPr>
                <w:szCs w:val="24"/>
              </w:rPr>
              <w:fldChar w:fldCharType="separate"/>
            </w:r>
            <w:r w:rsidRPr="003D2956">
              <w:rPr>
                <w:rFonts w:ascii="Times New Roman" w:hAnsi="Times New Roman" w:cs="Times New Roman"/>
                <w:szCs w:val="24"/>
              </w:rPr>
              <w:t>[11]</w:t>
            </w:r>
            <w:r w:rsidRPr="003D2956">
              <w:rPr>
                <w:szCs w:val="24"/>
              </w:rPr>
              <w:fldChar w:fldCharType="end"/>
            </w:r>
          </w:p>
        </w:tc>
      </w:tr>
      <w:tr w:rsidR="003D2956" w:rsidRPr="003D2956" w14:paraId="078D212F" w14:textId="77777777" w:rsidTr="00A51F19">
        <w:trPr>
          <w:trHeight w:val="539"/>
          <w:jc w:val="center"/>
        </w:trPr>
        <w:tc>
          <w:tcPr>
            <w:tcW w:w="2370" w:type="dxa"/>
            <w:tcBorders>
              <w:top w:val="nil"/>
              <w:bottom w:val="nil"/>
            </w:tcBorders>
            <w:vAlign w:val="center"/>
          </w:tcPr>
          <w:p w14:paraId="2B37BE2A" w14:textId="412D1818"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E-Ru/Fe ONAs/C</w:t>
            </w:r>
          </w:p>
        </w:tc>
        <w:tc>
          <w:tcPr>
            <w:tcW w:w="1455" w:type="dxa"/>
            <w:tcBorders>
              <w:top w:val="nil"/>
              <w:bottom w:val="nil"/>
            </w:tcBorders>
            <w:vAlign w:val="center"/>
          </w:tcPr>
          <w:p w14:paraId="1487203C" w14:textId="7A022C5A"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nil"/>
            </w:tcBorders>
            <w:vAlign w:val="center"/>
          </w:tcPr>
          <w:p w14:paraId="1EEC6282" w14:textId="406C7E84"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44.8</w:t>
            </w:r>
          </w:p>
        </w:tc>
        <w:tc>
          <w:tcPr>
            <w:tcW w:w="736" w:type="dxa"/>
            <w:tcBorders>
              <w:top w:val="nil"/>
              <w:bottom w:val="nil"/>
            </w:tcBorders>
            <w:vAlign w:val="center"/>
          </w:tcPr>
          <w:p w14:paraId="6D8BDE5B" w14:textId="1D3E77AE"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238</w:t>
            </w:r>
          </w:p>
        </w:tc>
        <w:tc>
          <w:tcPr>
            <w:tcW w:w="1871" w:type="dxa"/>
            <w:tcBorders>
              <w:top w:val="nil"/>
              <w:bottom w:val="nil"/>
            </w:tcBorders>
            <w:vAlign w:val="center"/>
          </w:tcPr>
          <w:p w14:paraId="29DE2DB0" w14:textId="00820D01"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9</w:t>
            </w:r>
          </w:p>
        </w:tc>
        <w:tc>
          <w:tcPr>
            <w:tcW w:w="1638" w:type="dxa"/>
            <w:tcBorders>
              <w:top w:val="nil"/>
              <w:bottom w:val="nil"/>
            </w:tcBorders>
            <w:vAlign w:val="center"/>
          </w:tcPr>
          <w:p w14:paraId="4B8B90AE" w14:textId="18399B15"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{"citationID":"OtRQis9T","properties":{"formattedCitation":"\\super [12]\\nosupersub{}","plainCitation":"[12]","noteIndex":0},"citationItems":[{"id":186,"uris":["http://zotero.org/users/6921855/items/FDE2TBYW"],"itemData":{"id":186,"type":"article-journal","abstract":"RuO2-based catalysts have been widely used for acidic oxygen evolution reaction (OER), a key half reaction of overall water splitting. However, RuO2 suffers from the drawbacks of inferior OER performance in acidic conditions due to its poor stability. We here demonstrate a chemical etching strategy for fabricating a Ru/Fe oxide towards OER, in which Fe species in the pristine Ru/Fe nanoassemblies (P-Ru/Fe NAs) are partially etched by nitric acid (HNO3), leading to the generation of abundant vacancies in the etched Ru/Fe oxide nanoassemblies (E-Ru/Fe ONAs). Owing to the etching of Fe, the local electron density of the lattice O associated with Ru atoms is significantly increased, resulting in the suppression of H2O adsorption on lattice O. On the other hand, the O vacancies in the E-Ru/Fe ONAs can promote the H2O adsorption on metal atoms (i.e., Ru and Fe). Consequently, the optimized E-Ru/Fe ONAs exhibit a superior OER activity with a low overpotential of 238 mV at 10 mA cm−2 in 0.5 M H2SO4, and an enhanced stability with a negligible potential change within 9 h chronopotentiometry test. Theoretical calculations demonstrate that the defective surface of E-Ru/Fe ONA can not only enhance the stability via surface structural modulation, but also optimize the binding strength of the intermediates for promoting OER activity. This work provides an efficient strategy for fabricating active and stable RuO2-based catalysts for OER, which may deepen the research in surface engineering of catalysts.","container-title":"Nano Energy","DOI":"10.1016/j.nanoen.2021.105909","ISSN":"2211-2855","journalAbbreviation":"Nano Energy","language":"en","page":"105909","source":"ScienceDirect","title":"A chemical etching strategy to improve and stabilize RuO2-based nanoassemblies for acidic oxygen evolution","volume":"84","author":[{"family":"Yao","given":"Qing"},{"family":"Huang","given":"Bolong"},{"family":"Xu","given":"Yong"},{"family":"Li","given":"Leigang"},{"family":"Shao","given":"Qi"},{"family":"Huang","given":"Xiaoqing"}],"issued":{"date-parts":[["2021",6,1]]}}}],"schema":"https://github.com/citation-style-language/schema/raw/master/csl-citation.json"} </w:instrText>
            </w:r>
            <w:r w:rsidRPr="003D2956">
              <w:rPr>
                <w:szCs w:val="24"/>
              </w:rPr>
              <w:fldChar w:fldCharType="separate"/>
            </w:r>
            <w:r w:rsidRPr="003D2956">
              <w:rPr>
                <w:rFonts w:ascii="Times New Roman" w:hAnsi="Times New Roman" w:cs="Times New Roman"/>
                <w:szCs w:val="24"/>
              </w:rPr>
              <w:t>[12]</w:t>
            </w:r>
            <w:r w:rsidRPr="003D2956">
              <w:rPr>
                <w:szCs w:val="24"/>
              </w:rPr>
              <w:fldChar w:fldCharType="end"/>
            </w:r>
          </w:p>
        </w:tc>
      </w:tr>
      <w:tr w:rsidR="003D2956" w:rsidRPr="003D2956" w14:paraId="72BFA748" w14:textId="77777777" w:rsidTr="00A51F19">
        <w:trPr>
          <w:trHeight w:val="539"/>
          <w:jc w:val="center"/>
        </w:trPr>
        <w:tc>
          <w:tcPr>
            <w:tcW w:w="2370" w:type="dxa"/>
            <w:tcBorders>
              <w:top w:val="nil"/>
              <w:bottom w:val="nil"/>
            </w:tcBorders>
            <w:shd w:val="clear" w:color="auto" w:fill="F2F2F2" w:themeFill="background1" w:themeFillShade="F2"/>
            <w:vAlign w:val="center"/>
          </w:tcPr>
          <w:p w14:paraId="4C3ECBCF" w14:textId="74FF458D" w:rsidR="00667598" w:rsidRPr="003D2956" w:rsidRDefault="00667598" w:rsidP="00667598">
            <w:pPr>
              <w:jc w:val="center"/>
              <w:rPr>
                <w:rFonts w:ascii="Times New Roman" w:hAnsi="Times New Roman" w:cs="Times New Roman"/>
                <w:szCs w:val="24"/>
              </w:rPr>
            </w:pPr>
            <w:proofErr w:type="spellStart"/>
            <w:r w:rsidRPr="003D2956">
              <w:rPr>
                <w:rFonts w:ascii="Times New Roman" w:hAnsi="Times New Roman" w:cs="Times New Roman"/>
                <w:szCs w:val="24"/>
              </w:rPr>
              <w:t>Ru@IrO</w:t>
            </w:r>
            <w:r w:rsidRPr="003D2956">
              <w:rPr>
                <w:rFonts w:ascii="Times New Roman" w:hAnsi="Times New Roman" w:cs="Times New Roman"/>
                <w:szCs w:val="24"/>
                <w:vertAlign w:val="subscript"/>
              </w:rPr>
              <w:t>x</w:t>
            </w:r>
            <w:proofErr w:type="spellEnd"/>
          </w:p>
        </w:tc>
        <w:tc>
          <w:tcPr>
            <w:tcW w:w="1455" w:type="dxa"/>
            <w:tcBorders>
              <w:top w:val="nil"/>
              <w:bottom w:val="nil"/>
            </w:tcBorders>
            <w:shd w:val="clear" w:color="auto" w:fill="F2F2F2" w:themeFill="background1" w:themeFillShade="F2"/>
            <w:vAlign w:val="center"/>
          </w:tcPr>
          <w:p w14:paraId="201DA5D5" w14:textId="001C1E29"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0.1</w:t>
            </w:r>
          </w:p>
        </w:tc>
        <w:tc>
          <w:tcPr>
            <w:tcW w:w="1757" w:type="dxa"/>
            <w:tcBorders>
              <w:top w:val="nil"/>
              <w:bottom w:val="nil"/>
            </w:tcBorders>
            <w:shd w:val="clear" w:color="auto" w:fill="F2F2F2" w:themeFill="background1" w:themeFillShade="F2"/>
            <w:vAlign w:val="center"/>
          </w:tcPr>
          <w:p w14:paraId="2C6FA9DB" w14:textId="51BDC45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69.1</w:t>
            </w:r>
          </w:p>
        </w:tc>
        <w:tc>
          <w:tcPr>
            <w:tcW w:w="736" w:type="dxa"/>
            <w:tcBorders>
              <w:top w:val="nil"/>
              <w:bottom w:val="nil"/>
            </w:tcBorders>
            <w:shd w:val="clear" w:color="auto" w:fill="F2F2F2" w:themeFill="background1" w:themeFillShade="F2"/>
            <w:vAlign w:val="center"/>
          </w:tcPr>
          <w:p w14:paraId="52D4095B" w14:textId="782309D6"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282</w:t>
            </w:r>
          </w:p>
        </w:tc>
        <w:tc>
          <w:tcPr>
            <w:tcW w:w="1871" w:type="dxa"/>
            <w:tcBorders>
              <w:top w:val="nil"/>
              <w:bottom w:val="nil"/>
            </w:tcBorders>
            <w:shd w:val="clear" w:color="auto" w:fill="F2F2F2" w:themeFill="background1" w:themeFillShade="F2"/>
            <w:vAlign w:val="center"/>
          </w:tcPr>
          <w:p w14:paraId="2B77B6E2" w14:textId="733D4E1A"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2</w:t>
            </w:r>
          </w:p>
        </w:tc>
        <w:tc>
          <w:tcPr>
            <w:tcW w:w="1638" w:type="dxa"/>
            <w:tcBorders>
              <w:top w:val="nil"/>
              <w:bottom w:val="nil"/>
            </w:tcBorders>
            <w:shd w:val="clear" w:color="auto" w:fill="F2F2F2" w:themeFill="background1" w:themeFillShade="F2"/>
            <w:vAlign w:val="center"/>
          </w:tcPr>
          <w:p w14:paraId="2AAFD93D" w14:textId="11EA22ED"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{"citationID":"tCSPp74B","properties":{"formattedCitation":"\\super [13]\\nosupersub{}","plainCitation":"[13]","noteIndex":0},"citationItems":[{"id":638,"uris":["http://zotero.org/users/6921855/items/GDEBTLLL"],"itemData":{"id":638,"type":"article-journal","abstract":"Achieving high activity and long-term stability is a major challenge in the design of catalysts. In particular, the oxygen evolution reaction (OER) in acidic media, which plays a key role in proton exchange membrane electrolyzers for fast hydrogen fuel generation, seriously suffers from rapid degradation of catalysts as a result of the harsh acidic and oxidative conditions. Here, we report a rational design strategy for the fabrication of a heterostructured OER electrocatalyst (Ru@IrOx) that has unique physicochemical properties and in which a strong charge redistribution exists between a highly strained ruthenium core and a partially oxidized iridium shell across the metal-metal oxide heterojunction. The increased valence of the iridium shell and the decreased valence of the ruthenium core activate a synergistic electronic and structural interaction, which results in the enhanced activity and stability of the catalyst compared with the majority of the state-of-the-art ruthenium- and iridium-based materials.","container-title":"Chem","DOI":"10.1016/j.chempr.2018.11.010","ISSN":"2451-9294","issue":"2","journalAbbreviation":"Chem","language":"en","page":"445-459","source":"ScienceDirect","title":"Charge-Redistribution-Enhanced Nanocrystalline Ru@IrOx Electrocatalysts for Oxygen Evolution in Acidic Media","volume":"5","author":[{"family":"Shan","given":"Jieqiong"},{"family":"Guo","given":"Chunxian"},{"family":"Zhu","given":"Yihan"},{"family":"Chen","given":"Shuangming"},{"family":"Song","given":"Li"},{"family":"Jaroniec","given":"Mietek"},{"family":"Zheng","given":"Yao"},{"family":"Qiao","given":"Shi-Zhang"}],"issued":{"date-parts":[["2019",2,14]]}}}],"schema":"https://github.com/citation-style-language/schema/raw/master/csl-citation.json"} </w:instrText>
            </w:r>
            <w:r w:rsidRPr="003D2956">
              <w:rPr>
                <w:szCs w:val="24"/>
              </w:rPr>
              <w:fldChar w:fldCharType="separate"/>
            </w:r>
            <w:r w:rsidRPr="003D2956">
              <w:rPr>
                <w:rFonts w:ascii="Times New Roman" w:hAnsi="Times New Roman" w:cs="Times New Roman"/>
                <w:szCs w:val="24"/>
              </w:rPr>
              <w:t>[13]</w:t>
            </w:r>
            <w:r w:rsidRPr="003D2956">
              <w:rPr>
                <w:szCs w:val="24"/>
              </w:rPr>
              <w:fldChar w:fldCharType="end"/>
            </w:r>
          </w:p>
        </w:tc>
      </w:tr>
      <w:tr w:rsidR="003D2956" w:rsidRPr="003D2956" w14:paraId="51C119F4" w14:textId="77777777" w:rsidTr="00A51F19">
        <w:trPr>
          <w:trHeight w:val="539"/>
          <w:jc w:val="center"/>
        </w:trPr>
        <w:tc>
          <w:tcPr>
            <w:tcW w:w="2370" w:type="dxa"/>
            <w:tcBorders>
              <w:top w:val="nil"/>
              <w:bottom w:val="nil"/>
            </w:tcBorders>
            <w:vAlign w:val="center"/>
          </w:tcPr>
          <w:p w14:paraId="3D817A3B" w14:textId="5E4A8BBA"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0.27-RuO</w:t>
            </w:r>
            <w:r w:rsidRPr="003D2956">
              <w:rPr>
                <w:rFonts w:ascii="Times New Roman" w:hAnsi="Times New Roman" w:cs="Times New Roman"/>
                <w:szCs w:val="24"/>
                <w:vertAlign w:val="subscript"/>
              </w:rPr>
              <w:t>2</w:t>
            </w:r>
            <w:r w:rsidRPr="003D2956">
              <w:rPr>
                <w:rFonts w:ascii="Times New Roman" w:hAnsi="Times New Roman" w:cs="Times New Roman"/>
                <w:szCs w:val="24"/>
              </w:rPr>
              <w:t>@C</w:t>
            </w:r>
          </w:p>
        </w:tc>
        <w:tc>
          <w:tcPr>
            <w:tcW w:w="1455" w:type="dxa"/>
            <w:tcBorders>
              <w:top w:val="nil"/>
              <w:bottom w:val="nil"/>
            </w:tcBorders>
            <w:vAlign w:val="center"/>
          </w:tcPr>
          <w:p w14:paraId="2B3AF3B0" w14:textId="6CDF5029"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0.096</w:t>
            </w:r>
          </w:p>
        </w:tc>
        <w:tc>
          <w:tcPr>
            <w:tcW w:w="1757" w:type="dxa"/>
            <w:tcBorders>
              <w:top w:val="nil"/>
              <w:bottom w:val="nil"/>
            </w:tcBorders>
            <w:vAlign w:val="center"/>
          </w:tcPr>
          <w:p w14:paraId="0FA38101" w14:textId="4E131CD2"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66</w:t>
            </w:r>
          </w:p>
        </w:tc>
        <w:tc>
          <w:tcPr>
            <w:tcW w:w="736" w:type="dxa"/>
            <w:tcBorders>
              <w:top w:val="nil"/>
              <w:bottom w:val="nil"/>
            </w:tcBorders>
            <w:vAlign w:val="center"/>
          </w:tcPr>
          <w:p w14:paraId="0E98C395" w14:textId="4E457BBB"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250</w:t>
            </w:r>
          </w:p>
        </w:tc>
        <w:tc>
          <w:tcPr>
            <w:tcW w:w="1871" w:type="dxa"/>
            <w:tcBorders>
              <w:top w:val="nil"/>
              <w:bottom w:val="nil"/>
            </w:tcBorders>
            <w:vAlign w:val="center"/>
          </w:tcPr>
          <w:p w14:paraId="1593D1CB" w14:textId="5AA88DCC"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w:t>
            </w:r>
          </w:p>
        </w:tc>
        <w:tc>
          <w:tcPr>
            <w:tcW w:w="1638" w:type="dxa"/>
            <w:tcBorders>
              <w:top w:val="nil"/>
              <w:bottom w:val="nil"/>
            </w:tcBorders>
            <w:vAlign w:val="center"/>
          </w:tcPr>
          <w:p w14:paraId="62E42818" w14:textId="0F54B549"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{"citationID":"epqhGdOP","properties":{"formattedCitation":"\\super [14]\\nosupersub{}","plainCitation":"[14]","noteIndex":0},"citationItems":[{"id":833,"uris":["http://zotero.org/users/6921855/items/M77ZL74K"],"itemData":{"id":833,"type":"article-journal","abstract":"Partially hydrous RuO2 nanocluster embedded in a carbon matrix (x-RuO2@C with x = hydration degree = 0.27 or 0.27@C) is presented as a bifunctional catalyst for hydrogen evolution reaction (HER) and oxygen evolution reaction (OER) for water splitting. Symmetric water electrolyzers based on 0.27-RuO2@C for both electrodes showed smaller potential gaps between HER and OER at pH 0, pH 14 and even pH 7 than conventional asymmetric electrolyzers based on two different catalysts (Pt/C || Ir/C) that have been known as the best catalysts for HER and OER respectively. Moreover, 0.27-RuO2@C showed another bifunctional electroactivity for fuel cell electrochemistry involving hydrogen oxidation reaction (HOR) and oxygen reduction reaction (ORR) that are the backward reactions of HER and OER respectively. Pt-level HOR electroactivity was obtained from 0.27-RuO2@C, while its ORR activity was inferior to that of Pt with 200 mV higher overpotential required. The tetra-functionality of 0.27-RuO2@C showed the possibility of realizing single-catalyst regenerative fuel cells.","container-title":"Nano Energy","DOI":"10.1016/j.nanoen.2018.10.017","ISSN":"2211-2855","journalAbbreviation":"Nano Energy","language":"en","page":"49-58","source":"ScienceDirect","title":"RuO2 nanocluster as a 4-in-1 electrocatalyst for hydrogen and oxygen electrochemistry","volume":"55","author":[{"family":"Park","given":"Han-Saem"},{"family":"Yang","given":"Juchan"},{"family":"Cho","given":"Min Kyung"},{"family":"Lee","given":"Yeongdae"},{"family":"Cho","given":"Seonghun"},{"family":"Yim","given":"Sung-Dae"},{"family":"Kim","given":"Byeong-Su"},{"family":"Jang","given":"Jong Hyun"},{"family":"Song","given":"Hyun-Kon"}],"issued":{"date-parts":[["2019",1,1]]}}}],"schema":"https://github.com/citation-style-language/schema/raw/master/csl-citation.json"} </w:instrText>
            </w:r>
            <w:r w:rsidRPr="003D2956">
              <w:rPr>
                <w:szCs w:val="24"/>
              </w:rPr>
              <w:fldChar w:fldCharType="separate"/>
            </w:r>
            <w:r w:rsidRPr="003D2956">
              <w:rPr>
                <w:rFonts w:ascii="Times New Roman" w:hAnsi="Times New Roman" w:cs="Times New Roman"/>
                <w:szCs w:val="24"/>
              </w:rPr>
              <w:t>[14]</w:t>
            </w:r>
            <w:r w:rsidRPr="003D2956">
              <w:rPr>
                <w:szCs w:val="24"/>
              </w:rPr>
              <w:fldChar w:fldCharType="end"/>
            </w:r>
          </w:p>
        </w:tc>
      </w:tr>
      <w:tr w:rsidR="003D2956" w:rsidRPr="003D2956" w14:paraId="23A20269" w14:textId="77777777" w:rsidTr="00A51F19">
        <w:trPr>
          <w:trHeight w:val="539"/>
          <w:jc w:val="center"/>
        </w:trPr>
        <w:tc>
          <w:tcPr>
            <w:tcW w:w="2370" w:type="dxa"/>
            <w:tcBorders>
              <w:top w:val="nil"/>
              <w:bottom w:val="nil"/>
            </w:tcBorders>
            <w:shd w:val="clear" w:color="auto" w:fill="F2F2F2" w:themeFill="background1" w:themeFillShade="F2"/>
            <w:vAlign w:val="center"/>
          </w:tcPr>
          <w:p w14:paraId="780D8C24" w14:textId="3FBB73C2"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Ru</w:t>
            </w:r>
            <w:r w:rsidRPr="003D2956">
              <w:rPr>
                <w:rFonts w:ascii="Times New Roman" w:hAnsi="Times New Roman" w:cs="Times New Roman"/>
                <w:szCs w:val="24"/>
                <w:vertAlign w:val="subscript"/>
              </w:rPr>
              <w:t>1</w:t>
            </w:r>
            <w:r w:rsidRPr="003D2956">
              <w:rPr>
                <w:rFonts w:ascii="Times New Roman" w:hAnsi="Times New Roman" w:cs="Times New Roman"/>
                <w:szCs w:val="24"/>
              </w:rPr>
              <w:t>-N</w:t>
            </w:r>
            <w:r w:rsidRPr="003D2956">
              <w:rPr>
                <w:rFonts w:ascii="Times New Roman" w:hAnsi="Times New Roman" w:cs="Times New Roman"/>
                <w:szCs w:val="24"/>
                <w:vertAlign w:val="subscript"/>
              </w:rPr>
              <w:t>4</w:t>
            </w:r>
          </w:p>
        </w:tc>
        <w:tc>
          <w:tcPr>
            <w:tcW w:w="1455" w:type="dxa"/>
            <w:tcBorders>
              <w:top w:val="nil"/>
              <w:bottom w:val="nil"/>
            </w:tcBorders>
            <w:shd w:val="clear" w:color="auto" w:fill="F2F2F2" w:themeFill="background1" w:themeFillShade="F2"/>
            <w:vAlign w:val="center"/>
          </w:tcPr>
          <w:p w14:paraId="3AC62D80" w14:textId="1554A2D6"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0.28</w:t>
            </w:r>
          </w:p>
        </w:tc>
        <w:tc>
          <w:tcPr>
            <w:tcW w:w="1757" w:type="dxa"/>
            <w:tcBorders>
              <w:top w:val="nil"/>
              <w:bottom w:val="nil"/>
            </w:tcBorders>
            <w:shd w:val="clear" w:color="auto" w:fill="F2F2F2" w:themeFill="background1" w:themeFillShade="F2"/>
            <w:vAlign w:val="center"/>
          </w:tcPr>
          <w:p w14:paraId="5FCC5B0B" w14:textId="6AF7988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52.6</w:t>
            </w:r>
          </w:p>
        </w:tc>
        <w:tc>
          <w:tcPr>
            <w:tcW w:w="736" w:type="dxa"/>
            <w:tcBorders>
              <w:top w:val="nil"/>
              <w:bottom w:val="nil"/>
            </w:tcBorders>
            <w:shd w:val="clear" w:color="auto" w:fill="F2F2F2" w:themeFill="background1" w:themeFillShade="F2"/>
            <w:vAlign w:val="center"/>
          </w:tcPr>
          <w:p w14:paraId="3DCDA324" w14:textId="37A42487"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267</w:t>
            </w:r>
          </w:p>
        </w:tc>
        <w:tc>
          <w:tcPr>
            <w:tcW w:w="1871" w:type="dxa"/>
            <w:tcBorders>
              <w:top w:val="nil"/>
              <w:bottom w:val="nil"/>
            </w:tcBorders>
            <w:shd w:val="clear" w:color="auto" w:fill="F2F2F2" w:themeFill="background1" w:themeFillShade="F2"/>
            <w:vAlign w:val="center"/>
          </w:tcPr>
          <w:p w14:paraId="14F8765F" w14:textId="2F1A17A6"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30</w:t>
            </w:r>
          </w:p>
        </w:tc>
        <w:tc>
          <w:tcPr>
            <w:tcW w:w="1638" w:type="dxa"/>
            <w:tcBorders>
              <w:top w:val="nil"/>
              <w:bottom w:val="nil"/>
            </w:tcBorders>
            <w:shd w:val="clear" w:color="auto" w:fill="F2F2F2" w:themeFill="background1" w:themeFillShade="F2"/>
            <w:vAlign w:val="center"/>
          </w:tcPr>
          <w:p w14:paraId="1AE1C945" w14:textId="170A1585"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{"citationID":"ZaJcXFzh","properties":{"formattedCitation":"\\super [15]\\nosupersub{}","plainCitation":"[15]","noteIndex":0},"citationItems":[{"id":610,"uris":["http://zotero.org/users/6921855/items/9W4IVWVY"],"itemData":{"id":610,"type":"article-journal","abstract":"Achieving active and stable oxygen evolution reaction (OER) in acid media based on single-atom catalysts is highly promising for cost-effective and sustainable energy supply in proton electrolyte membrane electrolyzers. Here, we report an atomically dispersed Ru1-N4 site anchored on nitrogen-carbon support (Ru-N-C) as an efficient and durable electrocatalyst for acidic OER. The single-atom Ru-N-C catalyst delivers an exceptionally intrinsic activity, reaching a mass activity as high as 3571 A gmetal−1 and turnover frequency of 3348 O2 h−1 with a low overpotential of 267 mV at a current density of 10 mA cm−2. The catalyst shows no evident deactivation or decomposition after 30-hour operation in acidic environment. Operando synchrotron radiation X-ray absorption spectroscopy and infrared spectroscopy identify the dynamic adsorption of single oxygen atom on Ru site under working potentials, and theoretical calculations demonstrate that the O-Ru1-N4 site is responsible for the high OER activity and stability.","container-title":"Nature Communications","DOI":"10.1038/s41467-019-12886-z","ISSN":"2041-1723","issue":"1","journalAbbreviation":"Nat Commun","language":"en","note":"Bandiera_abtest: a\nCc_license_type: cc_by\nCg_type: Nature Research Journals\nnumber: 1\nPrimary_atype: Research\npublisher: Nature Publishing Group\nSubject_term: Characterization and analytical techniques;Electrocatalysis;Materials chemistry\nSubject_term_id: characterization-and-analytical-techniques;electrocatalysis;materials-chemistry","page":"4849","source":"www.nature.com","title":"Dynamic oxygen adsorption on single-atomic Ruthenium catalyst with high performance for acidic oxygen evolution reaction","volume":"10","author":[{"family":"Cao","given":"Linlin"},{"family":"Luo","given":"Qiquan"},{"family":"Chen","given":"Jiajia"},{"family":"Wang","given":"Lan"},{"family":"Lin","given":"Yue"},{"family":"Wang","given":"Huijuan"},{"family":"Liu","given":"Xiaokang"},{"family":"Shen","given":"Xinyi"},{"family":"Zhang","given":"Wei"},{"family":"Liu","given":"Wei"},{"family":"Qi","given":"Zeming"},{"family":"Jiang","given":"Zheng"},{"family":"Yang","given":"Jinlong"},{"family":"Yao","given":"Tao"}],"issued":{"date-parts":[["2019",10,24]]}}}],"schema":"https://github.com/citation-style-language/schema/raw/master/csl-citation.json"} </w:instrText>
            </w:r>
            <w:r w:rsidRPr="003D2956">
              <w:rPr>
                <w:szCs w:val="24"/>
              </w:rPr>
              <w:fldChar w:fldCharType="separate"/>
            </w:r>
            <w:r w:rsidRPr="003D2956">
              <w:rPr>
                <w:rFonts w:ascii="Times New Roman" w:hAnsi="Times New Roman" w:cs="Times New Roman"/>
                <w:szCs w:val="24"/>
              </w:rPr>
              <w:t>[15]</w:t>
            </w:r>
            <w:r w:rsidRPr="003D2956">
              <w:rPr>
                <w:szCs w:val="24"/>
              </w:rPr>
              <w:fldChar w:fldCharType="end"/>
            </w:r>
          </w:p>
        </w:tc>
      </w:tr>
      <w:tr w:rsidR="003D2956" w:rsidRPr="003D2956" w14:paraId="5C941580" w14:textId="77777777" w:rsidTr="00A51F19">
        <w:trPr>
          <w:trHeight w:val="539"/>
          <w:jc w:val="center"/>
        </w:trPr>
        <w:tc>
          <w:tcPr>
            <w:tcW w:w="2370" w:type="dxa"/>
            <w:tcBorders>
              <w:top w:val="nil"/>
              <w:bottom w:val="nil"/>
            </w:tcBorders>
            <w:vAlign w:val="center"/>
          </w:tcPr>
          <w:p w14:paraId="19432CC5" w14:textId="78E85D77" w:rsidR="00667598" w:rsidRPr="003D2956" w:rsidRDefault="00667598" w:rsidP="00667598">
            <w:pPr>
              <w:jc w:val="center"/>
              <w:rPr>
                <w:rFonts w:ascii="Times New Roman" w:hAnsi="Times New Roman" w:cs="Times New Roman"/>
                <w:szCs w:val="24"/>
              </w:rPr>
            </w:pPr>
            <w:proofErr w:type="spellStart"/>
            <w:r w:rsidRPr="003D2956">
              <w:rPr>
                <w:rFonts w:ascii="Times New Roman" w:hAnsi="Times New Roman" w:cs="Times New Roman"/>
                <w:szCs w:val="24"/>
              </w:rPr>
              <w:t>IrO</w:t>
            </w:r>
            <w:r w:rsidRPr="003D2956">
              <w:rPr>
                <w:rFonts w:ascii="Times New Roman" w:hAnsi="Times New Roman" w:cs="Times New Roman"/>
                <w:szCs w:val="24"/>
                <w:vertAlign w:val="subscript"/>
              </w:rPr>
              <w:t>x</w:t>
            </w:r>
            <w:proofErr w:type="spellEnd"/>
            <w:r w:rsidRPr="003D2956">
              <w:rPr>
                <w:rFonts w:ascii="Times New Roman" w:hAnsi="Times New Roman" w:cs="Times New Roman"/>
                <w:szCs w:val="24"/>
              </w:rPr>
              <w:t>/</w:t>
            </w:r>
            <w:proofErr w:type="spellStart"/>
            <w:r w:rsidRPr="003D2956">
              <w:rPr>
                <w:rFonts w:ascii="Times New Roman" w:hAnsi="Times New Roman" w:cs="Times New Roman"/>
                <w:szCs w:val="24"/>
              </w:rPr>
              <w:t>Graphdiyne</w:t>
            </w:r>
            <w:proofErr w:type="spellEnd"/>
          </w:p>
        </w:tc>
        <w:tc>
          <w:tcPr>
            <w:tcW w:w="1455" w:type="dxa"/>
            <w:tcBorders>
              <w:top w:val="nil"/>
              <w:bottom w:val="nil"/>
            </w:tcBorders>
            <w:vAlign w:val="center"/>
          </w:tcPr>
          <w:p w14:paraId="41194501" w14:textId="05568962"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nil"/>
            </w:tcBorders>
            <w:vAlign w:val="center"/>
          </w:tcPr>
          <w:p w14:paraId="0178FD20" w14:textId="63E11E7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70</w:t>
            </w:r>
          </w:p>
        </w:tc>
        <w:tc>
          <w:tcPr>
            <w:tcW w:w="736" w:type="dxa"/>
            <w:tcBorders>
              <w:top w:val="nil"/>
              <w:bottom w:val="nil"/>
            </w:tcBorders>
            <w:vAlign w:val="center"/>
          </w:tcPr>
          <w:p w14:paraId="19936C39" w14:textId="4E5B697E"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236</w:t>
            </w:r>
          </w:p>
        </w:tc>
        <w:tc>
          <w:tcPr>
            <w:tcW w:w="1871" w:type="dxa"/>
            <w:tcBorders>
              <w:top w:val="nil"/>
              <w:bottom w:val="nil"/>
            </w:tcBorders>
            <w:vAlign w:val="center"/>
          </w:tcPr>
          <w:p w14:paraId="47AB9801" w14:textId="23EAD693"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20</w:t>
            </w:r>
          </w:p>
        </w:tc>
        <w:tc>
          <w:tcPr>
            <w:tcW w:w="1638" w:type="dxa"/>
            <w:tcBorders>
              <w:top w:val="nil"/>
              <w:bottom w:val="nil"/>
            </w:tcBorders>
            <w:vAlign w:val="center"/>
          </w:tcPr>
          <w:p w14:paraId="1CF346C7" w14:textId="03368A0A"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{"citationID":"WV9eY7RD","properties":{"formattedCitation":"\\super [16]\\nosupersub{}","plainCitation":"[16]","noteIndex":0},"citationItems":[{"id":903,"uris":["http://zotero.org/users/6921855/items/SS8RY8P4"],"itemData":{"id":903,"type":"article-journal","abstract":"Efficient acidic water oxidation utilization in the oxygen evolution reaction (OER) is still an important bottleneck for hydrogen production. From fundamental principles, a controllable graphdiyne (GDY) induced growth strategy is established; highly uniform size distribution of oxidized iridium quantum dots is prepared on the surface of graphdiyne (IrOxQD/GDY). The result shows that, the catalyst exhibits excellent activity and durability for acidic OER, with a current density of 10 mA cm−2 at a small overpotential of 236 mV versus the reversible hydrogen electrode (RHE) and a Tafel slope of 70 mV dec−1. The performance is greatly superior to previously reported electrocatalysts. Remarkably, the acidic electrolyzer using IrOxQD/GDY as both cathode and anode electrodes can reach 10 mA cm−2 only at a much low cell voltage of 1.49 V (vs RHE). The results show the superior advantages of graphdiyne in effectively increasing numbers of the catalytically active sites for improving the charge transfer behavior and protecting the metal catalysts from corrosion.","container-title":"Advanced Energy Materials","DOI":"10.1002/aenm.202101138","ISSN":"1614-6840","issue":"32","language":"en","note":"_eprint: https://onlinelibrary.wiley.com/doi/pdf/10.1002/aenm.202101138","page":"2101138","source":"Wiley Online Library","title":"Acidic Water Oxidation on Quantum Dots of IrOx/Graphdiyne","volume":"11","author":[{"family":"Wang","given":"Zhongqiang"},{"family":"Zheng","given":"Zhiqiang"},{"family":"Xue","given":"Yurui"},{"family":"He","given":"Feng"},{"family":"Li","given":"Yuliang"}],"issued":{"date-parts":[["2021"]]}}}],"schema":"https://github.com/citation-style-language/schema/raw/master/csl-citation.json"} </w:instrText>
            </w:r>
            <w:r w:rsidRPr="003D2956">
              <w:rPr>
                <w:szCs w:val="24"/>
              </w:rPr>
              <w:fldChar w:fldCharType="separate"/>
            </w:r>
            <w:r w:rsidRPr="003D2956">
              <w:rPr>
                <w:rFonts w:ascii="Times New Roman" w:hAnsi="Times New Roman" w:cs="Times New Roman"/>
                <w:szCs w:val="24"/>
              </w:rPr>
              <w:t>[16]</w:t>
            </w:r>
            <w:r w:rsidRPr="003D2956">
              <w:rPr>
                <w:szCs w:val="24"/>
              </w:rPr>
              <w:fldChar w:fldCharType="end"/>
            </w:r>
          </w:p>
        </w:tc>
      </w:tr>
      <w:tr w:rsidR="003D2956" w:rsidRPr="003D2956" w14:paraId="1C33EDA0" w14:textId="77777777" w:rsidTr="00A51F19">
        <w:trPr>
          <w:trHeight w:val="539"/>
          <w:jc w:val="center"/>
        </w:trPr>
        <w:tc>
          <w:tcPr>
            <w:tcW w:w="2370" w:type="dxa"/>
            <w:tcBorders>
              <w:top w:val="nil"/>
              <w:bottom w:val="nil"/>
            </w:tcBorders>
            <w:shd w:val="clear" w:color="auto" w:fill="F2F2F2" w:themeFill="background1" w:themeFillShade="F2"/>
            <w:vAlign w:val="center"/>
          </w:tcPr>
          <w:p w14:paraId="3809AF1C" w14:textId="5E5A63CB"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Ru/LiCoO</w:t>
            </w:r>
            <w:r w:rsidRPr="003D2956">
              <w:rPr>
                <w:rFonts w:ascii="Times New Roman" w:hAnsi="Times New Roman" w:cs="Times New Roman"/>
                <w:szCs w:val="24"/>
                <w:vertAlign w:val="subscript"/>
              </w:rPr>
              <w:t>2</w:t>
            </w:r>
            <w:r w:rsidRPr="003D2956">
              <w:rPr>
                <w:rFonts w:ascii="Times New Roman" w:hAnsi="Times New Roman" w:cs="Times New Roman"/>
                <w:szCs w:val="24"/>
              </w:rPr>
              <w:t xml:space="preserve"> SAC</w:t>
            </w:r>
          </w:p>
        </w:tc>
        <w:tc>
          <w:tcPr>
            <w:tcW w:w="1455" w:type="dxa"/>
            <w:tcBorders>
              <w:top w:val="nil"/>
              <w:bottom w:val="nil"/>
            </w:tcBorders>
            <w:shd w:val="clear" w:color="auto" w:fill="F2F2F2" w:themeFill="background1" w:themeFillShade="F2"/>
            <w:vAlign w:val="center"/>
          </w:tcPr>
          <w:p w14:paraId="668F9651" w14:textId="4CB34B7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1</w:t>
            </w:r>
          </w:p>
        </w:tc>
        <w:tc>
          <w:tcPr>
            <w:tcW w:w="1757" w:type="dxa"/>
            <w:tcBorders>
              <w:top w:val="nil"/>
              <w:bottom w:val="nil"/>
            </w:tcBorders>
            <w:shd w:val="clear" w:color="auto" w:fill="F2F2F2" w:themeFill="background1" w:themeFillShade="F2"/>
            <w:vAlign w:val="center"/>
          </w:tcPr>
          <w:p w14:paraId="2D8696C4" w14:textId="1564356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49.1</w:t>
            </w:r>
          </w:p>
        </w:tc>
        <w:tc>
          <w:tcPr>
            <w:tcW w:w="736" w:type="dxa"/>
            <w:tcBorders>
              <w:top w:val="nil"/>
              <w:bottom w:val="nil"/>
            </w:tcBorders>
            <w:shd w:val="clear" w:color="auto" w:fill="F2F2F2" w:themeFill="background1" w:themeFillShade="F2"/>
            <w:vAlign w:val="center"/>
          </w:tcPr>
          <w:p w14:paraId="1F52A1EA" w14:textId="4062A530"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247</w:t>
            </w:r>
          </w:p>
        </w:tc>
        <w:tc>
          <w:tcPr>
            <w:tcW w:w="1871" w:type="dxa"/>
            <w:tcBorders>
              <w:top w:val="nil"/>
              <w:bottom w:val="nil"/>
            </w:tcBorders>
            <w:shd w:val="clear" w:color="auto" w:fill="F2F2F2" w:themeFill="background1" w:themeFillShade="F2"/>
            <w:vAlign w:val="center"/>
          </w:tcPr>
          <w:p w14:paraId="401A5723" w14:textId="2367EF51"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190</w:t>
            </w:r>
          </w:p>
        </w:tc>
        <w:tc>
          <w:tcPr>
            <w:tcW w:w="1638" w:type="dxa"/>
            <w:tcBorders>
              <w:top w:val="nil"/>
              <w:bottom w:val="nil"/>
            </w:tcBorders>
            <w:shd w:val="clear" w:color="auto" w:fill="F2F2F2" w:themeFill="background1" w:themeFillShade="F2"/>
            <w:vAlign w:val="center"/>
          </w:tcPr>
          <w:p w14:paraId="4D8DBE58" w14:textId="6554B7D6"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{"citationID":"GretaPrR","properties":{"formattedCitation":"\\super [17]\\nosupersub{}","plainCitation":"[17]","noteIndex":0},"citationItems":[{"id":1274,"uris":["http://zotero.org/users/6921855/items/GHDME43K"],"itemData":{"id":1274,"type":"article-journal","abstract":"Manipulating the coordination environment of the active center via anion modulation to reveal tailored activity and selectivity has been widely achieved, especially for carbon-based single-atom site catalysts (SACs). However, tuning ligand fields of the active center by single-site metal cation regulation and identifying the effects on the resulting electronic configuration is seldom explored. Herein, we propose a single-site Ru cation coordination strategy to engineer the electronic properties by constructing a Ru/LiCoO2 SAC with atomically dispersed Ru−Co pair sites. Benefitting from the strong electronic coupling between Ru and Co sites, the catalyst possesses an enhanced electrical conductivity and achieves near-optimal oxygen adsorption energies. Therefore, the optimized catalyst delivers superior oxygen evolution reaction (OER) activity with low overpotential, the high mass activity of 1000 A goxide−1 at a small overpotential of 335 mV, and excellent long-term stability. It also exhibits rapid kinetics with superior rate capability and outstanding durability in a zinc–air battery.","container-title":"Angewandte Chemie International Edition","DOI":"10.1002/anie.202205946","ISSN":"1521-3773","issue":"n/a","language":"en","note":"_eprint: https://onlinelibrary.wiley.com/doi/pdf/10.1002/anie.202205946","page":"e202205946","source":"Wiley Online Library","title":"Ru–Co Pair Sites Catalyst Boosts the Energetics for the Oxygen Evolution Reaction","volume":"n/a","author":[{"family":"Zheng","given":"Xiaobo"},{"family":"Yang","given":"Jiarui"},{"family":"Xu","given":"Zhongfei"},{"family":"Wang","given":"Qishun"},{"family":"Wu","given":"Jiabin"},{"family":"Zhang","given":"Erhuan"},{"family":"Dou","given":"Shixue"},{"family":"Sun","given":"Wenping"},{"family":"Wang","given":"Dingsheng"},{"family":"Li","given":"Yadong"}]}}],"schema":"https://github.com/citation-style-language/schema/raw/master/csl-citation.json"} </w:instrText>
            </w:r>
            <w:r w:rsidRPr="003D2956">
              <w:rPr>
                <w:szCs w:val="24"/>
              </w:rPr>
              <w:fldChar w:fldCharType="separate"/>
            </w:r>
            <w:r w:rsidRPr="003D2956">
              <w:rPr>
                <w:rFonts w:ascii="Times New Roman" w:hAnsi="Times New Roman" w:cs="Times New Roman"/>
                <w:szCs w:val="24"/>
              </w:rPr>
              <w:t>[17]</w:t>
            </w:r>
            <w:r w:rsidRPr="003D2956">
              <w:rPr>
                <w:szCs w:val="24"/>
              </w:rPr>
              <w:fldChar w:fldCharType="end"/>
            </w:r>
          </w:p>
        </w:tc>
      </w:tr>
      <w:tr w:rsidR="003D2956" w:rsidRPr="003D2956" w14:paraId="13B2CD19" w14:textId="77777777" w:rsidTr="00A51F19">
        <w:trPr>
          <w:trHeight w:val="539"/>
          <w:jc w:val="center"/>
        </w:trPr>
        <w:tc>
          <w:tcPr>
            <w:tcW w:w="2370" w:type="dxa"/>
            <w:tcBorders>
              <w:top w:val="nil"/>
              <w:bottom w:val="nil"/>
            </w:tcBorders>
            <w:shd w:val="clear" w:color="auto" w:fill="auto"/>
            <w:vAlign w:val="center"/>
          </w:tcPr>
          <w:p w14:paraId="1E5C36A8" w14:textId="7E1D7C88"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B-RuO</w:t>
            </w:r>
            <w:r w:rsidRPr="003D2956">
              <w:rPr>
                <w:rFonts w:ascii="Times New Roman" w:hAnsi="Times New Roman" w:cs="Times New Roman"/>
                <w:bCs/>
                <w:szCs w:val="24"/>
                <w:vertAlign w:val="subscript"/>
              </w:rPr>
              <w:t>2</w:t>
            </w:r>
          </w:p>
        </w:tc>
        <w:tc>
          <w:tcPr>
            <w:tcW w:w="1455" w:type="dxa"/>
            <w:tcBorders>
              <w:top w:val="nil"/>
              <w:bottom w:val="nil"/>
            </w:tcBorders>
            <w:shd w:val="clear" w:color="auto" w:fill="auto"/>
            <w:vAlign w:val="center"/>
          </w:tcPr>
          <w:p w14:paraId="52A99F8D" w14:textId="4C3F6DE8"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nil"/>
            </w:tcBorders>
            <w:shd w:val="clear" w:color="auto" w:fill="auto"/>
            <w:vAlign w:val="center"/>
          </w:tcPr>
          <w:p w14:paraId="505AB9DD" w14:textId="38684AE7"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55</w:t>
            </w:r>
          </w:p>
        </w:tc>
        <w:tc>
          <w:tcPr>
            <w:tcW w:w="736" w:type="dxa"/>
            <w:tcBorders>
              <w:top w:val="nil"/>
              <w:bottom w:val="nil"/>
            </w:tcBorders>
            <w:shd w:val="clear" w:color="auto" w:fill="auto"/>
            <w:vAlign w:val="center"/>
          </w:tcPr>
          <w:p w14:paraId="439944BA" w14:textId="140E4FCB"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200</w:t>
            </w:r>
          </w:p>
        </w:tc>
        <w:tc>
          <w:tcPr>
            <w:tcW w:w="1871" w:type="dxa"/>
            <w:tcBorders>
              <w:top w:val="nil"/>
              <w:bottom w:val="nil"/>
            </w:tcBorders>
            <w:shd w:val="clear" w:color="auto" w:fill="auto"/>
            <w:vAlign w:val="center"/>
          </w:tcPr>
          <w:p w14:paraId="69EE6D8F" w14:textId="0417EA5A"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12</w:t>
            </w:r>
          </w:p>
        </w:tc>
        <w:tc>
          <w:tcPr>
            <w:tcW w:w="1638" w:type="dxa"/>
            <w:tcBorders>
              <w:top w:val="nil"/>
              <w:bottom w:val="nil"/>
            </w:tcBorders>
            <w:shd w:val="clear" w:color="auto" w:fill="auto"/>
            <w:vAlign w:val="center"/>
          </w:tcPr>
          <w:p w14:paraId="7AEDE68E" w14:textId="24863CBD"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{"citationID":"BDG0H2Dy","properties":{"formattedCitation":"\\super [18]\\nosupersub{}","plainCitation":"[18]","noteIndex":0},"citationItems":[{"id":1269,"uris":["http://zotero.org/users/6921855/items/LHSY8GF6"],"itemData":{"id":1269,"type":"article-journal","abstract":"The electrocatalysis of oxygen evolution reaction (OER) plays a key role in clean energy storage and transfer. Nonetheless, the sluggish kinetics and poor durability under acidic and neutral conditions severely hinder practical applications such as electrolyzer compatible with the powerful proton exchange membrane and biohybrid fuel production. Here, we report a boron-doped ruthenium dioxide electrocatalyst (B-RuO2) fabricated by a facile boric acid assisted strategy which demonstrates excellent acidic and neutral OER performances. Density functional theory calculations and advanced characterizations reveal that the boron species form an anomalous B-O covalent bonding with the oxygen atoms of RuO2 and expose the fully coordinately bridge ruthenium site (Ru-bri site), which seems like a switch that turns on the inactive Ru-bri site into OER-active, resulting in more exposed active sites, modified electronic structure, and optimized binding energy of intermediates. Thus, the B-RuO2 exhibits an ultralow overpotential of 200 mV at 10 mA/cm2 and maintains excellent stability compared to commercial RuO2 in 0.5 M sulfuric acid. Moreover, the superior performance is as well displayed in neutral electrolyte, surpassing most previously reported catalysts.","container-title":"Nano Research","DOI":"10.1007/s12274-022-4337-z","ISSN":"1998-0000","journalAbbreviation":"Nano Res.","language":"en","note":"Company: Springer\nDistributor: Springer\nInstitution: Springer\nLabel: Springer\npublisher: lib.mayiso.com Press","page":"1-8","source":"springer.ranqiyi.cn","title":"Motivating Ru-bri site of RuO2 by boron doping toward high performance acidic and neutral oxygen evolution","author":[{"family":"Liu","given":"Chongjing"},{"family":"Sheng","given":"Beibei"},{"family":"Zhou","given":"Quan"},{"family":"Cao","given":"Dengfeng"},{"family":"Ding","given":"Honghe"},{"family":"Chen","given":"Shuangming"},{"family":"Zhang","given":"Pengjun"},{"family":"Xia","given":"Yujian"},{"family":"Wu","given":"Xiaojun"},{"family":"Song","given":"Li"}],"issued":{"date-parts":[["2022",5,5]]}}}],"schema":"https://github.com/citation-style-language/schema/raw/master/csl-citation.json"} </w:instrText>
            </w:r>
            <w:r w:rsidRPr="003D2956">
              <w:rPr>
                <w:szCs w:val="24"/>
              </w:rPr>
              <w:fldChar w:fldCharType="separate"/>
            </w:r>
            <w:r w:rsidRPr="003D2956">
              <w:rPr>
                <w:rFonts w:ascii="Times New Roman" w:hAnsi="Times New Roman" w:cs="Times New Roman"/>
                <w:szCs w:val="24"/>
              </w:rPr>
              <w:t>[18]</w:t>
            </w:r>
            <w:r w:rsidRPr="003D2956">
              <w:rPr>
                <w:szCs w:val="24"/>
              </w:rPr>
              <w:fldChar w:fldCharType="end"/>
            </w:r>
          </w:p>
        </w:tc>
      </w:tr>
      <w:tr w:rsidR="003D2956" w:rsidRPr="003D2956" w14:paraId="5E8F720D" w14:textId="77777777" w:rsidTr="00A51F19">
        <w:trPr>
          <w:trHeight w:val="539"/>
          <w:jc w:val="center"/>
        </w:trPr>
        <w:tc>
          <w:tcPr>
            <w:tcW w:w="2370" w:type="dxa"/>
            <w:tcBorders>
              <w:top w:val="nil"/>
              <w:bottom w:val="nil"/>
            </w:tcBorders>
            <w:shd w:val="clear" w:color="auto" w:fill="F2F2F2" w:themeFill="background1" w:themeFillShade="F2"/>
            <w:vAlign w:val="center"/>
          </w:tcPr>
          <w:p w14:paraId="4D730722" w14:textId="4CD4E16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Pd-Ru branched NPs</w:t>
            </w:r>
          </w:p>
        </w:tc>
        <w:tc>
          <w:tcPr>
            <w:tcW w:w="1455" w:type="dxa"/>
            <w:tcBorders>
              <w:top w:val="nil"/>
              <w:bottom w:val="nil"/>
            </w:tcBorders>
            <w:shd w:val="clear" w:color="auto" w:fill="F2F2F2" w:themeFill="background1" w:themeFillShade="F2"/>
            <w:vAlign w:val="center"/>
          </w:tcPr>
          <w:p w14:paraId="50E56F07" w14:textId="1DD8C002"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0.4</w:t>
            </w:r>
          </w:p>
        </w:tc>
        <w:tc>
          <w:tcPr>
            <w:tcW w:w="1757" w:type="dxa"/>
            <w:tcBorders>
              <w:top w:val="nil"/>
              <w:bottom w:val="nil"/>
            </w:tcBorders>
            <w:shd w:val="clear" w:color="auto" w:fill="F2F2F2" w:themeFill="background1" w:themeFillShade="F2"/>
            <w:vAlign w:val="center"/>
          </w:tcPr>
          <w:p w14:paraId="0CE14AEB" w14:textId="1F4AC30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61</w:t>
            </w:r>
          </w:p>
        </w:tc>
        <w:tc>
          <w:tcPr>
            <w:tcW w:w="736" w:type="dxa"/>
            <w:tcBorders>
              <w:top w:val="nil"/>
              <w:bottom w:val="nil"/>
            </w:tcBorders>
            <w:shd w:val="clear" w:color="auto" w:fill="F2F2F2" w:themeFill="background1" w:themeFillShade="F2"/>
            <w:vAlign w:val="center"/>
          </w:tcPr>
          <w:p w14:paraId="3A03D803" w14:textId="122997A7"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225</w:t>
            </w:r>
          </w:p>
        </w:tc>
        <w:tc>
          <w:tcPr>
            <w:tcW w:w="1871" w:type="dxa"/>
            <w:tcBorders>
              <w:top w:val="nil"/>
              <w:bottom w:val="nil"/>
            </w:tcBorders>
            <w:shd w:val="clear" w:color="auto" w:fill="F2F2F2" w:themeFill="background1" w:themeFillShade="F2"/>
            <w:vAlign w:val="center"/>
          </w:tcPr>
          <w:p w14:paraId="4082BF3C" w14:textId="60AB918C"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w:t>
            </w:r>
          </w:p>
        </w:tc>
        <w:tc>
          <w:tcPr>
            <w:tcW w:w="1638" w:type="dxa"/>
            <w:tcBorders>
              <w:top w:val="nil"/>
              <w:bottom w:val="nil"/>
            </w:tcBorders>
            <w:shd w:val="clear" w:color="auto" w:fill="F2F2F2" w:themeFill="background1" w:themeFillShade="F2"/>
            <w:vAlign w:val="center"/>
          </w:tcPr>
          <w:p w14:paraId="72EF39F5" w14:textId="30FB8452"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{"citationID":"6s1ZBnmq","properties":{"formattedCitation":"\\super [19]\\nosupersub{}","plainCitation":"[19]","noteIndex":0},"citationItems":[{"id":641,"uris":["http://zotero.org/users/6921855/items/8T7H44A2"],"itemData":{"id":641,"type":"article-journal","abstract":"A major synthetic challenge is to make metal nanoparticles with nanosized branches and well-defined facets for high-performance catalysts. Herein, we introduce a mechanism that uses the growth of hexagonal crystal structured branches off cubic crystal structured core nanoparticles. We control the growth to form Pd-core Ru-branch nanoparticles that have nanosized branches with low index Ru facets. We demonstrate that the branched and faceted structural features of the Pd–Ru nanoparticles retain high catalytic activity while also achieving high stability for the oxygen evolution reaction.","container-title":"Journal of the American Chemical Society","DOI":"10.1021/jacs.8b09402","ISSN":"0002-7863","issue":"40","journalAbbreviation":"J. Am. Chem. Soc.","note":"publisher: American Chemical Society","page":"12760-12764","source":"ACS Publications","title":"Cubic-Core Hexagonal-Branch Mechanism To Synthesize Bimetallic Branched and Faceted Pd–Ru Nanoparticles for Oxygen Evolution Reaction Electrocatalysis","volume":"140","author":[{"family":"Gloag","given":"Lucy"},{"family":"Benedetti","given":"Tania M."},{"family":"Cheong","given":"Soshan"},{"family":"Marjo","given":"Christopher E."},{"family":"Gooding","given":"J. Justin"},{"family":"Tilley","given":"Richard D."}],"issued":{"date-parts":[["2018",10,10]]}}}],"schema":"https://github.com/citation-style-language/schema/raw/master/csl-citation.json"} </w:instrText>
            </w:r>
            <w:r w:rsidRPr="003D2956">
              <w:rPr>
                <w:szCs w:val="24"/>
              </w:rPr>
              <w:fldChar w:fldCharType="separate"/>
            </w:r>
            <w:r w:rsidRPr="003D2956">
              <w:rPr>
                <w:rFonts w:ascii="Times New Roman" w:hAnsi="Times New Roman" w:cs="Times New Roman"/>
                <w:szCs w:val="24"/>
              </w:rPr>
              <w:t>[19]</w:t>
            </w:r>
            <w:r w:rsidRPr="003D2956">
              <w:rPr>
                <w:szCs w:val="24"/>
              </w:rPr>
              <w:fldChar w:fldCharType="end"/>
            </w:r>
          </w:p>
        </w:tc>
      </w:tr>
      <w:tr w:rsidR="003D2956" w:rsidRPr="003D2956" w14:paraId="3CFF047E" w14:textId="77777777" w:rsidTr="00A51F19">
        <w:trPr>
          <w:trHeight w:val="539"/>
          <w:jc w:val="center"/>
        </w:trPr>
        <w:tc>
          <w:tcPr>
            <w:tcW w:w="2370" w:type="dxa"/>
            <w:tcBorders>
              <w:top w:val="nil"/>
              <w:bottom w:val="single" w:sz="8" w:space="0" w:color="000000"/>
            </w:tcBorders>
            <w:shd w:val="clear" w:color="auto" w:fill="auto"/>
            <w:vAlign w:val="center"/>
          </w:tcPr>
          <w:p w14:paraId="5CA91EB7" w14:textId="210CF21D"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Mn</w:t>
            </w:r>
            <w:r w:rsidRPr="003D2956">
              <w:rPr>
                <w:rFonts w:ascii="Times New Roman" w:hAnsi="Times New Roman" w:cs="Times New Roman"/>
                <w:bCs/>
                <w:szCs w:val="24"/>
                <w:vertAlign w:val="subscript"/>
              </w:rPr>
              <w:t>0.73</w:t>
            </w:r>
            <w:r w:rsidRPr="003D2956">
              <w:rPr>
                <w:rFonts w:ascii="Times New Roman" w:hAnsi="Times New Roman" w:cs="Times New Roman"/>
                <w:bCs/>
                <w:szCs w:val="24"/>
              </w:rPr>
              <w:t>Ru</w:t>
            </w:r>
            <w:r w:rsidRPr="003D2956">
              <w:rPr>
                <w:rFonts w:ascii="Times New Roman" w:hAnsi="Times New Roman" w:cs="Times New Roman"/>
                <w:bCs/>
                <w:szCs w:val="24"/>
                <w:vertAlign w:val="subscript"/>
              </w:rPr>
              <w:t>0.27</w:t>
            </w:r>
            <w:r w:rsidRPr="003D2956">
              <w:rPr>
                <w:rFonts w:ascii="Times New Roman" w:hAnsi="Times New Roman" w:cs="Times New Roman"/>
                <w:bCs/>
                <w:szCs w:val="24"/>
              </w:rPr>
              <w:t>O</w:t>
            </w:r>
            <w:r w:rsidRPr="003D2956">
              <w:rPr>
                <w:rFonts w:ascii="Times New Roman" w:hAnsi="Times New Roman" w:cs="Times New Roman"/>
                <w:bCs/>
                <w:szCs w:val="24"/>
                <w:vertAlign w:val="subscript"/>
              </w:rPr>
              <w:t>2-δ</w:t>
            </w:r>
          </w:p>
        </w:tc>
        <w:tc>
          <w:tcPr>
            <w:tcW w:w="1455" w:type="dxa"/>
            <w:tcBorders>
              <w:top w:val="nil"/>
              <w:bottom w:val="single" w:sz="8" w:space="0" w:color="000000"/>
            </w:tcBorders>
            <w:shd w:val="clear" w:color="auto" w:fill="auto"/>
            <w:vAlign w:val="center"/>
          </w:tcPr>
          <w:p w14:paraId="5F0C2C78" w14:textId="08B11902"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w:t>
            </w:r>
          </w:p>
        </w:tc>
        <w:tc>
          <w:tcPr>
            <w:tcW w:w="1757" w:type="dxa"/>
            <w:tcBorders>
              <w:top w:val="nil"/>
              <w:bottom w:val="single" w:sz="8" w:space="0" w:color="000000"/>
            </w:tcBorders>
            <w:shd w:val="clear" w:color="auto" w:fill="auto"/>
            <w:vAlign w:val="center"/>
          </w:tcPr>
          <w:p w14:paraId="7112D733" w14:textId="0D19065F"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bCs/>
                <w:szCs w:val="24"/>
              </w:rPr>
              <w:t>65.3</w:t>
            </w:r>
          </w:p>
        </w:tc>
        <w:tc>
          <w:tcPr>
            <w:tcW w:w="736" w:type="dxa"/>
            <w:tcBorders>
              <w:top w:val="nil"/>
              <w:bottom w:val="single" w:sz="8" w:space="0" w:color="000000"/>
            </w:tcBorders>
            <w:shd w:val="clear" w:color="auto" w:fill="auto"/>
            <w:vAlign w:val="center"/>
          </w:tcPr>
          <w:p w14:paraId="7AD6B709" w14:textId="1416172C" w:rsidR="00667598" w:rsidRPr="003D2956" w:rsidRDefault="00667598" w:rsidP="00667598">
            <w:pPr>
              <w:jc w:val="center"/>
              <w:rPr>
                <w:rFonts w:ascii="Times New Roman" w:hAnsi="Times New Roman" w:cs="Times New Roman"/>
                <w:szCs w:val="24"/>
              </w:rPr>
            </w:pPr>
            <w:r w:rsidRPr="003D2956">
              <w:rPr>
                <w:rFonts w:ascii="Times New Roman" w:hAnsi="Times New Roman" w:cs="Times New Roman"/>
                <w:szCs w:val="24"/>
              </w:rPr>
              <w:t>208</w:t>
            </w:r>
          </w:p>
        </w:tc>
        <w:tc>
          <w:tcPr>
            <w:tcW w:w="1871" w:type="dxa"/>
            <w:tcBorders>
              <w:top w:val="nil"/>
              <w:bottom w:val="single" w:sz="8" w:space="0" w:color="000000"/>
            </w:tcBorders>
            <w:shd w:val="clear" w:color="auto" w:fill="auto"/>
            <w:vAlign w:val="center"/>
          </w:tcPr>
          <w:p w14:paraId="1A38C9AF" w14:textId="2E83B05A" w:rsidR="00667598" w:rsidRPr="003D2956" w:rsidRDefault="00667598" w:rsidP="00667598">
            <w:pPr>
              <w:jc w:val="center"/>
              <w:rPr>
                <w:rFonts w:ascii="Times New Roman" w:hAnsi="Times New Roman" w:cs="Times New Roman"/>
                <w:noProof/>
                <w:szCs w:val="24"/>
              </w:rPr>
            </w:pPr>
            <w:r w:rsidRPr="003D2956">
              <w:rPr>
                <w:rFonts w:ascii="Times New Roman" w:hAnsi="Times New Roman" w:cs="Times New Roman"/>
                <w:szCs w:val="24"/>
              </w:rPr>
              <w:t>10</w:t>
            </w:r>
          </w:p>
        </w:tc>
        <w:tc>
          <w:tcPr>
            <w:tcW w:w="1638" w:type="dxa"/>
            <w:tcBorders>
              <w:top w:val="nil"/>
              <w:bottom w:val="single" w:sz="8" w:space="0" w:color="000000"/>
            </w:tcBorders>
            <w:shd w:val="clear" w:color="auto" w:fill="auto"/>
            <w:vAlign w:val="center"/>
          </w:tcPr>
          <w:p w14:paraId="0F9E0A54" w14:textId="0D113D79" w:rsidR="00667598" w:rsidRPr="003D2956" w:rsidRDefault="00667598" w:rsidP="00667598">
            <w:pPr>
              <w:jc w:val="center"/>
              <w:rPr>
                <w:rFonts w:ascii="Times New Roman" w:hAnsi="Times New Roman" w:cs="Times New Roman"/>
                <w:noProof/>
                <w:szCs w:val="24"/>
              </w:rPr>
            </w:pPr>
            <w:r w:rsidRPr="003D2956">
              <w:rPr>
                <w:szCs w:val="24"/>
              </w:rPr>
              <w:fldChar w:fldCharType="begin"/>
            </w:r>
            <w:r w:rsidRPr="003D2956">
              <w:rPr>
                <w:rFonts w:ascii="Times New Roman" w:hAnsi="Times New Roman" w:cs="Times New Roman"/>
                <w:szCs w:val="24"/>
              </w:rPr>
              <w:instrText xml:space="preserve"> ADDIN ZOTERO_ITEM CSL_CITATION {"citationID":"W5WwAyxQ","properties":{"formattedCitation":"\\super [20]\\nosupersub{}","plainCitation":"[20]","noteIndex":0},"citationItems":[{"id":1277,"uris":["http://zotero.org/users/6921855/items/TQ3RKUTT"],"itemData":{"id":1277,"type":"article-journal","abstract":"Designing acid-stable oxygen evolution reaction (OER) electrocatalysts with low noble-metal content to facilitate the sluggish kinetics is crucial for sustaining green hydrogen generation. Herein, we developed a rutile-structured ruthenium–manganese solid solution oxide with oxygen vacancies (Mn0.73Ru0.27O2−δ) by using an electron-feeding modulation strategy to stabilize the catalyst structure and accelerate the OER kinetics. Due to the optimal electronic structure and enhanced electrical conductivity, the Mn0.73Ru0.27O2−δ catalyst displayed a low overpotential of 208 mV to reach 10 mA cm−2 current density in 0.5 M H2SO4 electrolyte, outperforming the benchmark RuO2 and most previously reported noble-metal based OER catalysts. Experimental characterization verified that the electron transfer occurred from Ru to Mn atoms with the bridging O atom, which was further enhanced with the existence of oxygen vacancies. Therefore, the center Ru active sites in an electron-deficient state is favorable for bonding with active oxygen intermediates. Meanwhile, theoretical calculations revealed that the simultaneous incorporation of Mn components and O vacancies significantly decreased the anti-bonding spin states of Ru's d-orbitals, which modulated the adsorption and desorption energy barriers of elementary reactions on the active Ru sites, thus boosting the overall OER kinetics.","container-title":"Energy &amp; Environmental Science","DOI":"10.1039/D1EE03610F","ISSN":"1754-5706","issue":"6","journalAbbreviation":"Energy Environ. Sci.","language":"en","note":"publisher: The Royal Society of Chemistry","page":"2356-2365","source":"pubs.rsc.org","title":"Highly active ruthenium sites stabilized by modulating electron-feeding for sustainable acidic oxygen-evolution electrocatalysis","volume":"15","author":[{"family":"Wang","given":"Kexin"},{"family":"Wang","given":"Yali"},{"family":"Yang","given":"Bin"},{"family":"Li","given":"Zhongjian"},{"family":"Qin","given":"Xuetao"},{"family":"Zhang","given":"Qinghua"},{"family":"Lei","given":"Lecheng"},{"family":"Qiu","given":"Ming"},{"family":"Wu","given":"Gang"},{"family":"Hou","given":"Yang"}],"issued":{"date-parts":[["2022",6,15]]}}}],"schema":"https://github.com/citation-style-language/schema/raw/master/csl-citation.json"} </w:instrText>
            </w:r>
            <w:r w:rsidRPr="003D2956">
              <w:rPr>
                <w:szCs w:val="24"/>
              </w:rPr>
              <w:fldChar w:fldCharType="separate"/>
            </w:r>
            <w:r w:rsidRPr="003D2956">
              <w:rPr>
                <w:rFonts w:ascii="Times New Roman" w:hAnsi="Times New Roman" w:cs="Times New Roman"/>
                <w:szCs w:val="24"/>
              </w:rPr>
              <w:t>[20]</w:t>
            </w:r>
            <w:r w:rsidRPr="003D2956">
              <w:rPr>
                <w:szCs w:val="24"/>
              </w:rPr>
              <w:fldChar w:fldCharType="end"/>
            </w:r>
          </w:p>
        </w:tc>
      </w:tr>
    </w:tbl>
    <w:p w14:paraId="4C233122" w14:textId="1060C0C8" w:rsidR="003767F0" w:rsidRPr="003D2956" w:rsidRDefault="003F1050">
      <w:pPr>
        <w:rPr>
          <w:bCs/>
          <w:vanish/>
          <w:kern w:val="32"/>
          <w:szCs w:val="24"/>
        </w:rPr>
      </w:pPr>
      <w:r w:rsidRPr="003D2956">
        <w:rPr>
          <w:rFonts w:eastAsia="宋体"/>
          <w:szCs w:val="24"/>
        </w:rPr>
        <w:br w:type="page"/>
      </w:r>
      <w:r w:rsidR="003767F0" w:rsidRPr="003D2956">
        <w:rPr>
          <w:b/>
          <w:vanish/>
        </w:rPr>
        <w:lastRenderedPageBreak/>
        <w:br w:type="page"/>
      </w:r>
    </w:p>
    <w:p w14:paraId="7D20C6C1" w14:textId="77777777" w:rsidR="003767F0" w:rsidRPr="003D2956" w:rsidRDefault="003767F0" w:rsidP="003767F0">
      <w:pPr>
        <w:spacing w:beforeLines="50" w:before="120" w:afterLines="50" w:after="120" w:line="480" w:lineRule="auto"/>
        <w:rPr>
          <w:b/>
          <w:szCs w:val="24"/>
        </w:rPr>
      </w:pPr>
      <w:r w:rsidRPr="003D2956">
        <w:rPr>
          <w:b/>
          <w:szCs w:val="24"/>
        </w:rPr>
        <w:t>Reference</w:t>
      </w:r>
    </w:p>
    <w:p w14:paraId="6D75DF69" w14:textId="13376F1D" w:rsidR="003767F0" w:rsidRPr="003D2956" w:rsidRDefault="003767F0" w:rsidP="00280FF1">
      <w:pPr>
        <w:spacing w:line="480" w:lineRule="auto"/>
        <w:jc w:val="both"/>
        <w:rPr>
          <w:rFonts w:eastAsia="等线"/>
          <w:noProof/>
          <w:szCs w:val="24"/>
        </w:rPr>
      </w:pPr>
      <w:r w:rsidRPr="003D2956">
        <w:rPr>
          <w:rFonts w:eastAsia="等线" w:hint="eastAsia"/>
          <w:noProof/>
          <w:szCs w:val="24"/>
        </w:rPr>
        <w:t>[</w:t>
      </w:r>
      <w:r w:rsidRPr="003D2956">
        <w:rPr>
          <w:rFonts w:eastAsia="等线"/>
          <w:noProof/>
          <w:szCs w:val="24"/>
        </w:rPr>
        <w:t>S1]</w:t>
      </w:r>
      <w:r w:rsidRPr="003D2956">
        <w:rPr>
          <w:rFonts w:ascii="Segoe UI" w:hAnsi="Segoe UI" w:cs="Segoe UI"/>
          <w:sz w:val="22"/>
        </w:rPr>
        <w:t xml:space="preserve"> </w:t>
      </w:r>
      <w:r w:rsidR="0033672C" w:rsidRPr="003D2956">
        <w:rPr>
          <w:rFonts w:eastAsia="等线"/>
          <w:noProof/>
          <w:szCs w:val="24"/>
        </w:rPr>
        <w:t>J. Zhu, Y. Guo, F. Liu, H. Xu, L. Gong, W. Shi, D. Chen, P. Wang, Y. Yang, C. Zhang, J. Wu, J. Luo, S. Mu, Regulative Electronic States around Ruthenium/Ruthenium Disulphide Heterointerfaces for Efficient Water Splitting in Acidic Media, Angew. Chem. Int. Ed. Engl., 60 (2021) 12328-12334</w:t>
      </w:r>
      <w:r w:rsidRPr="003D2956">
        <w:rPr>
          <w:rFonts w:eastAsia="等线"/>
          <w:noProof/>
          <w:szCs w:val="24"/>
        </w:rPr>
        <w:t>.</w:t>
      </w:r>
    </w:p>
    <w:p w14:paraId="5E089E60" w14:textId="145475B2" w:rsidR="003767F0" w:rsidRPr="003D2956" w:rsidRDefault="003767F0" w:rsidP="00280FF1">
      <w:pPr>
        <w:spacing w:line="480" w:lineRule="auto"/>
        <w:jc w:val="both"/>
        <w:rPr>
          <w:szCs w:val="24"/>
        </w:rPr>
      </w:pPr>
      <w:r w:rsidRPr="003D2956">
        <w:rPr>
          <w:rFonts w:eastAsia="等线" w:hint="eastAsia"/>
          <w:noProof/>
          <w:szCs w:val="24"/>
        </w:rPr>
        <w:t>[</w:t>
      </w:r>
      <w:r w:rsidRPr="003D2956">
        <w:rPr>
          <w:rFonts w:eastAsia="等线"/>
          <w:noProof/>
          <w:szCs w:val="24"/>
        </w:rPr>
        <w:t xml:space="preserve">S2] </w:t>
      </w:r>
      <w:r w:rsidR="00685447" w:rsidRPr="003D2956">
        <w:rPr>
          <w:szCs w:val="24"/>
        </w:rPr>
        <w:t xml:space="preserve">H. </w:t>
      </w:r>
      <w:proofErr w:type="spellStart"/>
      <w:r w:rsidR="00685447" w:rsidRPr="003D2956">
        <w:rPr>
          <w:szCs w:val="24"/>
        </w:rPr>
        <w:t>Jin</w:t>
      </w:r>
      <w:proofErr w:type="spellEnd"/>
      <w:r w:rsidR="00685447" w:rsidRPr="003D2956">
        <w:rPr>
          <w:szCs w:val="24"/>
        </w:rPr>
        <w:t xml:space="preserve">, S. Choi, G.J. Bang, T. Kwon, H.S. Kim, S.J. Lee, Y. Hong, D.W. Lee, H.S. Park, H. </w:t>
      </w:r>
      <w:proofErr w:type="spellStart"/>
      <w:r w:rsidR="00685447" w:rsidRPr="003D2956">
        <w:rPr>
          <w:szCs w:val="24"/>
        </w:rPr>
        <w:t>Baik</w:t>
      </w:r>
      <w:proofErr w:type="spellEnd"/>
      <w:r w:rsidR="00685447" w:rsidRPr="003D2956">
        <w:rPr>
          <w:szCs w:val="24"/>
        </w:rPr>
        <w:t xml:space="preserve">, Y. Jung, S.J. </w:t>
      </w:r>
      <w:proofErr w:type="spellStart"/>
      <w:r w:rsidR="00685447" w:rsidRPr="003D2956">
        <w:rPr>
          <w:szCs w:val="24"/>
        </w:rPr>
        <w:t>Yoo</w:t>
      </w:r>
      <w:proofErr w:type="spellEnd"/>
      <w:r w:rsidR="00685447" w:rsidRPr="003D2956">
        <w:rPr>
          <w:szCs w:val="24"/>
        </w:rPr>
        <w:t>, K. Lee, Safeguarding the RuO</w:t>
      </w:r>
      <w:r w:rsidR="00685447" w:rsidRPr="003D2956">
        <w:rPr>
          <w:szCs w:val="24"/>
          <w:vertAlign w:val="subscript"/>
        </w:rPr>
        <w:t>2</w:t>
      </w:r>
      <w:r w:rsidR="00685447" w:rsidRPr="003D2956">
        <w:rPr>
          <w:szCs w:val="24"/>
        </w:rPr>
        <w:t xml:space="preserve"> phase against lattice oxygen oxidation during acidic water electrooxidation, </w:t>
      </w:r>
      <w:r w:rsidR="00685447" w:rsidRPr="003D2956">
        <w:rPr>
          <w:szCs w:val="24"/>
          <w:lang w:val="de-DE"/>
        </w:rPr>
        <w:t>Energy Environ. Sci.</w:t>
      </w:r>
      <w:r w:rsidR="00685447" w:rsidRPr="003D2956">
        <w:rPr>
          <w:szCs w:val="24"/>
        </w:rPr>
        <w:t>, 15 (2022) 1119-1130</w:t>
      </w:r>
      <w:r w:rsidRPr="003D2956">
        <w:rPr>
          <w:szCs w:val="24"/>
        </w:rPr>
        <w:t>.</w:t>
      </w:r>
    </w:p>
    <w:p w14:paraId="0BB0C3FC" w14:textId="73D10DC7" w:rsidR="003767F0" w:rsidRPr="003D2956" w:rsidRDefault="003767F0" w:rsidP="00280FF1">
      <w:pPr>
        <w:spacing w:line="480" w:lineRule="auto"/>
        <w:jc w:val="both"/>
        <w:rPr>
          <w:rFonts w:eastAsia="等线"/>
          <w:noProof/>
          <w:szCs w:val="24"/>
        </w:rPr>
      </w:pPr>
      <w:r w:rsidRPr="003D2956">
        <w:rPr>
          <w:rFonts w:eastAsia="等线" w:hint="eastAsia"/>
          <w:noProof/>
          <w:szCs w:val="24"/>
        </w:rPr>
        <w:t>[</w:t>
      </w:r>
      <w:r w:rsidRPr="003D2956">
        <w:rPr>
          <w:rFonts w:eastAsia="等线"/>
          <w:noProof/>
          <w:szCs w:val="24"/>
        </w:rPr>
        <w:t xml:space="preserve">S3] </w:t>
      </w:r>
      <w:r w:rsidR="00461D66" w:rsidRPr="003D2956">
        <w:rPr>
          <w:rFonts w:eastAsia="等线"/>
          <w:noProof/>
          <w:szCs w:val="24"/>
        </w:rPr>
        <w:t>G. Li, S. Li, J. Ge, C. Liu, W. Xing, Discontinuously covered IrO</w:t>
      </w:r>
      <w:r w:rsidR="00461D66" w:rsidRPr="003D2956">
        <w:rPr>
          <w:rFonts w:eastAsia="等线"/>
          <w:noProof/>
          <w:szCs w:val="24"/>
          <w:vertAlign w:val="subscript"/>
        </w:rPr>
        <w:t>2</w:t>
      </w:r>
      <w:r w:rsidR="00461D66" w:rsidRPr="003D2956">
        <w:rPr>
          <w:rFonts w:eastAsia="等线"/>
          <w:noProof/>
          <w:szCs w:val="24"/>
        </w:rPr>
        <w:t>–RuO</w:t>
      </w:r>
      <w:r w:rsidR="00461D66" w:rsidRPr="003D2956">
        <w:rPr>
          <w:rFonts w:eastAsia="等线"/>
          <w:noProof/>
          <w:szCs w:val="24"/>
          <w:vertAlign w:val="subscript"/>
        </w:rPr>
        <w:t>2</w:t>
      </w:r>
      <w:r w:rsidR="00461D66" w:rsidRPr="003D2956">
        <w:rPr>
          <w:rFonts w:eastAsia="等线"/>
          <w:noProof/>
          <w:szCs w:val="24"/>
        </w:rPr>
        <w:t xml:space="preserve">@Ru electrocatalysts for the oxygen evolution reaction: how high activity and long-term durability can be simultaneously realized in the synergistic and hybrid nano-structure, </w:t>
      </w:r>
      <w:r w:rsidR="00052AA0" w:rsidRPr="003D2956">
        <w:rPr>
          <w:rFonts w:eastAsia="等线"/>
          <w:noProof/>
          <w:szCs w:val="24"/>
          <w:lang w:val="de-DE"/>
        </w:rPr>
        <w:t>J. Mater. Chem. A</w:t>
      </w:r>
      <w:r w:rsidR="00461D66" w:rsidRPr="003D2956">
        <w:rPr>
          <w:rFonts w:eastAsia="等线"/>
          <w:noProof/>
          <w:szCs w:val="24"/>
        </w:rPr>
        <w:t>, 5 (2017) 17221-17229</w:t>
      </w:r>
      <w:r w:rsidRPr="003D2956">
        <w:rPr>
          <w:rFonts w:eastAsia="等线"/>
          <w:noProof/>
          <w:szCs w:val="24"/>
        </w:rPr>
        <w:t>.</w:t>
      </w:r>
    </w:p>
    <w:p w14:paraId="175B5EBC" w14:textId="1E7A13DE"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sz w:val="24"/>
          <w:szCs w:val="24"/>
        </w:rPr>
        <w:t xml:space="preserve">[S4] </w:t>
      </w:r>
      <w:r w:rsidR="004F7EE9" w:rsidRPr="003D2956">
        <w:rPr>
          <w:rFonts w:ascii="Times New Roman" w:hAnsi="Times New Roman" w:cs="Times New Roman"/>
          <w:sz w:val="24"/>
          <w:szCs w:val="24"/>
        </w:rPr>
        <w:t>J. Shan, T. Ling, K. Davey, Y. Zheng, S.Z. Qiao, Transition‐metal‐doped RuIr bifunctional nanocrystals for overall water splitting in acidic environments, Adv. Mater., 31 (2019) 1900510</w:t>
      </w:r>
      <w:r w:rsidRPr="003D2956">
        <w:rPr>
          <w:rFonts w:ascii="Times New Roman" w:hAnsi="Times New Roman" w:cs="Times New Roman"/>
          <w:sz w:val="24"/>
          <w:szCs w:val="24"/>
        </w:rPr>
        <w:t>.</w:t>
      </w:r>
    </w:p>
    <w:p w14:paraId="274E1104" w14:textId="6ED64E1E"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hint="eastAsia"/>
          <w:sz w:val="24"/>
          <w:szCs w:val="24"/>
        </w:rPr>
        <w:t>[</w:t>
      </w:r>
      <w:r w:rsidRPr="003D2956">
        <w:rPr>
          <w:rFonts w:ascii="Times New Roman" w:hAnsi="Times New Roman" w:cs="Times New Roman"/>
          <w:sz w:val="24"/>
          <w:szCs w:val="24"/>
        </w:rPr>
        <w:t>S5]</w:t>
      </w:r>
      <w:r w:rsidRPr="003D2956">
        <w:rPr>
          <w:rFonts w:ascii="Times New Roman" w:eastAsiaTheme="minorEastAsia" w:hAnsi="Times New Roman" w:cs="Times New Roman"/>
          <w:noProof w:val="0"/>
          <w:sz w:val="24"/>
          <w:szCs w:val="24"/>
        </w:rPr>
        <w:t xml:space="preserve"> </w:t>
      </w:r>
      <w:r w:rsidR="00E373CF" w:rsidRPr="003D2956">
        <w:rPr>
          <w:rFonts w:ascii="Times New Roman" w:hAnsi="Times New Roman" w:cs="Times New Roman"/>
          <w:sz w:val="24"/>
          <w:szCs w:val="24"/>
        </w:rPr>
        <w:t>J. Su, R. Ge, K. Jiang, Y. Dong, F. Hao, Z. Tian, G. Chen, L. Chen, Assembling ultrasmall copper‐doped ruthenium oxide nanocrystals into hollow porous polyhedra: highly robust electrocatalysts for oxygen evolution in acidic media, Adv. Mater., 30 (2018) 1801351</w:t>
      </w:r>
      <w:r w:rsidRPr="003D2956">
        <w:rPr>
          <w:rFonts w:ascii="Times New Roman" w:hAnsi="Times New Roman" w:cs="Times New Roman"/>
          <w:sz w:val="24"/>
          <w:szCs w:val="24"/>
        </w:rPr>
        <w:t>.</w:t>
      </w:r>
    </w:p>
    <w:p w14:paraId="78EF7B33" w14:textId="7C455348"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sz w:val="24"/>
          <w:szCs w:val="24"/>
        </w:rPr>
        <w:t>[</w:t>
      </w:r>
      <w:r w:rsidRPr="003D2956">
        <w:rPr>
          <w:rFonts w:ascii="Times New Roman" w:hAnsi="Times New Roman" w:cs="Times New Roman" w:hint="eastAsia"/>
          <w:sz w:val="24"/>
          <w:szCs w:val="24"/>
        </w:rPr>
        <w:t>S</w:t>
      </w:r>
      <w:r w:rsidRPr="003D2956">
        <w:rPr>
          <w:rFonts w:ascii="Times New Roman" w:hAnsi="Times New Roman" w:cs="Times New Roman"/>
          <w:sz w:val="24"/>
          <w:szCs w:val="24"/>
        </w:rPr>
        <w:t xml:space="preserve">6] </w:t>
      </w:r>
      <w:r w:rsidR="00103FFD" w:rsidRPr="003D2956">
        <w:rPr>
          <w:rFonts w:ascii="Times New Roman" w:hAnsi="Times New Roman" w:cs="Times New Roman"/>
          <w:sz w:val="24"/>
          <w:szCs w:val="24"/>
        </w:rPr>
        <w:t>D. Chen, T. Liu, P. Wang, J. Zhao, C. Zhang, R. Cheng, W. Li, P. Ji, Z. Pu, S. Mu, Ionothermal route to phase-pure RuB</w:t>
      </w:r>
      <w:r w:rsidR="00103FFD" w:rsidRPr="003D2956">
        <w:rPr>
          <w:rFonts w:ascii="Times New Roman" w:hAnsi="Times New Roman" w:cs="Times New Roman"/>
          <w:sz w:val="24"/>
          <w:szCs w:val="24"/>
          <w:vertAlign w:val="subscript"/>
        </w:rPr>
        <w:t>2</w:t>
      </w:r>
      <w:r w:rsidR="00103FFD" w:rsidRPr="003D2956">
        <w:rPr>
          <w:rFonts w:ascii="Times New Roman" w:hAnsi="Times New Roman" w:cs="Times New Roman"/>
          <w:sz w:val="24"/>
          <w:szCs w:val="24"/>
        </w:rPr>
        <w:t xml:space="preserve"> catalysts for efficient oxygen evolution and water splitting in acidic media, </w:t>
      </w:r>
      <w:r w:rsidR="00103FFD" w:rsidRPr="003D2956">
        <w:rPr>
          <w:rFonts w:ascii="Times New Roman" w:hAnsi="Times New Roman" w:cs="Times New Roman"/>
          <w:sz w:val="24"/>
          <w:szCs w:val="24"/>
          <w:lang w:val="de-DE"/>
        </w:rPr>
        <w:t>ACS Energy Lett.</w:t>
      </w:r>
      <w:r w:rsidR="00103FFD" w:rsidRPr="003D2956">
        <w:rPr>
          <w:rFonts w:ascii="Times New Roman" w:hAnsi="Times New Roman" w:cs="Times New Roman"/>
          <w:sz w:val="24"/>
          <w:szCs w:val="24"/>
        </w:rPr>
        <w:t>, 5 (2020) 2909-2915</w:t>
      </w:r>
      <w:r w:rsidRPr="003D2956">
        <w:rPr>
          <w:rFonts w:ascii="Times New Roman" w:hAnsi="Times New Roman" w:cs="Times New Roman"/>
          <w:sz w:val="24"/>
          <w:szCs w:val="24"/>
        </w:rPr>
        <w:t>.</w:t>
      </w:r>
    </w:p>
    <w:p w14:paraId="16564EF0" w14:textId="1B7049ED"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hint="eastAsia"/>
          <w:sz w:val="24"/>
          <w:szCs w:val="24"/>
        </w:rPr>
        <w:t>[</w:t>
      </w:r>
      <w:r w:rsidRPr="003D2956">
        <w:rPr>
          <w:rFonts w:ascii="Times New Roman" w:hAnsi="Times New Roman" w:cs="Times New Roman"/>
          <w:sz w:val="24"/>
          <w:szCs w:val="24"/>
        </w:rPr>
        <w:t>S7]</w:t>
      </w:r>
      <w:r w:rsidRPr="003D2956">
        <w:rPr>
          <w:rFonts w:ascii="Segoe UI" w:eastAsiaTheme="minorEastAsia" w:hAnsi="Segoe UI" w:cs="Segoe UI"/>
          <w:noProof w:val="0"/>
          <w:kern w:val="0"/>
          <w:sz w:val="22"/>
        </w:rPr>
        <w:t xml:space="preserve"> </w:t>
      </w:r>
      <w:r w:rsidR="004B72E8" w:rsidRPr="003D2956">
        <w:rPr>
          <w:rFonts w:ascii="Times New Roman" w:hAnsi="Times New Roman" w:cs="Times New Roman"/>
          <w:sz w:val="24"/>
          <w:szCs w:val="24"/>
        </w:rPr>
        <w:t>T. Bhowmik, M.K. Kundu, S. Barman, Growth of One-Dimensional RuO</w:t>
      </w:r>
      <w:r w:rsidR="004B72E8" w:rsidRPr="003D2956">
        <w:rPr>
          <w:rFonts w:ascii="Times New Roman" w:hAnsi="Times New Roman" w:cs="Times New Roman"/>
          <w:sz w:val="24"/>
          <w:szCs w:val="24"/>
          <w:vertAlign w:val="subscript"/>
        </w:rPr>
        <w:t>2</w:t>
      </w:r>
      <w:r w:rsidR="004B72E8" w:rsidRPr="003D2956">
        <w:rPr>
          <w:rFonts w:ascii="Times New Roman" w:hAnsi="Times New Roman" w:cs="Times New Roman"/>
          <w:sz w:val="24"/>
          <w:szCs w:val="24"/>
        </w:rPr>
        <w:t xml:space="preserve"> Nanowires on g-Carbon Nitride: An Active and Stable Bifunctional Electrocatalyst for Hydrogen and Oxygen Evolution Reactions at All pH Values, ACS Appl</w:t>
      </w:r>
      <w:r w:rsidR="004B72E8" w:rsidRPr="003D2956">
        <w:rPr>
          <w:rFonts w:ascii="Times New Roman" w:hAnsi="Times New Roman" w:cs="Times New Roman" w:hint="eastAsia"/>
          <w:sz w:val="24"/>
          <w:szCs w:val="24"/>
        </w:rPr>
        <w:t>.</w:t>
      </w:r>
      <w:r w:rsidR="004B72E8" w:rsidRPr="003D2956">
        <w:rPr>
          <w:rFonts w:ascii="Times New Roman" w:hAnsi="Times New Roman" w:cs="Times New Roman"/>
          <w:sz w:val="24"/>
          <w:szCs w:val="24"/>
        </w:rPr>
        <w:t xml:space="preserve"> Mater. Interfaces, 8 (2016) 28678-28688</w:t>
      </w:r>
      <w:r w:rsidRPr="003D2956">
        <w:rPr>
          <w:rFonts w:ascii="Times New Roman" w:hAnsi="Times New Roman" w:cs="Times New Roman"/>
          <w:sz w:val="24"/>
          <w:szCs w:val="24"/>
        </w:rPr>
        <w:t>.</w:t>
      </w:r>
    </w:p>
    <w:p w14:paraId="081F06F6" w14:textId="59D182F0"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sz w:val="24"/>
          <w:szCs w:val="24"/>
        </w:rPr>
        <w:lastRenderedPageBreak/>
        <w:t xml:space="preserve">[S8] </w:t>
      </w:r>
      <w:r w:rsidR="006E28F9" w:rsidRPr="003D2956">
        <w:rPr>
          <w:rFonts w:ascii="Times New Roman" w:hAnsi="Times New Roman" w:cs="Times New Roman"/>
          <w:sz w:val="24"/>
          <w:szCs w:val="24"/>
        </w:rPr>
        <w:t xml:space="preserve">S. Niu, X.-P. Kong, S. Li, Y. Zhang, J. Wu, W. Zhao, P. Xu, Low Ru loading RuO2/(Co, Mn) 3O4 nanocomposite with modulated electronic structure for efficient oxygen evolution reaction in acid, </w:t>
      </w:r>
      <w:r w:rsidR="006E28F9" w:rsidRPr="003D2956">
        <w:rPr>
          <w:rFonts w:ascii="Times New Roman" w:hAnsi="Times New Roman" w:cs="Times New Roman"/>
          <w:sz w:val="24"/>
          <w:szCs w:val="24"/>
          <w:lang w:val="de-DE"/>
        </w:rPr>
        <w:t>Appl. Catal. B-Environ.</w:t>
      </w:r>
      <w:r w:rsidR="006E28F9" w:rsidRPr="003D2956">
        <w:rPr>
          <w:rFonts w:ascii="Times New Roman" w:hAnsi="Times New Roman" w:cs="Times New Roman"/>
          <w:sz w:val="24"/>
          <w:szCs w:val="24"/>
        </w:rPr>
        <w:t>, 297 (2021) 120442</w:t>
      </w:r>
      <w:r w:rsidRPr="003D2956">
        <w:rPr>
          <w:rFonts w:ascii="Times New Roman" w:hAnsi="Times New Roman" w:cs="Times New Roman"/>
          <w:sz w:val="24"/>
          <w:szCs w:val="24"/>
        </w:rPr>
        <w:t>.</w:t>
      </w:r>
    </w:p>
    <w:p w14:paraId="295AC091" w14:textId="2EE1B72F"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hint="eastAsia"/>
          <w:sz w:val="24"/>
          <w:szCs w:val="24"/>
        </w:rPr>
        <w:t>[</w:t>
      </w:r>
      <w:r w:rsidRPr="003D2956">
        <w:rPr>
          <w:rFonts w:ascii="Times New Roman" w:hAnsi="Times New Roman" w:cs="Times New Roman"/>
          <w:sz w:val="24"/>
          <w:szCs w:val="24"/>
        </w:rPr>
        <w:t xml:space="preserve">S9] </w:t>
      </w:r>
      <w:r w:rsidR="008F7F1F" w:rsidRPr="003D2956">
        <w:rPr>
          <w:rFonts w:ascii="Times New Roman" w:hAnsi="Times New Roman" w:cs="Times New Roman"/>
          <w:sz w:val="24"/>
          <w:szCs w:val="24"/>
        </w:rPr>
        <w:t>H. Huang, H. Kim, A. Lee, S. Kim, W.-G. Lim, C.-Y. Park, S. Kim, S.-K. Kim, J. Lee, Structure engineering defective and mass transfer-enhanced RuO</w:t>
      </w:r>
      <w:r w:rsidR="008F7F1F" w:rsidRPr="003D2956">
        <w:rPr>
          <w:rFonts w:ascii="Times New Roman" w:hAnsi="Times New Roman" w:cs="Times New Roman"/>
          <w:sz w:val="24"/>
          <w:szCs w:val="24"/>
          <w:vertAlign w:val="subscript"/>
        </w:rPr>
        <w:t>2</w:t>
      </w:r>
      <w:r w:rsidR="008F7F1F" w:rsidRPr="003D2956">
        <w:rPr>
          <w:rFonts w:ascii="Times New Roman" w:hAnsi="Times New Roman" w:cs="Times New Roman"/>
          <w:sz w:val="24"/>
          <w:szCs w:val="24"/>
        </w:rPr>
        <w:t xml:space="preserve"> nanosheets for proton exchange membrane water electrolyzer, Nano Energy, 88 (2021)</w:t>
      </w:r>
      <w:r w:rsidRPr="003D2956">
        <w:rPr>
          <w:rFonts w:ascii="Times New Roman" w:hAnsi="Times New Roman" w:cs="Times New Roman"/>
          <w:sz w:val="24"/>
          <w:szCs w:val="24"/>
        </w:rPr>
        <w:t>.</w:t>
      </w:r>
    </w:p>
    <w:p w14:paraId="199A532B" w14:textId="3ACD0958" w:rsidR="003767F0" w:rsidRPr="003D2956" w:rsidRDefault="003767F0" w:rsidP="00280FF1">
      <w:pPr>
        <w:pStyle w:val="EndNoteBibliography"/>
        <w:spacing w:line="480" w:lineRule="auto"/>
        <w:rPr>
          <w:rFonts w:ascii="Times New Roman" w:hAnsi="Times New Roman" w:cs="Times New Roman"/>
          <w:sz w:val="24"/>
          <w:szCs w:val="24"/>
        </w:rPr>
      </w:pPr>
      <w:r w:rsidRPr="003D2956">
        <w:rPr>
          <w:rFonts w:ascii="Times New Roman" w:hAnsi="Times New Roman" w:cs="Times New Roman" w:hint="eastAsia"/>
          <w:sz w:val="24"/>
          <w:szCs w:val="24"/>
        </w:rPr>
        <w:t>[</w:t>
      </w:r>
      <w:r w:rsidRPr="003D2956">
        <w:rPr>
          <w:rFonts w:ascii="Times New Roman" w:hAnsi="Times New Roman" w:cs="Times New Roman"/>
          <w:sz w:val="24"/>
          <w:szCs w:val="24"/>
        </w:rPr>
        <w:t>S10]</w:t>
      </w:r>
      <w:r w:rsidRPr="003D2956">
        <w:rPr>
          <w:rFonts w:ascii="Segoe UI" w:eastAsiaTheme="minorEastAsia" w:hAnsi="Segoe UI" w:cs="Segoe UI"/>
          <w:noProof w:val="0"/>
          <w:kern w:val="0"/>
          <w:sz w:val="22"/>
        </w:rPr>
        <w:t xml:space="preserve"> </w:t>
      </w:r>
      <w:r w:rsidR="001B3243" w:rsidRPr="003D2956">
        <w:rPr>
          <w:rFonts w:ascii="Times New Roman" w:hAnsi="Times New Roman" w:cs="Times New Roman"/>
          <w:sz w:val="24"/>
          <w:szCs w:val="24"/>
        </w:rPr>
        <w:t>B. Huang, H. Xu, N. Jiang, M. Wang, J. Huang, L. Guan, Tensile‐Strained RuO2 Loaded on Antimony‐Tin Oxide by Fast Quenching for Proton‐Exchange Membrane Water Electrolyzer, Adv. Sci., 9 (2022) 2201654</w:t>
      </w:r>
      <w:r w:rsidRPr="003D2956">
        <w:rPr>
          <w:rFonts w:ascii="Times New Roman" w:hAnsi="Times New Roman" w:cs="Times New Roman"/>
          <w:sz w:val="24"/>
          <w:szCs w:val="24"/>
        </w:rPr>
        <w:t>.</w:t>
      </w:r>
    </w:p>
    <w:p w14:paraId="50755FF4" w14:textId="6E3B397C" w:rsidR="003767F0" w:rsidRPr="003D2956" w:rsidRDefault="003767F0" w:rsidP="00280FF1">
      <w:pPr>
        <w:spacing w:line="480" w:lineRule="auto"/>
        <w:jc w:val="both"/>
        <w:rPr>
          <w:szCs w:val="24"/>
        </w:rPr>
      </w:pPr>
      <w:r w:rsidRPr="003D2956">
        <w:rPr>
          <w:rFonts w:hint="eastAsia"/>
          <w:szCs w:val="24"/>
        </w:rPr>
        <w:t>[</w:t>
      </w:r>
      <w:r w:rsidRPr="003D2956">
        <w:rPr>
          <w:szCs w:val="24"/>
        </w:rPr>
        <w:t>S11]</w:t>
      </w:r>
      <w:r w:rsidRPr="003D2956">
        <w:rPr>
          <w:rFonts w:ascii="Segoe UI" w:hAnsi="Segoe UI" w:cs="Segoe UI"/>
          <w:sz w:val="22"/>
        </w:rPr>
        <w:t xml:space="preserve"> </w:t>
      </w:r>
      <w:r w:rsidR="004B79FC" w:rsidRPr="003D2956">
        <w:rPr>
          <w:szCs w:val="24"/>
        </w:rPr>
        <w:t>Y. Yao, Engineering the electronic structure of single atom Ru sites via compressive strain boosts acidic water oxidation electrocatalysis, Controllable Synthesis and Atomic Scale Regulation of Noble Metal Catalysts, Springer</w:t>
      </w:r>
      <w:r w:rsidR="000C0B5F" w:rsidRPr="003D2956">
        <w:rPr>
          <w:szCs w:val="24"/>
        </w:rPr>
        <w:t xml:space="preserve"> </w:t>
      </w:r>
      <w:r w:rsidR="004B79FC" w:rsidRPr="003D2956">
        <w:rPr>
          <w:szCs w:val="24"/>
        </w:rPr>
        <w:t>2022, pp. 55-92</w:t>
      </w:r>
      <w:r w:rsidRPr="003D2956">
        <w:rPr>
          <w:szCs w:val="24"/>
        </w:rPr>
        <w:t>.</w:t>
      </w:r>
    </w:p>
    <w:p w14:paraId="41EEEA7C" w14:textId="303CB5D1" w:rsidR="003767F0" w:rsidRPr="003D2956" w:rsidRDefault="003767F0" w:rsidP="00280FF1">
      <w:pPr>
        <w:spacing w:line="480" w:lineRule="auto"/>
        <w:jc w:val="both"/>
        <w:rPr>
          <w:szCs w:val="24"/>
        </w:rPr>
      </w:pPr>
      <w:r w:rsidRPr="003D2956">
        <w:rPr>
          <w:szCs w:val="24"/>
        </w:rPr>
        <w:t>[S12]</w:t>
      </w:r>
      <w:r w:rsidRPr="003D2956">
        <w:rPr>
          <w:rFonts w:ascii="Segoe UI" w:hAnsi="Segoe UI" w:cs="Segoe UI"/>
          <w:sz w:val="22"/>
        </w:rPr>
        <w:t xml:space="preserve"> </w:t>
      </w:r>
      <w:r w:rsidR="001C3D88" w:rsidRPr="003D2956">
        <w:rPr>
          <w:szCs w:val="24"/>
        </w:rPr>
        <w:t>Q. Yao, B. Huang, Y. Xu, L. Li, Q. Shao, X. Huang, A chemical etching strategy to improve and stabilize RuO</w:t>
      </w:r>
      <w:r w:rsidR="001C3D88" w:rsidRPr="003D2956">
        <w:rPr>
          <w:szCs w:val="24"/>
          <w:vertAlign w:val="subscript"/>
        </w:rPr>
        <w:t>2</w:t>
      </w:r>
      <w:r w:rsidR="001C3D88" w:rsidRPr="003D2956">
        <w:rPr>
          <w:szCs w:val="24"/>
        </w:rPr>
        <w:t xml:space="preserve">-based </w:t>
      </w:r>
      <w:proofErr w:type="spellStart"/>
      <w:r w:rsidR="001C3D88" w:rsidRPr="003D2956">
        <w:rPr>
          <w:szCs w:val="24"/>
        </w:rPr>
        <w:t>nanoassemblies</w:t>
      </w:r>
      <w:proofErr w:type="spellEnd"/>
      <w:r w:rsidR="001C3D88" w:rsidRPr="003D2956">
        <w:rPr>
          <w:szCs w:val="24"/>
        </w:rPr>
        <w:t xml:space="preserve"> for acidic oxygen evolution, Nano Energy, 84 (2021) 105909</w:t>
      </w:r>
      <w:r w:rsidRPr="003D2956">
        <w:rPr>
          <w:szCs w:val="24"/>
        </w:rPr>
        <w:t>.</w:t>
      </w:r>
    </w:p>
    <w:p w14:paraId="05A65E88" w14:textId="52261C58" w:rsidR="003767F0" w:rsidRPr="003D2956" w:rsidRDefault="003767F0" w:rsidP="00280FF1">
      <w:pPr>
        <w:spacing w:line="480" w:lineRule="auto"/>
        <w:jc w:val="both"/>
        <w:rPr>
          <w:szCs w:val="24"/>
        </w:rPr>
      </w:pPr>
      <w:r w:rsidRPr="003D2956">
        <w:rPr>
          <w:rFonts w:hint="eastAsia"/>
          <w:szCs w:val="24"/>
        </w:rPr>
        <w:t>[</w:t>
      </w:r>
      <w:r w:rsidRPr="003D2956">
        <w:rPr>
          <w:szCs w:val="24"/>
        </w:rPr>
        <w:t>S13]</w:t>
      </w:r>
      <w:r w:rsidRPr="003D2956">
        <w:rPr>
          <w:rFonts w:ascii="Segoe UI" w:hAnsi="Segoe UI" w:cs="Segoe UI"/>
          <w:sz w:val="22"/>
        </w:rPr>
        <w:t xml:space="preserve"> </w:t>
      </w:r>
      <w:r w:rsidR="008370DB" w:rsidRPr="003D2956">
        <w:rPr>
          <w:szCs w:val="24"/>
        </w:rPr>
        <w:t xml:space="preserve">J. Shan, C. Guo, Y. Zhu, S. Chen, L. Song, M. </w:t>
      </w:r>
      <w:proofErr w:type="spellStart"/>
      <w:r w:rsidR="008370DB" w:rsidRPr="003D2956">
        <w:rPr>
          <w:szCs w:val="24"/>
        </w:rPr>
        <w:t>Jaroniec</w:t>
      </w:r>
      <w:proofErr w:type="spellEnd"/>
      <w:r w:rsidR="008370DB" w:rsidRPr="003D2956">
        <w:rPr>
          <w:szCs w:val="24"/>
        </w:rPr>
        <w:t xml:space="preserve">, Y. Zheng, S. Z. </w:t>
      </w:r>
      <w:proofErr w:type="spellStart"/>
      <w:r w:rsidR="008370DB" w:rsidRPr="003D2956">
        <w:rPr>
          <w:szCs w:val="24"/>
        </w:rPr>
        <w:t>Qiao</w:t>
      </w:r>
      <w:proofErr w:type="spellEnd"/>
      <w:r w:rsidR="008370DB" w:rsidRPr="003D2956">
        <w:rPr>
          <w:szCs w:val="24"/>
        </w:rPr>
        <w:t xml:space="preserve">, Charge-redistribution-enhanced nanocrystalline </w:t>
      </w:r>
      <w:proofErr w:type="spellStart"/>
      <w:r w:rsidR="008370DB" w:rsidRPr="003D2956">
        <w:rPr>
          <w:szCs w:val="24"/>
        </w:rPr>
        <w:t>Ru@IrO</w:t>
      </w:r>
      <w:r w:rsidR="008370DB" w:rsidRPr="003D2956">
        <w:rPr>
          <w:szCs w:val="24"/>
          <w:vertAlign w:val="subscript"/>
        </w:rPr>
        <w:t>x</w:t>
      </w:r>
      <w:proofErr w:type="spellEnd"/>
      <w:r w:rsidR="008370DB" w:rsidRPr="003D2956">
        <w:rPr>
          <w:szCs w:val="24"/>
        </w:rPr>
        <w:t xml:space="preserve"> electrocatalysts for oxygen evolution in acidic media, Chem, 5 (2019) 445-459</w:t>
      </w:r>
      <w:r w:rsidRPr="003D2956">
        <w:rPr>
          <w:szCs w:val="24"/>
        </w:rPr>
        <w:t>.</w:t>
      </w:r>
    </w:p>
    <w:p w14:paraId="5A8545D2" w14:textId="2C0463C5" w:rsidR="003767F0" w:rsidRPr="003D2956" w:rsidRDefault="003767F0" w:rsidP="00280FF1">
      <w:pPr>
        <w:spacing w:line="480" w:lineRule="auto"/>
        <w:jc w:val="both"/>
        <w:rPr>
          <w:szCs w:val="24"/>
        </w:rPr>
      </w:pPr>
      <w:r w:rsidRPr="003D2956">
        <w:rPr>
          <w:szCs w:val="24"/>
        </w:rPr>
        <w:t>[S14]</w:t>
      </w:r>
      <w:r w:rsidRPr="003D2956">
        <w:rPr>
          <w:rFonts w:ascii="Segoe UI" w:hAnsi="Segoe UI" w:cs="Segoe UI"/>
          <w:sz w:val="22"/>
        </w:rPr>
        <w:t xml:space="preserve"> </w:t>
      </w:r>
      <w:r w:rsidR="00BD4443" w:rsidRPr="003D2956">
        <w:rPr>
          <w:szCs w:val="24"/>
        </w:rPr>
        <w:t xml:space="preserve">H. S. Park, J. Yang, M.K. Cho, Y. Lee, S. Cho, S. D. </w:t>
      </w:r>
      <w:proofErr w:type="spellStart"/>
      <w:r w:rsidR="00BD4443" w:rsidRPr="003D2956">
        <w:rPr>
          <w:szCs w:val="24"/>
        </w:rPr>
        <w:t>Yim</w:t>
      </w:r>
      <w:proofErr w:type="spellEnd"/>
      <w:r w:rsidR="00BD4443" w:rsidRPr="003D2956">
        <w:rPr>
          <w:szCs w:val="24"/>
        </w:rPr>
        <w:t>, B. S. Kim, J.H. Jang, H.</w:t>
      </w:r>
      <w:r w:rsidR="0078323E" w:rsidRPr="003D2956">
        <w:rPr>
          <w:szCs w:val="24"/>
        </w:rPr>
        <w:t xml:space="preserve"> </w:t>
      </w:r>
      <w:r w:rsidR="00BD4443" w:rsidRPr="003D2956">
        <w:rPr>
          <w:szCs w:val="24"/>
        </w:rPr>
        <w:t>K. Song, RuO</w:t>
      </w:r>
      <w:r w:rsidR="00BD4443" w:rsidRPr="003D2956">
        <w:rPr>
          <w:szCs w:val="24"/>
          <w:vertAlign w:val="subscript"/>
        </w:rPr>
        <w:t>2</w:t>
      </w:r>
      <w:r w:rsidR="00BD4443" w:rsidRPr="003D2956">
        <w:rPr>
          <w:szCs w:val="24"/>
        </w:rPr>
        <w:t xml:space="preserve"> nanocluster as a 4-in-1 electrocatalyst for hydrogen and oxygen electrochemistry, Nano Energy, 55 (2019) 49-58</w:t>
      </w:r>
      <w:r w:rsidRPr="003D2956">
        <w:rPr>
          <w:szCs w:val="24"/>
        </w:rPr>
        <w:t>.</w:t>
      </w:r>
    </w:p>
    <w:p w14:paraId="46902A9C" w14:textId="74046881" w:rsidR="003767F0" w:rsidRPr="003D2956" w:rsidRDefault="003767F0" w:rsidP="00280FF1">
      <w:pPr>
        <w:spacing w:line="480" w:lineRule="auto"/>
        <w:jc w:val="both"/>
        <w:rPr>
          <w:szCs w:val="24"/>
          <w:lang w:eastAsia="zh-CN"/>
        </w:rPr>
      </w:pPr>
      <w:r w:rsidRPr="003D2956">
        <w:rPr>
          <w:rFonts w:hint="eastAsia"/>
          <w:szCs w:val="24"/>
          <w:lang w:eastAsia="zh-CN"/>
        </w:rPr>
        <w:lastRenderedPageBreak/>
        <w:t>[</w:t>
      </w:r>
      <w:r w:rsidRPr="003D2956">
        <w:rPr>
          <w:szCs w:val="24"/>
          <w:lang w:eastAsia="zh-CN"/>
        </w:rPr>
        <w:t>S15]</w:t>
      </w:r>
      <w:r w:rsidRPr="003D2956">
        <w:rPr>
          <w:kern w:val="2"/>
          <w:szCs w:val="24"/>
          <w:lang w:eastAsia="zh-CN"/>
        </w:rPr>
        <w:t xml:space="preserve"> </w:t>
      </w:r>
      <w:r w:rsidR="00F555E0" w:rsidRPr="003D2956">
        <w:rPr>
          <w:szCs w:val="24"/>
          <w:lang w:eastAsia="zh-CN"/>
        </w:rPr>
        <w:t xml:space="preserve">L. Cao, Q. Luo, J. Chen, L. Wang, Y. Lin, H. Wang, X. Liu, X. Shen, W. Zhang, W. Liu, Z. Qi, Z. Jiang, J. Yang, T. Yao, Dynamic oxygen adsorption on single-atomic Ruthenium catalyst with high performance for acidic oxygen evolution reaction, Nat. </w:t>
      </w:r>
      <w:proofErr w:type="spellStart"/>
      <w:r w:rsidR="00F555E0" w:rsidRPr="003D2956">
        <w:rPr>
          <w:szCs w:val="24"/>
          <w:lang w:eastAsia="zh-CN"/>
        </w:rPr>
        <w:t>Commun</w:t>
      </w:r>
      <w:proofErr w:type="spellEnd"/>
      <w:r w:rsidR="00F555E0" w:rsidRPr="003D2956">
        <w:rPr>
          <w:szCs w:val="24"/>
          <w:lang w:eastAsia="zh-CN"/>
        </w:rPr>
        <w:t>., 10 (2019) 4849</w:t>
      </w:r>
      <w:r w:rsidRPr="003D2956">
        <w:rPr>
          <w:szCs w:val="24"/>
          <w:lang w:eastAsia="zh-CN"/>
        </w:rPr>
        <w:t>.</w:t>
      </w:r>
    </w:p>
    <w:p w14:paraId="32E0848B" w14:textId="45CDE2CB" w:rsidR="00C66ED5" w:rsidRPr="003D2956" w:rsidRDefault="00C66ED5" w:rsidP="00C66ED5">
      <w:pPr>
        <w:spacing w:line="480" w:lineRule="auto"/>
        <w:jc w:val="both"/>
        <w:rPr>
          <w:szCs w:val="24"/>
          <w:lang w:eastAsia="zh-CN"/>
        </w:rPr>
      </w:pPr>
      <w:r w:rsidRPr="003D2956">
        <w:rPr>
          <w:rFonts w:hint="eastAsia"/>
          <w:szCs w:val="24"/>
          <w:lang w:eastAsia="zh-CN"/>
        </w:rPr>
        <w:t>[</w:t>
      </w:r>
      <w:r w:rsidRPr="003D2956">
        <w:rPr>
          <w:szCs w:val="24"/>
          <w:lang w:eastAsia="zh-CN"/>
        </w:rPr>
        <w:t>S16]</w:t>
      </w:r>
      <w:r w:rsidRPr="003D2956">
        <w:rPr>
          <w:kern w:val="2"/>
          <w:szCs w:val="24"/>
          <w:lang w:eastAsia="zh-CN"/>
        </w:rPr>
        <w:t xml:space="preserve"> </w:t>
      </w:r>
      <w:r w:rsidR="00046623" w:rsidRPr="003D2956">
        <w:rPr>
          <w:szCs w:val="24"/>
          <w:lang w:eastAsia="zh-CN"/>
        </w:rPr>
        <w:t xml:space="preserve">Z. Wang, Z. Zheng, Y. </w:t>
      </w:r>
      <w:proofErr w:type="spellStart"/>
      <w:r w:rsidR="00046623" w:rsidRPr="003D2956">
        <w:rPr>
          <w:szCs w:val="24"/>
          <w:lang w:eastAsia="zh-CN"/>
        </w:rPr>
        <w:t>Xue</w:t>
      </w:r>
      <w:proofErr w:type="spellEnd"/>
      <w:r w:rsidR="00046623" w:rsidRPr="003D2956">
        <w:rPr>
          <w:szCs w:val="24"/>
          <w:lang w:eastAsia="zh-CN"/>
        </w:rPr>
        <w:t xml:space="preserve">, F. He, Y. Li, Acidic water oxidation on quantum dots of </w:t>
      </w:r>
      <w:proofErr w:type="spellStart"/>
      <w:r w:rsidR="00046623" w:rsidRPr="003D2956">
        <w:rPr>
          <w:szCs w:val="24"/>
          <w:lang w:eastAsia="zh-CN"/>
        </w:rPr>
        <w:t>IrO</w:t>
      </w:r>
      <w:r w:rsidR="00046623" w:rsidRPr="003D2956">
        <w:rPr>
          <w:szCs w:val="24"/>
          <w:vertAlign w:val="subscript"/>
          <w:lang w:eastAsia="zh-CN"/>
        </w:rPr>
        <w:t>x</w:t>
      </w:r>
      <w:proofErr w:type="spellEnd"/>
      <w:r w:rsidR="00046623" w:rsidRPr="003D2956">
        <w:rPr>
          <w:szCs w:val="24"/>
          <w:lang w:eastAsia="zh-CN"/>
        </w:rPr>
        <w:t>/</w:t>
      </w:r>
      <w:proofErr w:type="spellStart"/>
      <w:r w:rsidR="00046623" w:rsidRPr="003D2956">
        <w:rPr>
          <w:szCs w:val="24"/>
          <w:lang w:eastAsia="zh-CN"/>
        </w:rPr>
        <w:t>graphdiyne</w:t>
      </w:r>
      <w:proofErr w:type="spellEnd"/>
      <w:r w:rsidR="00046623" w:rsidRPr="003D2956">
        <w:rPr>
          <w:szCs w:val="24"/>
          <w:lang w:eastAsia="zh-CN"/>
        </w:rPr>
        <w:t>, Adv. Energy Mater., 11 (2021) 2101138</w:t>
      </w:r>
      <w:r w:rsidRPr="003D2956">
        <w:rPr>
          <w:szCs w:val="24"/>
          <w:lang w:eastAsia="zh-CN"/>
        </w:rPr>
        <w:t>.</w:t>
      </w:r>
    </w:p>
    <w:p w14:paraId="291F8DE1" w14:textId="3A492033" w:rsidR="00C66ED5" w:rsidRPr="003D2956" w:rsidRDefault="00C66ED5" w:rsidP="00C66ED5">
      <w:pPr>
        <w:spacing w:line="480" w:lineRule="auto"/>
        <w:jc w:val="both"/>
        <w:rPr>
          <w:szCs w:val="24"/>
          <w:lang w:eastAsia="zh-CN"/>
        </w:rPr>
      </w:pPr>
      <w:r w:rsidRPr="003D2956">
        <w:rPr>
          <w:rFonts w:hint="eastAsia"/>
          <w:szCs w:val="24"/>
          <w:lang w:eastAsia="zh-CN"/>
        </w:rPr>
        <w:t>[</w:t>
      </w:r>
      <w:r w:rsidRPr="003D2956">
        <w:rPr>
          <w:szCs w:val="24"/>
          <w:lang w:eastAsia="zh-CN"/>
        </w:rPr>
        <w:t>S17]</w:t>
      </w:r>
      <w:r w:rsidRPr="003D2956">
        <w:rPr>
          <w:kern w:val="2"/>
          <w:szCs w:val="24"/>
          <w:lang w:eastAsia="zh-CN"/>
        </w:rPr>
        <w:t xml:space="preserve"> </w:t>
      </w:r>
      <w:r w:rsidR="00CE5E07" w:rsidRPr="003D2956">
        <w:rPr>
          <w:szCs w:val="24"/>
          <w:lang w:eastAsia="zh-CN"/>
        </w:rPr>
        <w:t xml:space="preserve">X. Zheng, J. Yang, Z. Xu, Q. Wang, J. Wu, E. Zhang, S. Dou, W. Sun, D. Wang, Y. Li, Ru–Co Pair Sites Catalyst Boosts the Energetics for the Oxygen Evolution Reaction, </w:t>
      </w:r>
      <w:proofErr w:type="spellStart"/>
      <w:r w:rsidR="00CE5E07" w:rsidRPr="003D2956">
        <w:rPr>
          <w:szCs w:val="24"/>
          <w:lang w:eastAsia="zh-CN"/>
        </w:rPr>
        <w:t>Angew</w:t>
      </w:r>
      <w:proofErr w:type="spellEnd"/>
      <w:r w:rsidR="00CE5E07" w:rsidRPr="003D2956">
        <w:rPr>
          <w:szCs w:val="24"/>
          <w:lang w:eastAsia="zh-CN"/>
        </w:rPr>
        <w:t>. Chem. Int. Ed., 61 (2022) e202205946.</w:t>
      </w:r>
    </w:p>
    <w:p w14:paraId="7BF94484" w14:textId="1E68066C" w:rsidR="00C66ED5" w:rsidRPr="003D2956" w:rsidRDefault="00C66ED5" w:rsidP="00C66ED5">
      <w:pPr>
        <w:spacing w:line="480" w:lineRule="auto"/>
        <w:jc w:val="both"/>
        <w:rPr>
          <w:szCs w:val="24"/>
          <w:lang w:eastAsia="zh-CN"/>
        </w:rPr>
      </w:pPr>
      <w:r w:rsidRPr="003D2956">
        <w:rPr>
          <w:rFonts w:hint="eastAsia"/>
          <w:szCs w:val="24"/>
          <w:lang w:eastAsia="zh-CN"/>
        </w:rPr>
        <w:t>[</w:t>
      </w:r>
      <w:r w:rsidRPr="003D2956">
        <w:rPr>
          <w:szCs w:val="24"/>
          <w:lang w:eastAsia="zh-CN"/>
        </w:rPr>
        <w:t>S18]</w:t>
      </w:r>
      <w:r w:rsidRPr="003D2956">
        <w:rPr>
          <w:kern w:val="2"/>
          <w:szCs w:val="24"/>
          <w:lang w:eastAsia="zh-CN"/>
        </w:rPr>
        <w:t xml:space="preserve"> </w:t>
      </w:r>
      <w:r w:rsidR="00107D83" w:rsidRPr="003D2956">
        <w:rPr>
          <w:szCs w:val="24"/>
          <w:lang w:eastAsia="zh-CN"/>
        </w:rPr>
        <w:t>C. Liu, B. Sheng, Q. Zhou, D. Cao, H. Ding, S. Chen, P. Zhang, Y. Xia, X. Wu, L. Song, Motivating Ru-</w:t>
      </w:r>
      <w:proofErr w:type="spellStart"/>
      <w:r w:rsidR="00107D83" w:rsidRPr="003D2956">
        <w:rPr>
          <w:szCs w:val="24"/>
          <w:lang w:eastAsia="zh-CN"/>
        </w:rPr>
        <w:t>bri</w:t>
      </w:r>
      <w:proofErr w:type="spellEnd"/>
      <w:r w:rsidR="00107D83" w:rsidRPr="003D2956">
        <w:rPr>
          <w:szCs w:val="24"/>
          <w:lang w:eastAsia="zh-CN"/>
        </w:rPr>
        <w:t xml:space="preserve"> site of RuO</w:t>
      </w:r>
      <w:r w:rsidR="00107D83" w:rsidRPr="003D2956">
        <w:rPr>
          <w:szCs w:val="24"/>
          <w:vertAlign w:val="subscript"/>
          <w:lang w:eastAsia="zh-CN"/>
        </w:rPr>
        <w:t>2</w:t>
      </w:r>
      <w:r w:rsidR="00107D83" w:rsidRPr="003D2956">
        <w:rPr>
          <w:szCs w:val="24"/>
          <w:lang w:eastAsia="zh-CN"/>
        </w:rPr>
        <w:t xml:space="preserve"> by boron doping toward high performance acidic and neutral oxygen evolution, Nano Res</w:t>
      </w:r>
      <w:r w:rsidR="00074F31" w:rsidRPr="003D2956">
        <w:rPr>
          <w:szCs w:val="24"/>
          <w:lang w:eastAsia="zh-CN"/>
        </w:rPr>
        <w:t>.</w:t>
      </w:r>
      <w:r w:rsidR="00107D83" w:rsidRPr="003D2956">
        <w:rPr>
          <w:szCs w:val="24"/>
          <w:lang w:eastAsia="zh-CN"/>
        </w:rPr>
        <w:t>, (2022) 1-8</w:t>
      </w:r>
      <w:r w:rsidR="00582322" w:rsidRPr="003D2956">
        <w:rPr>
          <w:szCs w:val="24"/>
          <w:lang w:eastAsia="zh-CN"/>
        </w:rPr>
        <w:t>.</w:t>
      </w:r>
    </w:p>
    <w:p w14:paraId="2712725C" w14:textId="0A482679" w:rsidR="00C66ED5" w:rsidRPr="003D2956" w:rsidRDefault="00C66ED5" w:rsidP="00C66ED5">
      <w:pPr>
        <w:spacing w:line="480" w:lineRule="auto"/>
        <w:jc w:val="both"/>
        <w:rPr>
          <w:szCs w:val="24"/>
          <w:lang w:eastAsia="zh-CN"/>
        </w:rPr>
      </w:pPr>
      <w:r w:rsidRPr="003D2956">
        <w:rPr>
          <w:rFonts w:hint="eastAsia"/>
          <w:szCs w:val="24"/>
          <w:lang w:eastAsia="zh-CN"/>
        </w:rPr>
        <w:t>[</w:t>
      </w:r>
      <w:r w:rsidRPr="003D2956">
        <w:rPr>
          <w:szCs w:val="24"/>
          <w:lang w:eastAsia="zh-CN"/>
        </w:rPr>
        <w:t>S19]</w:t>
      </w:r>
      <w:r w:rsidRPr="003D2956">
        <w:rPr>
          <w:kern w:val="2"/>
          <w:szCs w:val="24"/>
          <w:lang w:eastAsia="zh-CN"/>
        </w:rPr>
        <w:t xml:space="preserve"> </w:t>
      </w:r>
      <w:r w:rsidR="00CF7DE2" w:rsidRPr="003D2956">
        <w:rPr>
          <w:szCs w:val="24"/>
          <w:lang w:eastAsia="zh-CN"/>
        </w:rPr>
        <w:t xml:space="preserve">L. </w:t>
      </w:r>
      <w:proofErr w:type="spellStart"/>
      <w:r w:rsidR="00CF7DE2" w:rsidRPr="003D2956">
        <w:rPr>
          <w:szCs w:val="24"/>
          <w:lang w:eastAsia="zh-CN"/>
        </w:rPr>
        <w:t>Gloag</w:t>
      </w:r>
      <w:proofErr w:type="spellEnd"/>
      <w:r w:rsidR="00CF7DE2" w:rsidRPr="003D2956">
        <w:rPr>
          <w:szCs w:val="24"/>
          <w:lang w:eastAsia="zh-CN"/>
        </w:rPr>
        <w:t xml:space="preserve">, T.M. Benedetti, S. Cheong, C.E. </w:t>
      </w:r>
      <w:proofErr w:type="spellStart"/>
      <w:r w:rsidR="00CF7DE2" w:rsidRPr="003D2956">
        <w:rPr>
          <w:szCs w:val="24"/>
          <w:lang w:eastAsia="zh-CN"/>
        </w:rPr>
        <w:t>Marjo</w:t>
      </w:r>
      <w:proofErr w:type="spellEnd"/>
      <w:r w:rsidR="00CF7DE2" w:rsidRPr="003D2956">
        <w:rPr>
          <w:szCs w:val="24"/>
          <w:lang w:eastAsia="zh-CN"/>
        </w:rPr>
        <w:t xml:space="preserve">, J.J. Gooding, R.D. Tilley, Cubic-Core Hexagonal-Branch Mechanism </w:t>
      </w:r>
      <w:proofErr w:type="gramStart"/>
      <w:r w:rsidR="00CF7DE2" w:rsidRPr="003D2956">
        <w:rPr>
          <w:szCs w:val="24"/>
          <w:lang w:eastAsia="zh-CN"/>
        </w:rPr>
        <w:t>To</w:t>
      </w:r>
      <w:proofErr w:type="gramEnd"/>
      <w:r w:rsidR="00CF7DE2" w:rsidRPr="003D2956">
        <w:rPr>
          <w:szCs w:val="24"/>
          <w:lang w:eastAsia="zh-CN"/>
        </w:rPr>
        <w:t xml:space="preserve"> Synthesize Bimetallic Branched and Faceted Pd-Ru Nanoparticles for Oxygen Evolution Reaction Electrocatalysis, J. Am. Chem. Soc., 140 (2018) 12760-12764</w:t>
      </w:r>
      <w:r w:rsidR="00642BB5" w:rsidRPr="003D2956">
        <w:rPr>
          <w:szCs w:val="24"/>
          <w:lang w:eastAsia="zh-CN"/>
        </w:rPr>
        <w:t>.</w:t>
      </w:r>
    </w:p>
    <w:p w14:paraId="6648944B" w14:textId="56C1A68B" w:rsidR="00C66ED5" w:rsidRPr="003D2956" w:rsidRDefault="00C66ED5" w:rsidP="00C66ED5">
      <w:pPr>
        <w:spacing w:line="480" w:lineRule="auto"/>
        <w:jc w:val="both"/>
        <w:rPr>
          <w:szCs w:val="24"/>
          <w:lang w:eastAsia="zh-CN"/>
        </w:rPr>
      </w:pPr>
      <w:r w:rsidRPr="003D2956">
        <w:rPr>
          <w:rFonts w:hint="eastAsia"/>
          <w:szCs w:val="24"/>
          <w:lang w:eastAsia="zh-CN"/>
        </w:rPr>
        <w:t>[</w:t>
      </w:r>
      <w:r w:rsidRPr="003D2956">
        <w:rPr>
          <w:szCs w:val="24"/>
          <w:lang w:eastAsia="zh-CN"/>
        </w:rPr>
        <w:t>S20]</w:t>
      </w:r>
      <w:r w:rsidRPr="003D2956">
        <w:rPr>
          <w:kern w:val="2"/>
          <w:szCs w:val="24"/>
          <w:lang w:eastAsia="zh-CN"/>
        </w:rPr>
        <w:t xml:space="preserve"> </w:t>
      </w:r>
      <w:r w:rsidR="001D4D0E" w:rsidRPr="003D2956">
        <w:rPr>
          <w:szCs w:val="24"/>
          <w:lang w:eastAsia="zh-CN"/>
        </w:rPr>
        <w:t xml:space="preserve">K. Wang, Y. Wang, B. Yang, Z. Li, X. Qin, Q. Zhang, L. Lei, M. </w:t>
      </w:r>
      <w:proofErr w:type="spellStart"/>
      <w:r w:rsidR="001D4D0E" w:rsidRPr="003D2956">
        <w:rPr>
          <w:szCs w:val="24"/>
          <w:lang w:eastAsia="zh-CN"/>
        </w:rPr>
        <w:t>Qiu</w:t>
      </w:r>
      <w:proofErr w:type="spellEnd"/>
      <w:r w:rsidR="001D4D0E" w:rsidRPr="003D2956">
        <w:rPr>
          <w:szCs w:val="24"/>
          <w:lang w:eastAsia="zh-CN"/>
        </w:rPr>
        <w:t xml:space="preserve">, G. Wu, Y. Hou, </w:t>
      </w:r>
      <w:proofErr w:type="gramStart"/>
      <w:r w:rsidR="001D4D0E" w:rsidRPr="003D2956">
        <w:rPr>
          <w:szCs w:val="24"/>
          <w:lang w:eastAsia="zh-CN"/>
        </w:rPr>
        <w:t>Highly</w:t>
      </w:r>
      <w:proofErr w:type="gramEnd"/>
      <w:r w:rsidR="001D4D0E" w:rsidRPr="003D2956">
        <w:rPr>
          <w:szCs w:val="24"/>
          <w:lang w:eastAsia="zh-CN"/>
        </w:rPr>
        <w:t xml:space="preserve"> active ruthenium sites stabilized by modulating electron-feeding for sustainable acidic oxygen-evolution electrocatalysis, </w:t>
      </w:r>
      <w:proofErr w:type="spellStart"/>
      <w:r w:rsidR="001D4D0E" w:rsidRPr="003D2956">
        <w:rPr>
          <w:szCs w:val="24"/>
          <w:lang w:eastAsia="zh-CN"/>
        </w:rPr>
        <w:t>Energ</w:t>
      </w:r>
      <w:proofErr w:type="spellEnd"/>
      <w:r w:rsidR="001D4D0E" w:rsidRPr="003D2956">
        <w:rPr>
          <w:szCs w:val="24"/>
          <w:lang w:eastAsia="zh-CN"/>
        </w:rPr>
        <w:t>. Environ. Sci., (2022).</w:t>
      </w:r>
    </w:p>
    <w:p w14:paraId="682A1E7D" w14:textId="77777777" w:rsidR="00C66ED5" w:rsidRPr="003D2956" w:rsidRDefault="00C66ED5" w:rsidP="00280FF1">
      <w:pPr>
        <w:spacing w:line="480" w:lineRule="auto"/>
        <w:jc w:val="both"/>
        <w:rPr>
          <w:szCs w:val="24"/>
          <w:lang w:eastAsia="zh-CN"/>
        </w:rPr>
      </w:pPr>
    </w:p>
    <w:sectPr w:rsidR="00C66ED5" w:rsidRPr="003D2956" w:rsidSect="00E853D5">
      <w:headerReference w:type="default" r:id="rId11"/>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F0BD6" w14:textId="77777777" w:rsidR="005B15FC" w:rsidRDefault="005B15FC">
      <w:r>
        <w:separator/>
      </w:r>
    </w:p>
  </w:endnote>
  <w:endnote w:type="continuationSeparator" w:id="0">
    <w:p w14:paraId="3C05CEC7" w14:textId="77777777" w:rsidR="005B15FC" w:rsidRDefault="005B1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OT1ef757c0">
    <w:altName w:val="微软雅黑"/>
    <w:charset w:val="86"/>
    <w:family w:val="auto"/>
    <w:pitch w:val="default"/>
    <w:sig w:usb0="00000003" w:usb1="00000000" w:usb2="00000010" w:usb3="00000000" w:csb0="00040001"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64A59D8A" w:rsidR="00F125EE" w:rsidRDefault="00114193">
    <w:pPr>
      <w:pStyle w:val="aff1"/>
      <w:jc w:val="right"/>
    </w:pPr>
    <w:r>
      <w:fldChar w:fldCharType="begin"/>
    </w:r>
    <w:r>
      <w:instrText xml:space="preserve"> PAGE   \* MERGEFORMAT </w:instrText>
    </w:r>
    <w:r>
      <w:fldChar w:fldCharType="separate"/>
    </w:r>
    <w:r w:rsidR="00D74A03">
      <w:rPr>
        <w:noProof/>
      </w:rPr>
      <w:t>11</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DC823" w14:textId="77777777" w:rsidR="005B15FC" w:rsidRDefault="005B15FC">
      <w:r>
        <w:separator/>
      </w:r>
    </w:p>
  </w:footnote>
  <w:footnote w:type="continuationSeparator" w:id="0">
    <w:p w14:paraId="059B6301" w14:textId="77777777" w:rsidR="005B15FC" w:rsidRDefault="005B15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wMLA0s7Q0tDQ1MjVR0lEKTi0uzszPAykwNKwFAD8OE2EtAAAA"/>
  </w:docVars>
  <w:rsids>
    <w:rsidRoot w:val="002C030F"/>
    <w:rsid w:val="00004716"/>
    <w:rsid w:val="00015F74"/>
    <w:rsid w:val="00016808"/>
    <w:rsid w:val="00026B81"/>
    <w:rsid w:val="00043F26"/>
    <w:rsid w:val="00046623"/>
    <w:rsid w:val="00052AA0"/>
    <w:rsid w:val="00065EBD"/>
    <w:rsid w:val="00074F31"/>
    <w:rsid w:val="00080F6E"/>
    <w:rsid w:val="00083B44"/>
    <w:rsid w:val="000850DC"/>
    <w:rsid w:val="000A644F"/>
    <w:rsid w:val="000A65C3"/>
    <w:rsid w:val="000B1C36"/>
    <w:rsid w:val="000B72FF"/>
    <w:rsid w:val="000C0B5F"/>
    <w:rsid w:val="000C2771"/>
    <w:rsid w:val="000C4655"/>
    <w:rsid w:val="000C77F7"/>
    <w:rsid w:val="000C7801"/>
    <w:rsid w:val="000D46F4"/>
    <w:rsid w:val="000D471A"/>
    <w:rsid w:val="000E513F"/>
    <w:rsid w:val="000F0DCE"/>
    <w:rsid w:val="000F1F1C"/>
    <w:rsid w:val="000F6BE3"/>
    <w:rsid w:val="00103FFD"/>
    <w:rsid w:val="00107D83"/>
    <w:rsid w:val="0011145D"/>
    <w:rsid w:val="00112C5B"/>
    <w:rsid w:val="00114193"/>
    <w:rsid w:val="00115A38"/>
    <w:rsid w:val="0011687B"/>
    <w:rsid w:val="001226CF"/>
    <w:rsid w:val="00124F82"/>
    <w:rsid w:val="00125C9E"/>
    <w:rsid w:val="001311F7"/>
    <w:rsid w:val="00132275"/>
    <w:rsid w:val="001377FB"/>
    <w:rsid w:val="001414D8"/>
    <w:rsid w:val="001444B9"/>
    <w:rsid w:val="00150258"/>
    <w:rsid w:val="001520C2"/>
    <w:rsid w:val="0016337A"/>
    <w:rsid w:val="00164269"/>
    <w:rsid w:val="001644B8"/>
    <w:rsid w:val="00170A58"/>
    <w:rsid w:val="00175C4A"/>
    <w:rsid w:val="00176C4F"/>
    <w:rsid w:val="00181468"/>
    <w:rsid w:val="00182DAD"/>
    <w:rsid w:val="00185674"/>
    <w:rsid w:val="00190BB0"/>
    <w:rsid w:val="0019595B"/>
    <w:rsid w:val="001A1BDE"/>
    <w:rsid w:val="001A1D69"/>
    <w:rsid w:val="001A2322"/>
    <w:rsid w:val="001A7B73"/>
    <w:rsid w:val="001B3243"/>
    <w:rsid w:val="001C0165"/>
    <w:rsid w:val="001C3D88"/>
    <w:rsid w:val="001D000F"/>
    <w:rsid w:val="001D4D0E"/>
    <w:rsid w:val="001E5163"/>
    <w:rsid w:val="001E5807"/>
    <w:rsid w:val="001F0876"/>
    <w:rsid w:val="001F167C"/>
    <w:rsid w:val="001F5E91"/>
    <w:rsid w:val="00202522"/>
    <w:rsid w:val="002077B9"/>
    <w:rsid w:val="00262D72"/>
    <w:rsid w:val="00263D64"/>
    <w:rsid w:val="002728E8"/>
    <w:rsid w:val="00275B1D"/>
    <w:rsid w:val="00277484"/>
    <w:rsid w:val="00280FF1"/>
    <w:rsid w:val="002826CD"/>
    <w:rsid w:val="0028555D"/>
    <w:rsid w:val="00294FBB"/>
    <w:rsid w:val="00296188"/>
    <w:rsid w:val="002A3E85"/>
    <w:rsid w:val="002B53F0"/>
    <w:rsid w:val="002C030F"/>
    <w:rsid w:val="002C48EF"/>
    <w:rsid w:val="002D06D4"/>
    <w:rsid w:val="002D3D21"/>
    <w:rsid w:val="002D5E9E"/>
    <w:rsid w:val="002D7CEE"/>
    <w:rsid w:val="002F1BA4"/>
    <w:rsid w:val="002F2DA3"/>
    <w:rsid w:val="0030269F"/>
    <w:rsid w:val="003042FD"/>
    <w:rsid w:val="00312CB3"/>
    <w:rsid w:val="00313AEE"/>
    <w:rsid w:val="003167D0"/>
    <w:rsid w:val="0032079B"/>
    <w:rsid w:val="00320F3D"/>
    <w:rsid w:val="00324107"/>
    <w:rsid w:val="00325295"/>
    <w:rsid w:val="003261C6"/>
    <w:rsid w:val="00331742"/>
    <w:rsid w:val="00331D75"/>
    <w:rsid w:val="0033672C"/>
    <w:rsid w:val="00355362"/>
    <w:rsid w:val="00363E44"/>
    <w:rsid w:val="003720CA"/>
    <w:rsid w:val="00376266"/>
    <w:rsid w:val="003767F0"/>
    <w:rsid w:val="00382151"/>
    <w:rsid w:val="00382BE0"/>
    <w:rsid w:val="00387506"/>
    <w:rsid w:val="00387B64"/>
    <w:rsid w:val="00390A5E"/>
    <w:rsid w:val="00392ED7"/>
    <w:rsid w:val="00393250"/>
    <w:rsid w:val="003940FF"/>
    <w:rsid w:val="00395E86"/>
    <w:rsid w:val="003A2FD8"/>
    <w:rsid w:val="003B40E6"/>
    <w:rsid w:val="003B4308"/>
    <w:rsid w:val="003D09E7"/>
    <w:rsid w:val="003D1AF0"/>
    <w:rsid w:val="003D2956"/>
    <w:rsid w:val="003E74FB"/>
    <w:rsid w:val="003F1050"/>
    <w:rsid w:val="003F5317"/>
    <w:rsid w:val="003F6E14"/>
    <w:rsid w:val="00404522"/>
    <w:rsid w:val="00405336"/>
    <w:rsid w:val="0041593A"/>
    <w:rsid w:val="00417573"/>
    <w:rsid w:val="004225BB"/>
    <w:rsid w:val="00426C5A"/>
    <w:rsid w:val="00427894"/>
    <w:rsid w:val="00435234"/>
    <w:rsid w:val="00437A81"/>
    <w:rsid w:val="004445B3"/>
    <w:rsid w:val="00450493"/>
    <w:rsid w:val="00454190"/>
    <w:rsid w:val="00455C11"/>
    <w:rsid w:val="00456AFF"/>
    <w:rsid w:val="004571D5"/>
    <w:rsid w:val="00461D66"/>
    <w:rsid w:val="00461D81"/>
    <w:rsid w:val="0046356B"/>
    <w:rsid w:val="00464BE4"/>
    <w:rsid w:val="004650A9"/>
    <w:rsid w:val="0047078B"/>
    <w:rsid w:val="00477182"/>
    <w:rsid w:val="004777F1"/>
    <w:rsid w:val="004779CB"/>
    <w:rsid w:val="004900EE"/>
    <w:rsid w:val="00496093"/>
    <w:rsid w:val="004A26F0"/>
    <w:rsid w:val="004A4517"/>
    <w:rsid w:val="004A45F9"/>
    <w:rsid w:val="004B474B"/>
    <w:rsid w:val="004B72E8"/>
    <w:rsid w:val="004B79FC"/>
    <w:rsid w:val="004C6AFE"/>
    <w:rsid w:val="004D5126"/>
    <w:rsid w:val="004D58D4"/>
    <w:rsid w:val="004E42D8"/>
    <w:rsid w:val="004E54D0"/>
    <w:rsid w:val="004E7BA2"/>
    <w:rsid w:val="004F1292"/>
    <w:rsid w:val="004F32DB"/>
    <w:rsid w:val="004F7EDF"/>
    <w:rsid w:val="004F7EE9"/>
    <w:rsid w:val="005001AC"/>
    <w:rsid w:val="00507C43"/>
    <w:rsid w:val="00512666"/>
    <w:rsid w:val="00514B62"/>
    <w:rsid w:val="005221C1"/>
    <w:rsid w:val="00527D71"/>
    <w:rsid w:val="00531B57"/>
    <w:rsid w:val="00542309"/>
    <w:rsid w:val="0054302E"/>
    <w:rsid w:val="0054560B"/>
    <w:rsid w:val="00547696"/>
    <w:rsid w:val="005520A8"/>
    <w:rsid w:val="005529EA"/>
    <w:rsid w:val="005607DD"/>
    <w:rsid w:val="00577C5F"/>
    <w:rsid w:val="00582322"/>
    <w:rsid w:val="00584983"/>
    <w:rsid w:val="00590A5B"/>
    <w:rsid w:val="005A558C"/>
    <w:rsid w:val="005B0306"/>
    <w:rsid w:val="005B15FC"/>
    <w:rsid w:val="005B67F8"/>
    <w:rsid w:val="005B6F5A"/>
    <w:rsid w:val="005E28F8"/>
    <w:rsid w:val="005E6513"/>
    <w:rsid w:val="00603E0D"/>
    <w:rsid w:val="0061241F"/>
    <w:rsid w:val="006314CE"/>
    <w:rsid w:val="00640E10"/>
    <w:rsid w:val="00642BB5"/>
    <w:rsid w:val="00651114"/>
    <w:rsid w:val="00664560"/>
    <w:rsid w:val="00666851"/>
    <w:rsid w:val="00666CDE"/>
    <w:rsid w:val="00667598"/>
    <w:rsid w:val="00670299"/>
    <w:rsid w:val="006723AD"/>
    <w:rsid w:val="006725A9"/>
    <w:rsid w:val="00685447"/>
    <w:rsid w:val="00691985"/>
    <w:rsid w:val="006921B0"/>
    <w:rsid w:val="00694E19"/>
    <w:rsid w:val="0069601F"/>
    <w:rsid w:val="006A1B3C"/>
    <w:rsid w:val="006A1B64"/>
    <w:rsid w:val="006A517C"/>
    <w:rsid w:val="006A5854"/>
    <w:rsid w:val="006B2941"/>
    <w:rsid w:val="006C4ACE"/>
    <w:rsid w:val="006C6C8D"/>
    <w:rsid w:val="006D0816"/>
    <w:rsid w:val="006D1749"/>
    <w:rsid w:val="006E28F9"/>
    <w:rsid w:val="006E3491"/>
    <w:rsid w:val="006E4F2D"/>
    <w:rsid w:val="006F3680"/>
    <w:rsid w:val="006F5EAD"/>
    <w:rsid w:val="006F601E"/>
    <w:rsid w:val="006F788A"/>
    <w:rsid w:val="00706643"/>
    <w:rsid w:val="00707310"/>
    <w:rsid w:val="007108F5"/>
    <w:rsid w:val="007120FC"/>
    <w:rsid w:val="00713E5B"/>
    <w:rsid w:val="007219E9"/>
    <w:rsid w:val="00730DAC"/>
    <w:rsid w:val="00732394"/>
    <w:rsid w:val="00733636"/>
    <w:rsid w:val="007402FC"/>
    <w:rsid w:val="007411A1"/>
    <w:rsid w:val="00742690"/>
    <w:rsid w:val="00757D94"/>
    <w:rsid w:val="00767CDE"/>
    <w:rsid w:val="00771677"/>
    <w:rsid w:val="0078323E"/>
    <w:rsid w:val="0078683B"/>
    <w:rsid w:val="00786ABD"/>
    <w:rsid w:val="00793072"/>
    <w:rsid w:val="00796FB1"/>
    <w:rsid w:val="007B0586"/>
    <w:rsid w:val="007B1DE9"/>
    <w:rsid w:val="007B6CDF"/>
    <w:rsid w:val="007C2809"/>
    <w:rsid w:val="007C3E0E"/>
    <w:rsid w:val="007C5308"/>
    <w:rsid w:val="007C5630"/>
    <w:rsid w:val="007E07AB"/>
    <w:rsid w:val="007E32B8"/>
    <w:rsid w:val="007E5157"/>
    <w:rsid w:val="007F5EB2"/>
    <w:rsid w:val="00801DE2"/>
    <w:rsid w:val="00803E3E"/>
    <w:rsid w:val="00807AA8"/>
    <w:rsid w:val="00807D35"/>
    <w:rsid w:val="00812109"/>
    <w:rsid w:val="008218C4"/>
    <w:rsid w:val="00822441"/>
    <w:rsid w:val="00830E64"/>
    <w:rsid w:val="008370DB"/>
    <w:rsid w:val="00837382"/>
    <w:rsid w:val="008450A7"/>
    <w:rsid w:val="00847FDE"/>
    <w:rsid w:val="00854128"/>
    <w:rsid w:val="0085611D"/>
    <w:rsid w:val="008655C4"/>
    <w:rsid w:val="00867A98"/>
    <w:rsid w:val="00870867"/>
    <w:rsid w:val="00871DC5"/>
    <w:rsid w:val="00875AE0"/>
    <w:rsid w:val="00883B34"/>
    <w:rsid w:val="00885C9B"/>
    <w:rsid w:val="0088752C"/>
    <w:rsid w:val="00896091"/>
    <w:rsid w:val="008A4381"/>
    <w:rsid w:val="008D5A55"/>
    <w:rsid w:val="008D5D2A"/>
    <w:rsid w:val="008D78B0"/>
    <w:rsid w:val="008F3685"/>
    <w:rsid w:val="008F7F1F"/>
    <w:rsid w:val="00900A52"/>
    <w:rsid w:val="00903B82"/>
    <w:rsid w:val="00912FE1"/>
    <w:rsid w:val="009139B7"/>
    <w:rsid w:val="00913C85"/>
    <w:rsid w:val="00914B63"/>
    <w:rsid w:val="00914BB0"/>
    <w:rsid w:val="00920055"/>
    <w:rsid w:val="00925DA2"/>
    <w:rsid w:val="009278D6"/>
    <w:rsid w:val="0093352B"/>
    <w:rsid w:val="009354F3"/>
    <w:rsid w:val="009447DC"/>
    <w:rsid w:val="00950E68"/>
    <w:rsid w:val="00957FEE"/>
    <w:rsid w:val="00961136"/>
    <w:rsid w:val="00961BA5"/>
    <w:rsid w:val="009743A9"/>
    <w:rsid w:val="00985C99"/>
    <w:rsid w:val="00996034"/>
    <w:rsid w:val="009960CC"/>
    <w:rsid w:val="009A2ECA"/>
    <w:rsid w:val="009A5287"/>
    <w:rsid w:val="009A5FAF"/>
    <w:rsid w:val="009B18A3"/>
    <w:rsid w:val="009B2AC5"/>
    <w:rsid w:val="009B5A6A"/>
    <w:rsid w:val="009B7984"/>
    <w:rsid w:val="009C0B0A"/>
    <w:rsid w:val="009C155B"/>
    <w:rsid w:val="009C3C14"/>
    <w:rsid w:val="009C4583"/>
    <w:rsid w:val="009D05DF"/>
    <w:rsid w:val="009F2973"/>
    <w:rsid w:val="009F4BED"/>
    <w:rsid w:val="009F59F8"/>
    <w:rsid w:val="009F7D93"/>
    <w:rsid w:val="00A019C4"/>
    <w:rsid w:val="00A03570"/>
    <w:rsid w:val="00A053AC"/>
    <w:rsid w:val="00A10F62"/>
    <w:rsid w:val="00A155D5"/>
    <w:rsid w:val="00A3403B"/>
    <w:rsid w:val="00A41CD9"/>
    <w:rsid w:val="00A4711F"/>
    <w:rsid w:val="00A51A12"/>
    <w:rsid w:val="00A51F19"/>
    <w:rsid w:val="00A57965"/>
    <w:rsid w:val="00A627D4"/>
    <w:rsid w:val="00A74DA2"/>
    <w:rsid w:val="00A86260"/>
    <w:rsid w:val="00A922F4"/>
    <w:rsid w:val="00AA45C4"/>
    <w:rsid w:val="00AA4C54"/>
    <w:rsid w:val="00AB399E"/>
    <w:rsid w:val="00AB792E"/>
    <w:rsid w:val="00AC59D0"/>
    <w:rsid w:val="00AD16B1"/>
    <w:rsid w:val="00AD499C"/>
    <w:rsid w:val="00AE0B40"/>
    <w:rsid w:val="00AE4FA6"/>
    <w:rsid w:val="00AF29C3"/>
    <w:rsid w:val="00B0415D"/>
    <w:rsid w:val="00B06341"/>
    <w:rsid w:val="00B0796C"/>
    <w:rsid w:val="00B07EF4"/>
    <w:rsid w:val="00B109DE"/>
    <w:rsid w:val="00B16378"/>
    <w:rsid w:val="00B2163D"/>
    <w:rsid w:val="00B23328"/>
    <w:rsid w:val="00B26941"/>
    <w:rsid w:val="00B340A6"/>
    <w:rsid w:val="00B36869"/>
    <w:rsid w:val="00B43B31"/>
    <w:rsid w:val="00B47C51"/>
    <w:rsid w:val="00B47CFA"/>
    <w:rsid w:val="00B57F00"/>
    <w:rsid w:val="00B6298C"/>
    <w:rsid w:val="00B62A9C"/>
    <w:rsid w:val="00B771A8"/>
    <w:rsid w:val="00B77B2A"/>
    <w:rsid w:val="00B77B36"/>
    <w:rsid w:val="00B8095A"/>
    <w:rsid w:val="00B81176"/>
    <w:rsid w:val="00B82925"/>
    <w:rsid w:val="00B82C22"/>
    <w:rsid w:val="00B83867"/>
    <w:rsid w:val="00B84E3E"/>
    <w:rsid w:val="00B87D82"/>
    <w:rsid w:val="00B90BD5"/>
    <w:rsid w:val="00B92685"/>
    <w:rsid w:val="00B928A6"/>
    <w:rsid w:val="00B93DBA"/>
    <w:rsid w:val="00B9440A"/>
    <w:rsid w:val="00BA0BD9"/>
    <w:rsid w:val="00BA2C48"/>
    <w:rsid w:val="00BA4D5E"/>
    <w:rsid w:val="00BB2D2A"/>
    <w:rsid w:val="00BB66E3"/>
    <w:rsid w:val="00BC3E04"/>
    <w:rsid w:val="00BD4443"/>
    <w:rsid w:val="00BD506E"/>
    <w:rsid w:val="00BD58CF"/>
    <w:rsid w:val="00BD7D43"/>
    <w:rsid w:val="00BF0C92"/>
    <w:rsid w:val="00C041F6"/>
    <w:rsid w:val="00C04CC1"/>
    <w:rsid w:val="00C07094"/>
    <w:rsid w:val="00C15FDD"/>
    <w:rsid w:val="00C4096C"/>
    <w:rsid w:val="00C50C6D"/>
    <w:rsid w:val="00C56173"/>
    <w:rsid w:val="00C600D9"/>
    <w:rsid w:val="00C65345"/>
    <w:rsid w:val="00C66ED5"/>
    <w:rsid w:val="00C77A90"/>
    <w:rsid w:val="00C86F5D"/>
    <w:rsid w:val="00C90F21"/>
    <w:rsid w:val="00C92B22"/>
    <w:rsid w:val="00C95FC5"/>
    <w:rsid w:val="00CC1384"/>
    <w:rsid w:val="00CC1CDB"/>
    <w:rsid w:val="00CC5108"/>
    <w:rsid w:val="00CC55E1"/>
    <w:rsid w:val="00CC73DE"/>
    <w:rsid w:val="00CD3720"/>
    <w:rsid w:val="00CD395E"/>
    <w:rsid w:val="00CD4673"/>
    <w:rsid w:val="00CE5B19"/>
    <w:rsid w:val="00CE5E07"/>
    <w:rsid w:val="00CE6AF4"/>
    <w:rsid w:val="00CF1848"/>
    <w:rsid w:val="00CF5736"/>
    <w:rsid w:val="00CF5C2F"/>
    <w:rsid w:val="00CF7DE2"/>
    <w:rsid w:val="00D00ABB"/>
    <w:rsid w:val="00D04BCF"/>
    <w:rsid w:val="00D06088"/>
    <w:rsid w:val="00D067B9"/>
    <w:rsid w:val="00D1224E"/>
    <w:rsid w:val="00D12EAD"/>
    <w:rsid w:val="00D143D9"/>
    <w:rsid w:val="00D34F9A"/>
    <w:rsid w:val="00D36E24"/>
    <w:rsid w:val="00D51E7A"/>
    <w:rsid w:val="00D5511B"/>
    <w:rsid w:val="00D55BF7"/>
    <w:rsid w:val="00D60764"/>
    <w:rsid w:val="00D65DE4"/>
    <w:rsid w:val="00D668E3"/>
    <w:rsid w:val="00D73FE2"/>
    <w:rsid w:val="00D74A03"/>
    <w:rsid w:val="00D766F1"/>
    <w:rsid w:val="00D83906"/>
    <w:rsid w:val="00D8402E"/>
    <w:rsid w:val="00D84BEC"/>
    <w:rsid w:val="00D90497"/>
    <w:rsid w:val="00D93D78"/>
    <w:rsid w:val="00DA50D4"/>
    <w:rsid w:val="00DC394F"/>
    <w:rsid w:val="00DD1478"/>
    <w:rsid w:val="00DE236F"/>
    <w:rsid w:val="00E115B9"/>
    <w:rsid w:val="00E12454"/>
    <w:rsid w:val="00E14A8C"/>
    <w:rsid w:val="00E173D6"/>
    <w:rsid w:val="00E2042C"/>
    <w:rsid w:val="00E2238C"/>
    <w:rsid w:val="00E257C8"/>
    <w:rsid w:val="00E30C6E"/>
    <w:rsid w:val="00E31F01"/>
    <w:rsid w:val="00E33192"/>
    <w:rsid w:val="00E34232"/>
    <w:rsid w:val="00E373CF"/>
    <w:rsid w:val="00E37B42"/>
    <w:rsid w:val="00E41512"/>
    <w:rsid w:val="00E4519A"/>
    <w:rsid w:val="00E60719"/>
    <w:rsid w:val="00E65807"/>
    <w:rsid w:val="00E71D07"/>
    <w:rsid w:val="00E80CC9"/>
    <w:rsid w:val="00E853D5"/>
    <w:rsid w:val="00E878CA"/>
    <w:rsid w:val="00E92798"/>
    <w:rsid w:val="00E94104"/>
    <w:rsid w:val="00E9773B"/>
    <w:rsid w:val="00E97E5C"/>
    <w:rsid w:val="00EA53DA"/>
    <w:rsid w:val="00EA559B"/>
    <w:rsid w:val="00EA6F42"/>
    <w:rsid w:val="00EB6EFA"/>
    <w:rsid w:val="00EC13A3"/>
    <w:rsid w:val="00EC2399"/>
    <w:rsid w:val="00EC26FD"/>
    <w:rsid w:val="00EC7C85"/>
    <w:rsid w:val="00EF7EB0"/>
    <w:rsid w:val="00F125EE"/>
    <w:rsid w:val="00F12750"/>
    <w:rsid w:val="00F12E98"/>
    <w:rsid w:val="00F22029"/>
    <w:rsid w:val="00F27586"/>
    <w:rsid w:val="00F27C84"/>
    <w:rsid w:val="00F34693"/>
    <w:rsid w:val="00F34EDC"/>
    <w:rsid w:val="00F358E9"/>
    <w:rsid w:val="00F37C0F"/>
    <w:rsid w:val="00F402C5"/>
    <w:rsid w:val="00F41272"/>
    <w:rsid w:val="00F4687E"/>
    <w:rsid w:val="00F46C2D"/>
    <w:rsid w:val="00F50CD1"/>
    <w:rsid w:val="00F515FB"/>
    <w:rsid w:val="00F5388F"/>
    <w:rsid w:val="00F555E0"/>
    <w:rsid w:val="00F55D42"/>
    <w:rsid w:val="00F5791B"/>
    <w:rsid w:val="00F602BD"/>
    <w:rsid w:val="00F630EA"/>
    <w:rsid w:val="00F7007E"/>
    <w:rsid w:val="00F7233C"/>
    <w:rsid w:val="00F73193"/>
    <w:rsid w:val="00F74F95"/>
    <w:rsid w:val="00F758AD"/>
    <w:rsid w:val="00F80705"/>
    <w:rsid w:val="00F859DB"/>
    <w:rsid w:val="00F9570E"/>
    <w:rsid w:val="00F9692F"/>
    <w:rsid w:val="00FA1481"/>
    <w:rsid w:val="00FA63C1"/>
    <w:rsid w:val="00FB0017"/>
    <w:rsid w:val="00FB27BB"/>
    <w:rsid w:val="00FB3B3E"/>
    <w:rsid w:val="00FC06FC"/>
    <w:rsid w:val="00FC2ACC"/>
    <w:rsid w:val="00FE54E2"/>
    <w:rsid w:val="00FF04E3"/>
    <w:rsid w:val="00FF7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847FDE"/>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7C3E0E"/>
    <w:pPr>
      <w:spacing w:line="360" w:lineRule="auto"/>
      <w:jc w:val="both"/>
    </w:pPr>
  </w:style>
  <w:style w:type="paragraph" w:customStyle="1" w:styleId="SMSubheading">
    <w:name w:val="SM Subheading"/>
    <w:basedOn w:val="a1"/>
    <w:qFormat/>
    <w:rsid w:val="00B9440A"/>
    <w:rPr>
      <w:u w:val="words"/>
    </w:rPr>
  </w:style>
  <w:style w:type="paragraph" w:customStyle="1" w:styleId="SMText">
    <w:name w:val="SM Text"/>
    <w:basedOn w:val="a1"/>
    <w:link w:val="SMText0"/>
    <w:qFormat/>
    <w:rsid w:val="00B9440A"/>
    <w:pPr>
      <w:ind w:firstLine="480"/>
    </w:pPr>
  </w:style>
  <w:style w:type="paragraph" w:customStyle="1" w:styleId="SMcaption">
    <w:name w:val="SM caption"/>
    <w:basedOn w:val="SMText"/>
    <w:qFormat/>
    <w:rsid w:val="007C3E0E"/>
    <w:pPr>
      <w:spacing w:line="360" w:lineRule="auto"/>
      <w:ind w:firstLine="0"/>
      <w:jc w:val="both"/>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customStyle="1" w:styleId="12">
    <w:name w:val="未处理的提及1"/>
    <w:basedOn w:val="a2"/>
    <w:uiPriority w:val="99"/>
    <w:semiHidden/>
    <w:unhideWhenUsed/>
    <w:rsid w:val="008218C4"/>
    <w:rPr>
      <w:color w:val="808080"/>
      <w:shd w:val="clear" w:color="auto" w:fill="E6E6E6"/>
    </w:rPr>
  </w:style>
  <w:style w:type="paragraph" w:styleId="affff8">
    <w:name w:val="Revision"/>
    <w:hidden/>
    <w:uiPriority w:val="99"/>
    <w:semiHidden/>
    <w:rsid w:val="007B6CDF"/>
    <w:rPr>
      <w:sz w:val="24"/>
    </w:rPr>
  </w:style>
  <w:style w:type="character" w:customStyle="1" w:styleId="SMText0">
    <w:name w:val="SM Text 字符"/>
    <w:basedOn w:val="a2"/>
    <w:link w:val="SMText"/>
    <w:rsid w:val="00324107"/>
    <w:rPr>
      <w:sz w:val="24"/>
    </w:rPr>
  </w:style>
  <w:style w:type="paragraph" w:customStyle="1" w:styleId="RSCB01ARTAbstract">
    <w:name w:val="RSC B01 ART Abstract"/>
    <w:basedOn w:val="a1"/>
    <w:link w:val="RSCB01ARTAbstractChar"/>
    <w:qFormat/>
    <w:rsid w:val="00E31F01"/>
    <w:pPr>
      <w:spacing w:after="200" w:line="240" w:lineRule="exact"/>
      <w:jc w:val="both"/>
    </w:pPr>
    <w:rPr>
      <w:rFonts w:asciiTheme="minorHAnsi" w:hAnsiTheme="minorHAnsi" w:cstheme="minorBidi"/>
      <w:noProof/>
      <w:sz w:val="16"/>
      <w:szCs w:val="22"/>
      <w:lang w:val="en-GB" w:eastAsia="en-GB"/>
    </w:rPr>
  </w:style>
  <w:style w:type="character" w:customStyle="1" w:styleId="RSCB01ARTAbstractChar">
    <w:name w:val="RSC B01 ART Abstract Char"/>
    <w:basedOn w:val="a2"/>
    <w:link w:val="RSCB01ARTAbstract"/>
    <w:rsid w:val="00E31F01"/>
    <w:rPr>
      <w:rFonts w:asciiTheme="minorHAnsi" w:hAnsiTheme="minorHAnsi" w:cstheme="minorBidi"/>
      <w:noProof/>
      <w:sz w:val="16"/>
      <w:szCs w:val="22"/>
      <w:lang w:val="en-GB" w:eastAsia="en-GB"/>
    </w:rPr>
  </w:style>
  <w:style w:type="paragraph" w:customStyle="1" w:styleId="RSCF01FootnoteAuthorAddress">
    <w:name w:val="RSC F01 Footnote Author Address"/>
    <w:link w:val="RSCF01FootnoteAuthorAddressChar"/>
    <w:qFormat/>
    <w:rsid w:val="00E31F01"/>
    <w:pPr>
      <w:numPr>
        <w:numId w:val="11"/>
      </w:numPr>
      <w:pBdr>
        <w:top w:val="single" w:sz="12" w:space="1" w:color="A6A6A6" w:themeColor="background1" w:themeShade="A6"/>
      </w:pBdr>
      <w:ind w:left="85" w:hanging="85"/>
      <w:suppressOverlap/>
    </w:pPr>
    <w:rPr>
      <w:rFonts w:asciiTheme="minorHAnsi" w:hAnsiTheme="minorHAnsi"/>
      <w:i/>
      <w:w w:val="105"/>
      <w:sz w:val="14"/>
      <w:szCs w:val="14"/>
      <w:lang w:val="en-GB"/>
    </w:rPr>
  </w:style>
  <w:style w:type="paragraph" w:customStyle="1" w:styleId="RSCF02FootnotestoTitleAuthors">
    <w:name w:val="RSC F02 Footnotes to Title/Authors"/>
    <w:basedOn w:val="a1"/>
    <w:link w:val="RSCF02FootnotestoTitleAuthorsChar"/>
    <w:qFormat/>
    <w:rsid w:val="00E31F01"/>
    <w:pPr>
      <w:tabs>
        <w:tab w:val="left" w:pos="284"/>
      </w:tabs>
      <w:suppressOverlap/>
      <w:jc w:val="both"/>
    </w:pPr>
    <w:rPr>
      <w:rFonts w:asciiTheme="minorHAnsi" w:hAnsiTheme="minorHAnsi"/>
      <w:w w:val="105"/>
      <w:sz w:val="14"/>
      <w:szCs w:val="14"/>
      <w:lang w:val="en-GB"/>
    </w:rPr>
  </w:style>
  <w:style w:type="character" w:customStyle="1" w:styleId="RSCF01FootnoteAuthorAddressChar">
    <w:name w:val="RSC F01 Footnote Author Address Char"/>
    <w:basedOn w:val="a2"/>
    <w:link w:val="RSCF01FootnoteAuthorAddress"/>
    <w:rsid w:val="00E31F01"/>
    <w:rPr>
      <w:rFonts w:asciiTheme="minorHAnsi" w:hAnsiTheme="minorHAnsi"/>
      <w:i/>
      <w:w w:val="105"/>
      <w:sz w:val="14"/>
      <w:szCs w:val="14"/>
      <w:lang w:val="en-GB"/>
    </w:rPr>
  </w:style>
  <w:style w:type="character" w:customStyle="1" w:styleId="RSCF02FootnotestoTitleAuthorsChar">
    <w:name w:val="RSC F02 Footnotes to Title/Authors Char"/>
    <w:basedOn w:val="a2"/>
    <w:link w:val="RSCF02FootnotestoTitleAuthors"/>
    <w:rsid w:val="00E31F01"/>
    <w:rPr>
      <w:rFonts w:asciiTheme="minorHAnsi" w:hAnsiTheme="minorHAnsi"/>
      <w:w w:val="105"/>
      <w:sz w:val="14"/>
      <w:szCs w:val="14"/>
      <w:lang w:val="en-GB"/>
    </w:rPr>
  </w:style>
  <w:style w:type="table" w:styleId="affff9">
    <w:name w:val="Table Grid"/>
    <w:basedOn w:val="a3"/>
    <w:uiPriority w:val="39"/>
    <w:rsid w:val="00961136"/>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Unresolved Mention"/>
    <w:basedOn w:val="a2"/>
    <w:uiPriority w:val="99"/>
    <w:semiHidden/>
    <w:unhideWhenUsed/>
    <w:rsid w:val="00456AFF"/>
    <w:rPr>
      <w:color w:val="605E5C"/>
      <w:shd w:val="clear" w:color="auto" w:fill="E1DFDD"/>
    </w:rPr>
  </w:style>
  <w:style w:type="paragraph" w:customStyle="1" w:styleId="BBAuthorName">
    <w:name w:val="BB_Author_Name"/>
    <w:basedOn w:val="a1"/>
    <w:next w:val="BCAuthorAddress"/>
    <w:rsid w:val="002D06D4"/>
    <w:pPr>
      <w:spacing w:after="240" w:line="480" w:lineRule="auto"/>
      <w:jc w:val="center"/>
    </w:pPr>
    <w:rPr>
      <w:rFonts w:ascii="Times" w:hAnsi="Times"/>
      <w:i/>
    </w:rPr>
  </w:style>
  <w:style w:type="paragraph" w:customStyle="1" w:styleId="BCAuthorAddress">
    <w:name w:val="BC_Author_Address"/>
    <w:basedOn w:val="a1"/>
    <w:next w:val="BIEmailAddress"/>
    <w:rsid w:val="002D06D4"/>
    <w:pPr>
      <w:spacing w:after="240" w:line="480" w:lineRule="auto"/>
      <w:jc w:val="center"/>
    </w:pPr>
    <w:rPr>
      <w:rFonts w:ascii="Times" w:hAnsi="Times"/>
    </w:rPr>
  </w:style>
  <w:style w:type="paragraph" w:customStyle="1" w:styleId="BIEmailAddress">
    <w:name w:val="BI_Email_Address"/>
    <w:basedOn w:val="a1"/>
    <w:next w:val="a1"/>
    <w:rsid w:val="002D06D4"/>
    <w:pPr>
      <w:spacing w:after="200" w:line="480" w:lineRule="auto"/>
      <w:jc w:val="both"/>
    </w:pPr>
    <w:rPr>
      <w:rFonts w:ascii="Times" w:hAnsi="Times"/>
    </w:rPr>
  </w:style>
  <w:style w:type="table" w:customStyle="1" w:styleId="13">
    <w:name w:val="网格型1"/>
    <w:basedOn w:val="a3"/>
    <w:next w:val="affff9"/>
    <w:uiPriority w:val="39"/>
    <w:rsid w:val="00043F26"/>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c">
    <w:name w:val="网格型2"/>
    <w:basedOn w:val="a3"/>
    <w:next w:val="affff9"/>
    <w:uiPriority w:val="39"/>
    <w:rsid w:val="00D93D78"/>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1"/>
    <w:link w:val="EndNoteBibliography0"/>
    <w:rsid w:val="003767F0"/>
    <w:pPr>
      <w:widowControl w:val="0"/>
      <w:jc w:val="both"/>
    </w:pPr>
    <w:rPr>
      <w:rFonts w:ascii="等线" w:eastAsia="等线" w:hAnsi="等线" w:cstheme="minorBidi"/>
      <w:noProof/>
      <w:kern w:val="2"/>
      <w:sz w:val="20"/>
      <w:szCs w:val="22"/>
      <w:lang w:eastAsia="zh-CN"/>
    </w:rPr>
  </w:style>
  <w:style w:type="character" w:customStyle="1" w:styleId="EndNoteBibliography0">
    <w:name w:val="EndNote Bibliography 字符"/>
    <w:basedOn w:val="a2"/>
    <w:link w:val="EndNoteBibliography"/>
    <w:rsid w:val="003767F0"/>
    <w:rPr>
      <w:rFonts w:ascii="等线" w:eastAsia="等线" w:hAnsi="等线" w:cstheme="minorBidi"/>
      <w:noProof/>
      <w:kern w:val="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10</Pages>
  <Words>8108</Words>
  <Characters>43138</Characters>
  <Application>Microsoft Office Word</Application>
  <DocSecurity>0</DocSecurity>
  <Lines>1960</Lines>
  <Paragraphs>1708</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49538</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杜 鹏</cp:lastModifiedBy>
  <cp:revision>335</cp:revision>
  <cp:lastPrinted>2018-01-11T19:53:00Z</cp:lastPrinted>
  <dcterms:created xsi:type="dcterms:W3CDTF">2022-04-21T07:13:00Z</dcterms:created>
  <dcterms:modified xsi:type="dcterms:W3CDTF">2022-12-06T11:18:00Z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f9d41fbe0513342cbb0f5631f1ec5c26b74aa60d356dba0b8e99f042996c445d</vt:lpwstr>
  </property>
</Properties>
</file>