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F1132D" w14:textId="75D1F7A2" w:rsidR="001B60D1" w:rsidRPr="008F2953" w:rsidRDefault="000A1C5C">
      <w:pPr>
        <w:rPr>
          <w:rFonts w:ascii="Times New Roman" w:hAnsi="Times New Roman" w:cs="Times New Roman"/>
          <w:sz w:val="24"/>
          <w:szCs w:val="24"/>
        </w:rPr>
      </w:pPr>
      <w:r>
        <w:rPr>
          <w:rFonts w:ascii="Times New Roman" w:hAnsi="Times New Roman" w:cs="Times New Roman"/>
          <w:b/>
          <w:bCs/>
          <w:sz w:val="24"/>
          <w:szCs w:val="24"/>
        </w:rPr>
        <w:t>Figure S1</w:t>
      </w:r>
      <w:r w:rsidR="008F2953" w:rsidRPr="008F2953">
        <w:rPr>
          <w:rFonts w:ascii="Times New Roman" w:hAnsi="Times New Roman" w:cs="Times New Roman"/>
          <w:b/>
          <w:bCs/>
          <w:sz w:val="24"/>
          <w:szCs w:val="24"/>
        </w:rPr>
        <w:t xml:space="preserve">. </w:t>
      </w:r>
      <w:r w:rsidR="008F2953" w:rsidRPr="008F2953">
        <w:rPr>
          <w:rFonts w:ascii="Times New Roman" w:hAnsi="Times New Roman" w:cs="Times New Roman"/>
          <w:sz w:val="24"/>
          <w:szCs w:val="24"/>
        </w:rPr>
        <w:t>Graphical representations of predicted down-stream regulator effects identified by IPA.</w:t>
      </w:r>
    </w:p>
    <w:p w14:paraId="6A31BA1F" w14:textId="41E010C5" w:rsidR="008F2953" w:rsidRPr="008F2953" w:rsidRDefault="00D019EB" w:rsidP="008F2953">
      <w:pPr>
        <w:rPr>
          <w:rFonts w:ascii="Times New Roman" w:hAnsi="Times New Roman" w:cs="Times New Roman"/>
          <w:sz w:val="24"/>
          <w:szCs w:val="24"/>
        </w:rPr>
      </w:pPr>
      <w:r>
        <w:rPr>
          <w:rFonts w:ascii="Times New Roman" w:hAnsi="Times New Roman" w:cs="Times New Roman"/>
          <w:b/>
          <w:bCs/>
          <w:sz w:val="24"/>
          <w:szCs w:val="24"/>
        </w:rPr>
        <w:t>A</w:t>
      </w:r>
      <w:r w:rsidR="008F2953" w:rsidRPr="008F2953">
        <w:rPr>
          <w:rFonts w:ascii="Times New Roman" w:hAnsi="Times New Roman" w:cs="Times New Roman"/>
          <w:b/>
          <w:bCs/>
          <w:sz w:val="24"/>
          <w:szCs w:val="24"/>
        </w:rPr>
        <w:t xml:space="preserve">. </w:t>
      </w:r>
      <w:r w:rsidR="008F2953" w:rsidRPr="008F2953">
        <w:rPr>
          <w:rFonts w:ascii="Times New Roman" w:hAnsi="Times New Roman" w:cs="Times New Roman"/>
          <w:sz w:val="24"/>
          <w:szCs w:val="24"/>
        </w:rPr>
        <w:t>TGFβ1 in non-CKCS diseased valves compared to normal valves. TGFβ1 is shown to have its effect from the extracellular space on the genes in their cellular location. Genes are coloured red and green to represent up- or down-regulation in the dataset. Dotted lines connecting TGFβ1 to these genes show the expected effect of TGFB signalling: orange - activation, blue - inhibition, yellow -result inconsistent and grey – effect not predicted.</w:t>
      </w:r>
    </w:p>
    <w:p w14:paraId="554188A0" w14:textId="4E23434E" w:rsidR="008F2953" w:rsidRDefault="008F2953" w:rsidP="008F2953">
      <w:pPr>
        <w:rPr>
          <w:rFonts w:ascii="Arial" w:hAnsi="Arial" w:cs="Arial"/>
          <w:sz w:val="24"/>
          <w:szCs w:val="24"/>
        </w:rPr>
      </w:pPr>
      <w:r>
        <w:rPr>
          <w:rFonts w:ascii="Arial" w:hAnsi="Arial" w:cs="Arial"/>
          <w:noProof/>
          <w:sz w:val="24"/>
          <w:szCs w:val="24"/>
          <w:lang w:val="en-GB" w:eastAsia="en-GB"/>
        </w:rPr>
        <w:drawing>
          <wp:anchor distT="0" distB="0" distL="114300" distR="114300" simplePos="0" relativeHeight="251659264" behindDoc="0" locked="0" layoutInCell="1" allowOverlap="1" wp14:anchorId="39D9F7BB" wp14:editId="7A68D21B">
            <wp:simplePos x="0" y="0"/>
            <wp:positionH relativeFrom="column">
              <wp:posOffset>600075</wp:posOffset>
            </wp:positionH>
            <wp:positionV relativeFrom="paragraph">
              <wp:posOffset>294640</wp:posOffset>
            </wp:positionV>
            <wp:extent cx="5074434" cy="5930537"/>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74434" cy="5930537"/>
                    </a:xfrm>
                    <a:prstGeom prst="rect">
                      <a:avLst/>
                    </a:prstGeom>
                    <a:noFill/>
                  </pic:spPr>
                </pic:pic>
              </a:graphicData>
            </a:graphic>
            <wp14:sizeRelH relativeFrom="page">
              <wp14:pctWidth>0</wp14:pctWidth>
            </wp14:sizeRelH>
            <wp14:sizeRelV relativeFrom="page">
              <wp14:pctHeight>0</wp14:pctHeight>
            </wp14:sizeRelV>
          </wp:anchor>
        </w:drawing>
      </w:r>
    </w:p>
    <w:p w14:paraId="0D084BCD" w14:textId="77777777" w:rsidR="008F2953" w:rsidRDefault="008F2953">
      <w:pPr>
        <w:rPr>
          <w:b/>
          <w:bCs/>
        </w:rPr>
      </w:pPr>
      <w:r>
        <w:rPr>
          <w:b/>
          <w:bCs/>
        </w:rPr>
        <w:br w:type="page"/>
      </w:r>
    </w:p>
    <w:p w14:paraId="6F7C89B0" w14:textId="59C48A07" w:rsidR="008F2953" w:rsidRPr="008F2953" w:rsidRDefault="008F2953" w:rsidP="008F2953">
      <w:pPr>
        <w:rPr>
          <w:rFonts w:ascii="Times New Roman" w:hAnsi="Times New Roman" w:cs="Times New Roman"/>
          <w:sz w:val="24"/>
          <w:szCs w:val="24"/>
        </w:rPr>
      </w:pPr>
      <w:r w:rsidRPr="008F2953">
        <w:rPr>
          <w:rFonts w:ascii="Times New Roman" w:hAnsi="Times New Roman" w:cs="Times New Roman"/>
          <w:noProof/>
          <w:sz w:val="24"/>
          <w:szCs w:val="24"/>
          <w:lang w:val="en-GB" w:eastAsia="en-GB"/>
        </w:rPr>
        <w:lastRenderedPageBreak/>
        <w:drawing>
          <wp:anchor distT="0" distB="0" distL="114300" distR="114300" simplePos="0" relativeHeight="251660288" behindDoc="0" locked="0" layoutInCell="1" allowOverlap="1" wp14:anchorId="279E04EB" wp14:editId="3F7BEE01">
            <wp:simplePos x="0" y="0"/>
            <wp:positionH relativeFrom="margin">
              <wp:align>center</wp:align>
            </wp:positionH>
            <wp:positionV relativeFrom="paragraph">
              <wp:posOffset>1333500</wp:posOffset>
            </wp:positionV>
            <wp:extent cx="4924697" cy="5062714"/>
            <wp:effectExtent l="0" t="0" r="0" b="508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24697" cy="5062714"/>
                    </a:xfrm>
                    <a:prstGeom prst="rect">
                      <a:avLst/>
                    </a:prstGeom>
                    <a:noFill/>
                  </pic:spPr>
                </pic:pic>
              </a:graphicData>
            </a:graphic>
            <wp14:sizeRelH relativeFrom="page">
              <wp14:pctWidth>0</wp14:pctWidth>
            </wp14:sizeRelH>
            <wp14:sizeRelV relativeFrom="page">
              <wp14:pctHeight>0</wp14:pctHeight>
            </wp14:sizeRelV>
          </wp:anchor>
        </w:drawing>
      </w:r>
      <w:r w:rsidR="00D019EB">
        <w:rPr>
          <w:rFonts w:ascii="Times New Roman" w:hAnsi="Times New Roman" w:cs="Times New Roman"/>
          <w:b/>
          <w:bCs/>
          <w:sz w:val="24"/>
          <w:szCs w:val="24"/>
        </w:rPr>
        <w:t>B</w:t>
      </w:r>
      <w:r w:rsidRPr="008F2953">
        <w:rPr>
          <w:rFonts w:ascii="Times New Roman" w:hAnsi="Times New Roman" w:cs="Times New Roman"/>
          <w:b/>
          <w:bCs/>
          <w:sz w:val="24"/>
          <w:szCs w:val="24"/>
        </w:rPr>
        <w:t>.</w:t>
      </w:r>
      <w:r w:rsidRPr="008F2953">
        <w:rPr>
          <w:rFonts w:ascii="Times New Roman" w:hAnsi="Times New Roman" w:cs="Times New Roman"/>
          <w:b/>
          <w:bCs/>
        </w:rPr>
        <w:t xml:space="preserve"> </w:t>
      </w:r>
      <w:r w:rsidRPr="008F2953">
        <w:rPr>
          <w:rFonts w:ascii="Times New Roman" w:hAnsi="Times New Roman" w:cs="Times New Roman"/>
          <w:sz w:val="24"/>
          <w:szCs w:val="24"/>
        </w:rPr>
        <w:t>Myocyte-specific enhancer factor 2C (MEF2C) in CKCS compared to non-CKCS. MEF2C is shown to have its effect from the nucleus on the genes in the cytoplasm. Genes are coloured red and green to represent up- or down-regulation in the dataset. Dotted lines connecting MEF2C to these genes show the expected effect of MEF2C signalling: orange - activation, blue - inhibition, yellow -result inconsistent and grey – effect not predicted.</w:t>
      </w:r>
    </w:p>
    <w:p w14:paraId="7E7ECAFF" w14:textId="34E53B06" w:rsidR="008F2953" w:rsidRDefault="008F2953" w:rsidP="008F2953">
      <w:pPr>
        <w:rPr>
          <w:rFonts w:ascii="Arial" w:hAnsi="Arial" w:cs="Arial"/>
          <w:sz w:val="24"/>
          <w:szCs w:val="24"/>
        </w:rPr>
      </w:pPr>
    </w:p>
    <w:p w14:paraId="3BB64831" w14:textId="5AFC58AA" w:rsidR="008F2953" w:rsidRDefault="008F2953" w:rsidP="008F2953">
      <w:pPr>
        <w:rPr>
          <w:rFonts w:ascii="Arial" w:hAnsi="Arial" w:cs="Arial"/>
          <w:sz w:val="24"/>
          <w:szCs w:val="24"/>
        </w:rPr>
      </w:pPr>
    </w:p>
    <w:p w14:paraId="1DE25BEF" w14:textId="00BF89CC" w:rsidR="008F2953" w:rsidRDefault="008F2953" w:rsidP="008F2953">
      <w:pPr>
        <w:rPr>
          <w:rFonts w:ascii="Arial" w:hAnsi="Arial" w:cs="Arial"/>
          <w:sz w:val="24"/>
          <w:szCs w:val="24"/>
        </w:rPr>
      </w:pPr>
    </w:p>
    <w:p w14:paraId="4F15FC0C" w14:textId="77777777" w:rsidR="008F2953" w:rsidRDefault="008F2953">
      <w:pPr>
        <w:rPr>
          <w:rFonts w:ascii="Arial" w:hAnsi="Arial" w:cs="Arial"/>
          <w:sz w:val="24"/>
          <w:szCs w:val="24"/>
        </w:rPr>
      </w:pPr>
      <w:r>
        <w:rPr>
          <w:rFonts w:ascii="Arial" w:hAnsi="Arial" w:cs="Arial"/>
          <w:sz w:val="24"/>
          <w:szCs w:val="24"/>
        </w:rPr>
        <w:br w:type="page"/>
      </w:r>
    </w:p>
    <w:p w14:paraId="5580650C" w14:textId="514F606D" w:rsidR="008F2953" w:rsidRPr="008F2953" w:rsidRDefault="00D019EB" w:rsidP="008F2953">
      <w:pPr>
        <w:rPr>
          <w:rFonts w:ascii="Times New Roman" w:hAnsi="Times New Roman" w:cs="Times New Roman"/>
          <w:sz w:val="24"/>
          <w:szCs w:val="24"/>
        </w:rPr>
      </w:pPr>
      <w:r>
        <w:rPr>
          <w:rFonts w:ascii="Times New Roman" w:hAnsi="Times New Roman" w:cs="Times New Roman"/>
          <w:b/>
          <w:bCs/>
          <w:sz w:val="24"/>
          <w:szCs w:val="24"/>
        </w:rPr>
        <w:lastRenderedPageBreak/>
        <w:t>C</w:t>
      </w:r>
      <w:r w:rsidR="008F2953" w:rsidRPr="008F2953">
        <w:rPr>
          <w:rFonts w:ascii="Times New Roman" w:hAnsi="Times New Roman" w:cs="Times New Roman"/>
          <w:b/>
          <w:bCs/>
          <w:sz w:val="24"/>
          <w:szCs w:val="24"/>
        </w:rPr>
        <w:t>.</w:t>
      </w:r>
      <w:r w:rsidR="008F2953" w:rsidRPr="008F2953">
        <w:rPr>
          <w:rFonts w:ascii="Times New Roman" w:hAnsi="Times New Roman" w:cs="Times New Roman"/>
          <w:sz w:val="24"/>
          <w:szCs w:val="24"/>
        </w:rPr>
        <w:t xml:space="preserve"> F2 (prothrombin) is shown to have its effect from the extracellular space on the genes in their cellular location. Genes are coloured red and green to represent up- or down-regulation in the dataset. Dotted lines connecting </w:t>
      </w:r>
      <w:r w:rsidR="00D260BE">
        <w:rPr>
          <w:rFonts w:ascii="Times New Roman" w:hAnsi="Times New Roman" w:cs="Times New Roman"/>
          <w:sz w:val="24"/>
          <w:szCs w:val="24"/>
        </w:rPr>
        <w:t>F2</w:t>
      </w:r>
      <w:r w:rsidR="008F2953" w:rsidRPr="008F2953">
        <w:rPr>
          <w:rFonts w:ascii="Times New Roman" w:hAnsi="Times New Roman" w:cs="Times New Roman"/>
          <w:sz w:val="24"/>
          <w:szCs w:val="24"/>
        </w:rPr>
        <w:t xml:space="preserve"> to these genes show the expected effect of </w:t>
      </w:r>
      <w:r w:rsidR="00D260BE">
        <w:rPr>
          <w:rFonts w:ascii="Times New Roman" w:hAnsi="Times New Roman" w:cs="Times New Roman"/>
          <w:sz w:val="24"/>
          <w:szCs w:val="24"/>
        </w:rPr>
        <w:t>F2</w:t>
      </w:r>
      <w:bookmarkStart w:id="0" w:name="_GoBack"/>
      <w:bookmarkEnd w:id="0"/>
      <w:r w:rsidR="008F2953" w:rsidRPr="008F2953">
        <w:rPr>
          <w:rFonts w:ascii="Times New Roman" w:hAnsi="Times New Roman" w:cs="Times New Roman"/>
          <w:sz w:val="24"/>
          <w:szCs w:val="24"/>
        </w:rPr>
        <w:t xml:space="preserve"> signalling: orange - activation, blue - inhibition, yellow -result inconsistent and grey – effect not predicted.</w:t>
      </w:r>
    </w:p>
    <w:p w14:paraId="2A6F092B" w14:textId="5A7F17CD" w:rsidR="008F2953" w:rsidRDefault="008F2953" w:rsidP="008F2953">
      <w:pPr>
        <w:rPr>
          <w:rFonts w:ascii="Arial" w:hAnsi="Arial" w:cs="Arial"/>
          <w:sz w:val="24"/>
          <w:szCs w:val="24"/>
        </w:rPr>
      </w:pPr>
      <w:r>
        <w:rPr>
          <w:rFonts w:ascii="Arial" w:hAnsi="Arial" w:cs="Arial"/>
          <w:noProof/>
          <w:sz w:val="24"/>
          <w:szCs w:val="24"/>
          <w:lang w:val="en-GB" w:eastAsia="en-GB"/>
        </w:rPr>
        <w:drawing>
          <wp:anchor distT="0" distB="0" distL="114300" distR="114300" simplePos="0" relativeHeight="251661312" behindDoc="0" locked="0" layoutInCell="1" allowOverlap="1" wp14:anchorId="54EAD9DC" wp14:editId="557D3391">
            <wp:simplePos x="0" y="0"/>
            <wp:positionH relativeFrom="margin">
              <wp:align>center</wp:align>
            </wp:positionH>
            <wp:positionV relativeFrom="paragraph">
              <wp:posOffset>238760</wp:posOffset>
            </wp:positionV>
            <wp:extent cx="5264331" cy="6287746"/>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4331" cy="6287746"/>
                    </a:xfrm>
                    <a:prstGeom prst="rect">
                      <a:avLst/>
                    </a:prstGeom>
                    <a:noFill/>
                  </pic:spPr>
                </pic:pic>
              </a:graphicData>
            </a:graphic>
            <wp14:sizeRelH relativeFrom="page">
              <wp14:pctWidth>0</wp14:pctWidth>
            </wp14:sizeRelH>
            <wp14:sizeRelV relativeFrom="page">
              <wp14:pctHeight>0</wp14:pctHeight>
            </wp14:sizeRelV>
          </wp:anchor>
        </w:drawing>
      </w:r>
    </w:p>
    <w:p w14:paraId="672E05DF" w14:textId="77777777" w:rsidR="008F2953" w:rsidRDefault="008F2953" w:rsidP="008F2953">
      <w:pPr>
        <w:rPr>
          <w:rFonts w:ascii="Arial" w:hAnsi="Arial" w:cs="Arial"/>
          <w:sz w:val="24"/>
          <w:szCs w:val="24"/>
        </w:rPr>
      </w:pPr>
    </w:p>
    <w:p w14:paraId="268C70BA" w14:textId="4411393F" w:rsidR="008F2953" w:rsidRPr="008F2953" w:rsidRDefault="008F2953">
      <w:pPr>
        <w:rPr>
          <w:b/>
          <w:bCs/>
        </w:rPr>
      </w:pPr>
    </w:p>
    <w:sectPr w:rsidR="008F2953" w:rsidRPr="008F2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2953"/>
    <w:rsid w:val="000A1C5C"/>
    <w:rsid w:val="001B60D1"/>
    <w:rsid w:val="008F2953"/>
    <w:rsid w:val="00D019EB"/>
    <w:rsid w:val="00D260BE"/>
    <w:rsid w:val="00EA113D"/>
    <w:rsid w:val="00F46A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D493C"/>
  <w15:chartTrackingRefBased/>
  <w15:docId w15:val="{57B94BC2-F592-417C-BA20-4E8CC3BD1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29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29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Summers</dc:creator>
  <cp:keywords/>
  <dc:description/>
  <cp:lastModifiedBy>CORCORAN Brendan</cp:lastModifiedBy>
  <cp:revision>2</cp:revision>
  <dcterms:created xsi:type="dcterms:W3CDTF">2020-06-29T11:14:00Z</dcterms:created>
  <dcterms:modified xsi:type="dcterms:W3CDTF">2020-06-29T11:14:00Z</dcterms:modified>
</cp:coreProperties>
</file>