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350E" w14:textId="59952DDA" w:rsidR="00444831" w:rsidRPr="00444831" w:rsidRDefault="00444831" w:rsidP="006B4CCB">
      <w:pPr>
        <w:spacing w:line="480" w:lineRule="auto"/>
        <w:jc w:val="both"/>
        <w:rPr>
          <w:b/>
          <w:bCs/>
          <w:noProof/>
          <w:sz w:val="20"/>
          <w:szCs w:val="20"/>
        </w:rPr>
      </w:pPr>
      <w:r>
        <w:rPr>
          <w:b/>
          <w:bCs/>
          <w:noProof/>
          <w:sz w:val="20"/>
          <w:szCs w:val="20"/>
        </w:rPr>
        <w:t>S</w:t>
      </w:r>
      <w:r w:rsidRPr="00444831">
        <w:rPr>
          <w:b/>
          <w:bCs/>
          <w:noProof/>
          <w:sz w:val="20"/>
          <w:szCs w:val="20"/>
        </w:rPr>
        <w:t xml:space="preserve">upplementary methods S1: </w:t>
      </w:r>
    </w:p>
    <w:p w14:paraId="1BE4C440" w14:textId="77777777" w:rsidR="00B22C18" w:rsidRDefault="00B22C18" w:rsidP="006B4CCB">
      <w:pPr>
        <w:spacing w:line="480" w:lineRule="auto"/>
        <w:jc w:val="both"/>
        <w:rPr>
          <w:b/>
          <w:bCs/>
          <w:noProof/>
          <w:sz w:val="20"/>
          <w:szCs w:val="20"/>
        </w:rPr>
      </w:pPr>
    </w:p>
    <w:p w14:paraId="1B401340" w14:textId="77777777" w:rsidR="00B22C18" w:rsidRPr="003E7C8C" w:rsidRDefault="00B22C18" w:rsidP="006B4CCB">
      <w:pPr>
        <w:spacing w:line="480" w:lineRule="auto"/>
        <w:jc w:val="both"/>
        <w:rPr>
          <w:sz w:val="20"/>
          <w:szCs w:val="20"/>
        </w:rPr>
      </w:pPr>
      <w:r w:rsidRPr="003E7C8C">
        <w:rPr>
          <w:sz w:val="20"/>
          <w:szCs w:val="20"/>
        </w:rPr>
        <w:t>Four univariate models were used to estimate variance components for each of three traits (HT6, DBH, and BB) based on pedigree-based best linear unbiased prediction (PBLUP) and genomic-based best linear unbiased prediction (GBLUP) as following:</w:t>
      </w:r>
    </w:p>
    <w:p w14:paraId="042F2E95" w14:textId="2AC9519C" w:rsidR="00B22C18" w:rsidRPr="003E7C8C" w:rsidRDefault="00B22C18" w:rsidP="006B4CCB">
      <w:pPr>
        <w:spacing w:line="480" w:lineRule="auto"/>
        <w:jc w:val="both"/>
        <w:rPr>
          <w:sz w:val="20"/>
          <w:szCs w:val="20"/>
        </w:rPr>
      </w:pPr>
      <m:oMath>
        <m:r>
          <w:rPr>
            <w:rFonts w:ascii="Cambria Math" w:hAnsi="Cambria Math"/>
            <w:sz w:val="20"/>
            <w:szCs w:val="20"/>
          </w:rPr>
          <m:t>y=</m:t>
        </m:r>
        <m:r>
          <m:rPr>
            <m:sty m:val="bi"/>
          </m:rPr>
          <w:rPr>
            <w:rFonts w:ascii="Cambria Math" w:hAnsi="Cambria Math"/>
            <w:sz w:val="20"/>
            <w:szCs w:val="20"/>
          </w:rPr>
          <m:t>X</m:t>
        </m:r>
        <m:r>
          <w:rPr>
            <w:rFonts w:ascii="Cambria Math" w:hAnsi="Cambria Math"/>
            <w:sz w:val="20"/>
            <w:szCs w:val="20"/>
          </w:rPr>
          <m:t>β+</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1</m:t>
            </m:r>
          </m:sub>
        </m:sSub>
        <m:r>
          <w:rPr>
            <w:rFonts w:ascii="Cambria Math" w:hAnsi="Cambria Math"/>
            <w:sz w:val="20"/>
            <w:szCs w:val="20"/>
          </w:rPr>
          <m:t>a+</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2</m:t>
            </m:r>
          </m:sub>
        </m:sSub>
        <m:r>
          <w:rPr>
            <w:rFonts w:ascii="Cambria Math" w:hAnsi="Cambria Math"/>
            <w:sz w:val="20"/>
            <w:szCs w:val="20"/>
          </w:rPr>
          <m:t>as+ε</m:t>
        </m:r>
      </m:oMath>
      <w:r w:rsidRPr="003E7C8C">
        <w:rPr>
          <w:sz w:val="20"/>
          <w:szCs w:val="20"/>
        </w:rPr>
        <w:t xml:space="preserve">                                                                                                                                   </w:t>
      </w:r>
      <w:r w:rsidR="003B42E5">
        <w:rPr>
          <w:sz w:val="20"/>
          <w:szCs w:val="20"/>
        </w:rPr>
        <w:t>(</w:t>
      </w:r>
      <w:r w:rsidRPr="003E7C8C">
        <w:rPr>
          <w:sz w:val="20"/>
          <w:szCs w:val="20"/>
        </w:rPr>
        <w:t>1</w:t>
      </w:r>
      <w:r w:rsidR="003B42E5">
        <w:rPr>
          <w:sz w:val="20"/>
          <w:szCs w:val="20"/>
        </w:rPr>
        <w:t>)</w:t>
      </w:r>
    </w:p>
    <w:p w14:paraId="211AC3AD" w14:textId="65A18684" w:rsidR="00B22C18" w:rsidRPr="003E7C8C" w:rsidRDefault="00B22C18" w:rsidP="006B4CCB">
      <w:pPr>
        <w:spacing w:line="480" w:lineRule="auto"/>
        <w:jc w:val="both"/>
        <w:rPr>
          <w:sz w:val="20"/>
          <w:szCs w:val="20"/>
        </w:rPr>
      </w:pPr>
      <m:oMath>
        <m:r>
          <w:rPr>
            <w:rFonts w:ascii="Cambria Math" w:hAnsi="Cambria Math"/>
            <w:sz w:val="20"/>
            <w:szCs w:val="20"/>
          </w:rPr>
          <m:t>y=</m:t>
        </m:r>
        <m:r>
          <m:rPr>
            <m:sty m:val="bi"/>
          </m:rPr>
          <w:rPr>
            <w:rFonts w:ascii="Cambria Math" w:hAnsi="Cambria Math"/>
            <w:sz w:val="20"/>
            <w:szCs w:val="20"/>
          </w:rPr>
          <m:t>X</m:t>
        </m:r>
        <m:r>
          <w:rPr>
            <w:rFonts w:ascii="Cambria Math" w:hAnsi="Cambria Math"/>
            <w:sz w:val="20"/>
            <w:szCs w:val="20"/>
          </w:rPr>
          <m:t>β+</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1</m:t>
            </m:r>
          </m:sub>
        </m:sSub>
        <m:r>
          <w:rPr>
            <w:rFonts w:ascii="Cambria Math" w:hAnsi="Cambria Math"/>
            <w:sz w:val="20"/>
            <w:szCs w:val="20"/>
          </w:rPr>
          <m:t>a+</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2</m:t>
            </m:r>
          </m:sub>
        </m:sSub>
        <m:r>
          <w:rPr>
            <w:rFonts w:ascii="Cambria Math" w:hAnsi="Cambria Math"/>
            <w:sz w:val="20"/>
            <w:szCs w:val="20"/>
          </w:rPr>
          <m:t>as+</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6</m:t>
            </m:r>
          </m:sub>
        </m:sSub>
        <m:r>
          <w:rPr>
            <w:rFonts w:ascii="Cambria Math" w:hAnsi="Cambria Math"/>
            <w:sz w:val="20"/>
            <w:szCs w:val="20"/>
          </w:rPr>
          <m:t>r+</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7</m:t>
            </m:r>
          </m:sub>
        </m:sSub>
        <m:r>
          <w:rPr>
            <w:rFonts w:ascii="Cambria Math" w:hAnsi="Cambria Math"/>
            <w:sz w:val="20"/>
            <w:szCs w:val="20"/>
          </w:rPr>
          <m:t>rs + ε</m:t>
        </m:r>
      </m:oMath>
      <w:r w:rsidRPr="003E7C8C">
        <w:rPr>
          <w:sz w:val="20"/>
          <w:szCs w:val="20"/>
        </w:rPr>
        <w:t xml:space="preserve">                                                                                                         </w:t>
      </w:r>
      <w:r w:rsidR="003B42E5">
        <w:rPr>
          <w:sz w:val="20"/>
          <w:szCs w:val="20"/>
        </w:rPr>
        <w:t>(</w:t>
      </w:r>
      <w:r w:rsidRPr="003E7C8C">
        <w:rPr>
          <w:sz w:val="20"/>
          <w:szCs w:val="20"/>
        </w:rPr>
        <w:t>2</w:t>
      </w:r>
      <w:r w:rsidR="003B42E5">
        <w:rPr>
          <w:sz w:val="20"/>
          <w:szCs w:val="20"/>
        </w:rPr>
        <w:t>)</w:t>
      </w:r>
    </w:p>
    <w:p w14:paraId="1AD18A82" w14:textId="7F705331" w:rsidR="00B22C18" w:rsidRPr="003E7C8C" w:rsidRDefault="00B22C18" w:rsidP="006B4CCB">
      <w:pPr>
        <w:spacing w:line="480" w:lineRule="auto"/>
        <w:jc w:val="both"/>
        <w:rPr>
          <w:sz w:val="20"/>
          <w:szCs w:val="20"/>
        </w:rPr>
      </w:pPr>
      <m:oMath>
        <m:r>
          <w:rPr>
            <w:rFonts w:ascii="Cambria Math" w:hAnsi="Cambria Math"/>
            <w:sz w:val="20"/>
            <w:szCs w:val="20"/>
          </w:rPr>
          <m:t>y=</m:t>
        </m:r>
        <m:r>
          <m:rPr>
            <m:sty m:val="bi"/>
          </m:rPr>
          <w:rPr>
            <w:rFonts w:ascii="Cambria Math" w:hAnsi="Cambria Math"/>
            <w:sz w:val="20"/>
            <w:szCs w:val="20"/>
          </w:rPr>
          <m:t>X</m:t>
        </m:r>
        <m:r>
          <w:rPr>
            <w:rFonts w:ascii="Cambria Math" w:hAnsi="Cambria Math"/>
            <w:sz w:val="20"/>
            <w:szCs w:val="20"/>
          </w:rPr>
          <m:t>β+</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1</m:t>
            </m:r>
          </m:sub>
        </m:sSub>
        <m:r>
          <w:rPr>
            <w:rFonts w:ascii="Cambria Math" w:hAnsi="Cambria Math"/>
            <w:sz w:val="20"/>
            <w:szCs w:val="20"/>
          </w:rPr>
          <m:t>a+</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2</m:t>
            </m:r>
          </m:sub>
        </m:sSub>
        <m:r>
          <w:rPr>
            <w:rFonts w:ascii="Cambria Math" w:hAnsi="Cambria Math"/>
            <w:sz w:val="20"/>
            <w:szCs w:val="20"/>
          </w:rPr>
          <m:t>as+</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3</m:t>
            </m:r>
          </m:sub>
        </m:sSub>
        <m:r>
          <w:rPr>
            <w:rFonts w:ascii="Cambria Math" w:hAnsi="Cambria Math"/>
            <w:sz w:val="20"/>
            <w:szCs w:val="20"/>
          </w:rPr>
          <m:t>d+</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4</m:t>
            </m:r>
          </m:sub>
        </m:sSub>
        <m:r>
          <w:rPr>
            <w:rFonts w:ascii="Cambria Math" w:hAnsi="Cambria Math"/>
            <w:sz w:val="20"/>
            <w:szCs w:val="20"/>
          </w:rPr>
          <m:t>ds+</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6</m:t>
            </m:r>
          </m:sub>
        </m:sSub>
        <m:r>
          <w:rPr>
            <w:rFonts w:ascii="Cambria Math" w:hAnsi="Cambria Math"/>
            <w:sz w:val="20"/>
            <w:szCs w:val="20"/>
          </w:rPr>
          <m:t xml:space="preserve">r+ </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7</m:t>
            </m:r>
          </m:sub>
        </m:sSub>
        <m:r>
          <w:rPr>
            <w:rFonts w:ascii="Cambria Math" w:hAnsi="Cambria Math"/>
            <w:sz w:val="20"/>
            <w:szCs w:val="20"/>
          </w:rPr>
          <m:t>rs+ ε</m:t>
        </m:r>
      </m:oMath>
      <w:r w:rsidRPr="003E7C8C">
        <w:rPr>
          <w:sz w:val="20"/>
          <w:szCs w:val="20"/>
        </w:rPr>
        <w:t xml:space="preserve">                                                                                </w:t>
      </w:r>
      <w:r w:rsidR="003B42E5">
        <w:rPr>
          <w:sz w:val="20"/>
          <w:szCs w:val="20"/>
        </w:rPr>
        <w:t>(</w:t>
      </w:r>
      <w:r w:rsidRPr="003E7C8C">
        <w:rPr>
          <w:sz w:val="20"/>
          <w:szCs w:val="20"/>
        </w:rPr>
        <w:t>3</w:t>
      </w:r>
      <w:r w:rsidR="003B42E5">
        <w:rPr>
          <w:sz w:val="20"/>
          <w:szCs w:val="20"/>
        </w:rPr>
        <w:t>)</w:t>
      </w:r>
    </w:p>
    <w:p w14:paraId="73BB5BB7" w14:textId="59F1894F" w:rsidR="00B22C18" w:rsidRPr="003E7C8C" w:rsidRDefault="00B22C18" w:rsidP="006B4CCB">
      <w:pPr>
        <w:spacing w:line="480" w:lineRule="auto"/>
        <w:jc w:val="both"/>
        <w:rPr>
          <w:sz w:val="20"/>
          <w:szCs w:val="20"/>
        </w:rPr>
      </w:pPr>
      <m:oMath>
        <m:r>
          <w:rPr>
            <w:rFonts w:ascii="Cambria Math" w:hAnsi="Cambria Math"/>
            <w:sz w:val="20"/>
            <w:szCs w:val="20"/>
          </w:rPr>
          <m:t>y=</m:t>
        </m:r>
        <m:r>
          <m:rPr>
            <m:sty m:val="bi"/>
          </m:rPr>
          <w:rPr>
            <w:rFonts w:ascii="Cambria Math" w:hAnsi="Cambria Math"/>
            <w:sz w:val="20"/>
            <w:szCs w:val="20"/>
          </w:rPr>
          <m:t>X</m:t>
        </m:r>
        <m:r>
          <w:rPr>
            <w:rFonts w:ascii="Cambria Math" w:hAnsi="Cambria Math"/>
            <w:sz w:val="20"/>
            <w:szCs w:val="20"/>
          </w:rPr>
          <m:t>β+</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1</m:t>
            </m:r>
          </m:sub>
        </m:sSub>
        <m:r>
          <w:rPr>
            <w:rFonts w:ascii="Cambria Math" w:hAnsi="Cambria Math"/>
            <w:sz w:val="20"/>
            <w:szCs w:val="20"/>
          </w:rPr>
          <m:t>a+</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2</m:t>
            </m:r>
          </m:sub>
        </m:sSub>
        <m:r>
          <w:rPr>
            <w:rFonts w:ascii="Cambria Math" w:hAnsi="Cambria Math"/>
            <w:sz w:val="20"/>
            <w:szCs w:val="20"/>
          </w:rPr>
          <m:t>as+</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3</m:t>
            </m:r>
          </m:sub>
        </m:sSub>
        <m:r>
          <w:rPr>
            <w:rFonts w:ascii="Cambria Math" w:hAnsi="Cambria Math"/>
            <w:sz w:val="20"/>
            <w:szCs w:val="20"/>
          </w:rPr>
          <m:t>d+</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4</m:t>
            </m:r>
          </m:sub>
        </m:sSub>
        <m:r>
          <w:rPr>
            <w:rFonts w:ascii="Cambria Math" w:hAnsi="Cambria Math"/>
            <w:sz w:val="20"/>
            <w:szCs w:val="20"/>
          </w:rPr>
          <m:t>ds+</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5</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xx</m:t>
            </m:r>
          </m:sub>
        </m:sSub>
        <m:r>
          <w:rPr>
            <w:rFonts w:ascii="Cambria Math" w:hAnsi="Cambria Math"/>
            <w:sz w:val="20"/>
            <w:szCs w:val="20"/>
          </w:rPr>
          <m:t xml:space="preserve"> </m:t>
        </m:r>
        <m:sSub>
          <m:sSubPr>
            <m:ctrlPr>
              <w:rPr>
                <w:rFonts w:ascii="Cambria Math" w:hAnsi="Cambria Math"/>
                <w:b/>
                <w:i/>
                <w:sz w:val="20"/>
                <w:szCs w:val="20"/>
              </w:rPr>
            </m:ctrlPr>
          </m:sSubPr>
          <m:e>
            <m:r>
              <m:rPr>
                <m:sty m:val="bi"/>
              </m:rPr>
              <w:rPr>
                <w:rFonts w:ascii="Cambria Math" w:hAnsi="Cambria Math"/>
                <w:sz w:val="20"/>
                <w:szCs w:val="20"/>
              </w:rPr>
              <m:t>+ Z</m:t>
            </m:r>
          </m:e>
          <m:sub>
            <m:r>
              <m:rPr>
                <m:sty m:val="bi"/>
              </m:rPr>
              <w:rPr>
                <w:rFonts w:ascii="Cambria Math" w:hAnsi="Cambria Math"/>
                <w:sz w:val="20"/>
                <w:szCs w:val="20"/>
              </w:rPr>
              <m:t>6</m:t>
            </m:r>
          </m:sub>
        </m:sSub>
        <m:r>
          <w:rPr>
            <w:rFonts w:ascii="Cambria Math" w:hAnsi="Cambria Math"/>
            <w:sz w:val="20"/>
            <w:szCs w:val="20"/>
          </w:rPr>
          <m:t xml:space="preserve">r+ </m:t>
        </m:r>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7</m:t>
            </m:r>
          </m:sub>
        </m:sSub>
        <m:r>
          <w:rPr>
            <w:rFonts w:ascii="Cambria Math" w:hAnsi="Cambria Math"/>
            <w:sz w:val="20"/>
            <w:szCs w:val="20"/>
          </w:rPr>
          <m:t>rs + ε</m:t>
        </m:r>
      </m:oMath>
      <w:r w:rsidRPr="003E7C8C">
        <w:rPr>
          <w:sz w:val="20"/>
          <w:szCs w:val="20"/>
        </w:rPr>
        <w:t xml:space="preserve">                                                                 </w:t>
      </w:r>
      <w:r w:rsidR="003B42E5">
        <w:rPr>
          <w:sz w:val="20"/>
          <w:szCs w:val="20"/>
        </w:rPr>
        <w:t>(</w:t>
      </w:r>
      <w:r w:rsidRPr="003E7C8C">
        <w:rPr>
          <w:sz w:val="20"/>
          <w:szCs w:val="20"/>
        </w:rPr>
        <w:t>4</w:t>
      </w:r>
      <w:r w:rsidR="003B42E5">
        <w:rPr>
          <w:sz w:val="20"/>
          <w:szCs w:val="20"/>
        </w:rPr>
        <w:t>)</w:t>
      </w:r>
    </w:p>
    <w:p w14:paraId="75BA680C" w14:textId="0EDE3572" w:rsidR="00B22C18" w:rsidRPr="003E7C8C" w:rsidRDefault="00B22C18" w:rsidP="006B4CCB">
      <w:pPr>
        <w:spacing w:line="480" w:lineRule="auto"/>
        <w:jc w:val="both"/>
        <w:rPr>
          <w:sz w:val="20"/>
          <w:szCs w:val="20"/>
        </w:rPr>
      </w:pPr>
      <w:r w:rsidRPr="003E7C8C">
        <w:rPr>
          <w:sz w:val="20"/>
          <w:szCs w:val="20"/>
        </w:rPr>
        <w:t xml:space="preserve">where </w:t>
      </w:r>
      <w:r w:rsidRPr="003E7C8C">
        <w:rPr>
          <w:b/>
          <w:i/>
          <w:sz w:val="20"/>
          <w:szCs w:val="20"/>
        </w:rPr>
        <w:t>y</w:t>
      </w:r>
      <w:r w:rsidRPr="003E7C8C">
        <w:rPr>
          <w:sz w:val="20"/>
          <w:szCs w:val="20"/>
        </w:rPr>
        <w:t xml:space="preserve"> is the vector of adjusted phenotypic observations of a single trait; </w:t>
      </w:r>
      <m:oMath>
        <m:r>
          <w:rPr>
            <w:rFonts w:ascii="Cambria Math" w:hAnsi="Cambria Math"/>
            <w:sz w:val="20"/>
            <w:szCs w:val="20"/>
          </w:rPr>
          <m:t>β</m:t>
        </m:r>
      </m:oMath>
      <w:r w:rsidRPr="003E7C8C">
        <w:rPr>
          <w:sz w:val="20"/>
          <w:szCs w:val="20"/>
        </w:rPr>
        <w:t xml:space="preserve"> is the vector of fixed effects, including a grand mean and site effects; </w:t>
      </w:r>
      <m:oMath>
        <m:r>
          <w:rPr>
            <w:rFonts w:ascii="Cambria Math" w:hAnsi="Cambria Math"/>
            <w:sz w:val="20"/>
            <w:szCs w:val="20"/>
          </w:rPr>
          <m:t>a</m:t>
        </m:r>
      </m:oMath>
      <w:r w:rsidRPr="003E7C8C">
        <w:rPr>
          <w:sz w:val="20"/>
          <w:szCs w:val="20"/>
        </w:rPr>
        <w:t xml:space="preserve"> and </w:t>
      </w:r>
      <w:r w:rsidRPr="003E7C8C">
        <w:rPr>
          <w:i/>
          <w:sz w:val="20"/>
          <w:szCs w:val="20"/>
        </w:rPr>
        <w:t>d</w:t>
      </w:r>
      <w:r w:rsidRPr="003E7C8C">
        <w:rPr>
          <w:sz w:val="20"/>
          <w:szCs w:val="20"/>
        </w:rPr>
        <w:t xml:space="preserve"> are the vectors of random additive and dominance effects, respectively;</w:t>
      </w:r>
      <m:oMath>
        <m:r>
          <w:rPr>
            <w:rFonts w:ascii="Cambria Math" w:hAnsi="Cambria Math"/>
            <w:sz w:val="20"/>
            <w:szCs w:val="20"/>
          </w:rPr>
          <m:t xml:space="preserve"> as</m:t>
        </m:r>
      </m:oMath>
      <w:r w:rsidRPr="003E7C8C">
        <w:rPr>
          <w:sz w:val="20"/>
          <w:szCs w:val="20"/>
        </w:rPr>
        <w:t xml:space="preserve"> and </w:t>
      </w:r>
      <w:r w:rsidRPr="003E7C8C">
        <w:rPr>
          <w:i/>
          <w:iCs/>
          <w:sz w:val="20"/>
          <w:szCs w:val="20"/>
        </w:rPr>
        <w:t>ds</w:t>
      </w:r>
      <w:r w:rsidRPr="003E7C8C">
        <w:rPr>
          <w:sz w:val="20"/>
          <w:szCs w:val="20"/>
        </w:rPr>
        <w:t xml:space="preserve"> are the vectors of random additive-by-site and dominance-by-site effects, respectively;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xx</m:t>
            </m:r>
          </m:sub>
        </m:sSub>
      </m:oMath>
      <w:r w:rsidRPr="003E7C8C">
        <w:rPr>
          <w:sz w:val="20"/>
          <w:szCs w:val="20"/>
        </w:rPr>
        <w:t xml:space="preserve"> is one of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aa</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ad</m:t>
            </m:r>
          </m:sub>
        </m:sSub>
        <m:r>
          <w:rPr>
            <w:rFonts w:ascii="Cambria Math" w:hAnsi="Cambria Math"/>
            <w:sz w:val="20"/>
            <w:szCs w:val="20"/>
          </w:rPr>
          <m:t xml:space="preserve">, and </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dd</m:t>
            </m:r>
          </m:sub>
        </m:sSub>
      </m:oMath>
      <w:r w:rsidRPr="003E7C8C">
        <w:rPr>
          <w:sz w:val="20"/>
          <w:szCs w:val="20"/>
        </w:rPr>
        <w:t xml:space="preserve">, which are the vectors of random additive-by-additive, additive-by-dominance, and dominance-by-dominance epistatic effects, respectively; </w:t>
      </w:r>
      <w:r w:rsidRPr="003E7C8C">
        <w:rPr>
          <w:i/>
          <w:iCs/>
          <w:sz w:val="20"/>
          <w:szCs w:val="20"/>
        </w:rPr>
        <w:t>r</w:t>
      </w:r>
      <w:r w:rsidRPr="003E7C8C">
        <w:rPr>
          <w:sz w:val="20"/>
          <w:szCs w:val="20"/>
        </w:rPr>
        <w:t xml:space="preserve"> is the vector of residual genotypic effects, referring to an un-dissectable combination of dominance and epistatic effects in equation </w:t>
      </w:r>
      <w:r w:rsidR="003B42E5">
        <w:rPr>
          <w:sz w:val="20"/>
          <w:szCs w:val="20"/>
        </w:rPr>
        <w:t>(</w:t>
      </w:r>
      <w:r w:rsidRPr="003E7C8C">
        <w:rPr>
          <w:sz w:val="20"/>
          <w:szCs w:val="20"/>
        </w:rPr>
        <w:t>2</w:t>
      </w:r>
      <w:r w:rsidR="003B42E5">
        <w:rPr>
          <w:sz w:val="20"/>
          <w:szCs w:val="20"/>
        </w:rPr>
        <w:t>)</w:t>
      </w:r>
      <w:r w:rsidRPr="003E7C8C">
        <w:rPr>
          <w:sz w:val="20"/>
          <w:szCs w:val="20"/>
        </w:rPr>
        <w:t xml:space="preserve">, epistatic effects in equation </w:t>
      </w:r>
      <w:r w:rsidR="003B42E5">
        <w:rPr>
          <w:sz w:val="20"/>
          <w:szCs w:val="20"/>
        </w:rPr>
        <w:t>(</w:t>
      </w:r>
      <w:r w:rsidRPr="003E7C8C">
        <w:rPr>
          <w:sz w:val="20"/>
          <w:szCs w:val="20"/>
        </w:rPr>
        <w:t>3</w:t>
      </w:r>
      <w:r w:rsidR="003B42E5">
        <w:rPr>
          <w:sz w:val="20"/>
          <w:szCs w:val="20"/>
        </w:rPr>
        <w:t>)</w:t>
      </w:r>
      <w:r w:rsidRPr="003E7C8C">
        <w:rPr>
          <w:sz w:val="20"/>
          <w:szCs w:val="20"/>
        </w:rPr>
        <w:t xml:space="preserve">, epistatic effects excluding </w:t>
      </w:r>
      <w:r w:rsidRPr="003E7C8C">
        <w:rPr>
          <w:i/>
          <w:iCs/>
          <w:sz w:val="20"/>
          <w:szCs w:val="20"/>
        </w:rPr>
        <w:t>e</w:t>
      </w:r>
      <w:r w:rsidRPr="003E7C8C">
        <w:rPr>
          <w:sz w:val="20"/>
          <w:szCs w:val="20"/>
          <w:vertAlign w:val="subscript"/>
        </w:rPr>
        <w:t>xx</w:t>
      </w:r>
      <w:r w:rsidRPr="003E7C8C">
        <w:rPr>
          <w:sz w:val="20"/>
          <w:szCs w:val="20"/>
        </w:rPr>
        <w:t xml:space="preserve"> effects in equation </w:t>
      </w:r>
      <w:r w:rsidR="003B42E5">
        <w:rPr>
          <w:sz w:val="20"/>
          <w:szCs w:val="20"/>
        </w:rPr>
        <w:t>(</w:t>
      </w:r>
      <w:r w:rsidRPr="003E7C8C">
        <w:rPr>
          <w:sz w:val="20"/>
          <w:szCs w:val="20"/>
        </w:rPr>
        <w:t>4</w:t>
      </w:r>
      <w:r w:rsidR="003B42E5">
        <w:rPr>
          <w:sz w:val="20"/>
          <w:szCs w:val="20"/>
        </w:rPr>
        <w:t>)</w:t>
      </w:r>
      <w:r w:rsidRPr="003E7C8C">
        <w:rPr>
          <w:sz w:val="20"/>
          <w:szCs w:val="20"/>
        </w:rPr>
        <w:t xml:space="preserve">; </w:t>
      </w:r>
      <w:r w:rsidRPr="003E7C8C">
        <w:rPr>
          <w:i/>
          <w:iCs/>
          <w:sz w:val="20"/>
          <w:szCs w:val="20"/>
        </w:rPr>
        <w:t xml:space="preserve">rs </w:t>
      </w:r>
      <w:r w:rsidRPr="003E7C8C">
        <w:rPr>
          <w:sz w:val="20"/>
          <w:szCs w:val="20"/>
        </w:rPr>
        <w:t xml:space="preserve">is the vector of residual genotypic-by-site effects; </w:t>
      </w:r>
      <m:oMath>
        <m:r>
          <w:rPr>
            <w:rFonts w:ascii="Cambria Math" w:hAnsi="Cambria Math"/>
            <w:sz w:val="20"/>
            <w:szCs w:val="20"/>
          </w:rPr>
          <m:t>ε</m:t>
        </m:r>
      </m:oMath>
      <w:r w:rsidRPr="003E7C8C">
        <w:rPr>
          <w:sz w:val="20"/>
          <w:szCs w:val="20"/>
        </w:rPr>
        <w:t xml:space="preserve"> is the vector of random residual effects. </w:t>
      </w:r>
      <w:r w:rsidRPr="003E7C8C">
        <w:rPr>
          <w:b/>
          <w:i/>
          <w:sz w:val="20"/>
          <w:szCs w:val="20"/>
        </w:rPr>
        <w:t>X</w:t>
      </w:r>
      <w:r w:rsidRPr="003E7C8C">
        <w:rPr>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1</m:t>
            </m:r>
          </m:sub>
        </m:sSub>
      </m:oMath>
      <w:r w:rsidRPr="003E7C8C">
        <w:rPr>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2</m:t>
            </m:r>
          </m:sub>
        </m:sSub>
      </m:oMath>
      <w:r w:rsidRPr="003E7C8C">
        <w:rPr>
          <w:sz w:val="20"/>
          <w:szCs w:val="20"/>
        </w:rPr>
        <w:t>,</w:t>
      </w:r>
      <w:r w:rsidRPr="003E7C8C">
        <w:rPr>
          <w:b/>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3</m:t>
            </m:r>
          </m:sub>
        </m:sSub>
      </m:oMath>
      <w:r w:rsidRPr="003E7C8C">
        <w:rPr>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4</m:t>
            </m:r>
          </m:sub>
        </m:sSub>
      </m:oMath>
      <w:r w:rsidRPr="003E7C8C">
        <w:rPr>
          <w:b/>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5</m:t>
            </m:r>
          </m:sub>
        </m:sSub>
      </m:oMath>
      <w:r w:rsidRPr="003E7C8C">
        <w:rPr>
          <w:b/>
          <w:sz w:val="20"/>
          <w:szCs w:val="20"/>
        </w:rPr>
        <w:t>,</w:t>
      </w:r>
      <w:r w:rsidRPr="003E7C8C">
        <w:rPr>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6</m:t>
            </m:r>
          </m:sub>
        </m:sSub>
      </m:oMath>
      <w:r w:rsidRPr="003E7C8C">
        <w:rPr>
          <w:b/>
          <w:sz w:val="20"/>
          <w:szCs w:val="20"/>
        </w:rPr>
        <w:t xml:space="preserve">, </w:t>
      </w:r>
      <w:r w:rsidRPr="003E7C8C">
        <w:rPr>
          <w:bCs/>
          <w:sz w:val="20"/>
          <w:szCs w:val="20"/>
        </w:rPr>
        <w:t>and</w:t>
      </w:r>
      <w:r w:rsidRPr="003E7C8C">
        <w:rPr>
          <w:b/>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7</m:t>
            </m:r>
          </m:sub>
        </m:sSub>
      </m:oMath>
      <w:r w:rsidRPr="003E7C8C">
        <w:rPr>
          <w:b/>
          <w:sz w:val="20"/>
          <w:szCs w:val="20"/>
        </w:rPr>
        <w:t xml:space="preserve"> </w:t>
      </w:r>
      <w:r w:rsidRPr="003E7C8C">
        <w:rPr>
          <w:sz w:val="20"/>
          <w:szCs w:val="20"/>
        </w:rPr>
        <w:t xml:space="preserve">are the incidence matrices for </w:t>
      </w:r>
      <m:oMath>
        <m:r>
          <w:rPr>
            <w:rFonts w:ascii="Cambria Math" w:hAnsi="Cambria Math"/>
            <w:sz w:val="20"/>
            <w:szCs w:val="20"/>
          </w:rPr>
          <m:t xml:space="preserve">β, </m:t>
        </m:r>
      </m:oMath>
      <w:r w:rsidRPr="003E7C8C">
        <w:rPr>
          <w:i/>
          <w:iCs/>
          <w:sz w:val="20"/>
          <w:szCs w:val="20"/>
        </w:rPr>
        <w:t>a</w:t>
      </w:r>
      <w:r w:rsidRPr="003E7C8C">
        <w:rPr>
          <w:sz w:val="20"/>
          <w:szCs w:val="20"/>
        </w:rPr>
        <w:t xml:space="preserve">, </w:t>
      </w:r>
      <m:oMath>
        <m:r>
          <w:rPr>
            <w:rFonts w:ascii="Cambria Math" w:hAnsi="Cambria Math"/>
            <w:sz w:val="20"/>
            <w:szCs w:val="20"/>
          </w:rPr>
          <m:t>as</m:t>
        </m:r>
      </m:oMath>
      <w:r w:rsidRPr="003E7C8C">
        <w:rPr>
          <w:sz w:val="20"/>
          <w:szCs w:val="20"/>
        </w:rPr>
        <w:t xml:space="preserve">, </w:t>
      </w:r>
      <w:r w:rsidRPr="003E7C8C">
        <w:rPr>
          <w:i/>
          <w:iCs/>
          <w:sz w:val="20"/>
          <w:szCs w:val="20"/>
        </w:rPr>
        <w:t>d</w:t>
      </w:r>
      <w:r w:rsidRPr="003E7C8C">
        <w:rPr>
          <w:sz w:val="20"/>
          <w:szCs w:val="20"/>
        </w:rPr>
        <w:t xml:space="preserve">, </w:t>
      </w:r>
      <w:r w:rsidRPr="003E7C8C">
        <w:rPr>
          <w:i/>
          <w:iCs/>
          <w:sz w:val="20"/>
          <w:szCs w:val="20"/>
        </w:rPr>
        <w:t>ds</w:t>
      </w:r>
      <w:r w:rsidRPr="003E7C8C">
        <w:rPr>
          <w:sz w:val="20"/>
          <w:szCs w:val="20"/>
        </w:rPr>
        <w:t xml:space="preserve">,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xx</m:t>
            </m:r>
          </m:sub>
        </m:sSub>
      </m:oMath>
      <w:r w:rsidRPr="003E7C8C">
        <w:rPr>
          <w:sz w:val="20"/>
          <w:szCs w:val="20"/>
        </w:rPr>
        <w:t xml:space="preserve">, </w:t>
      </w:r>
      <w:r w:rsidRPr="003E7C8C">
        <w:rPr>
          <w:i/>
          <w:sz w:val="20"/>
          <w:szCs w:val="20"/>
        </w:rPr>
        <w:t>r</w:t>
      </w:r>
      <w:r w:rsidRPr="003E7C8C">
        <w:rPr>
          <w:sz w:val="20"/>
          <w:szCs w:val="20"/>
        </w:rPr>
        <w:t>, and</w:t>
      </w:r>
      <w:r w:rsidRPr="003E7C8C">
        <w:rPr>
          <w:i/>
          <w:sz w:val="20"/>
          <w:szCs w:val="20"/>
        </w:rPr>
        <w:t xml:space="preserve"> rs</w:t>
      </w:r>
      <w:r w:rsidRPr="003E7C8C">
        <w:rPr>
          <w:sz w:val="20"/>
          <w:szCs w:val="20"/>
        </w:rPr>
        <w:t>, respectively. The random additive effects (</w:t>
      </w:r>
      <m:oMath>
        <m:r>
          <w:rPr>
            <w:rFonts w:ascii="Cambria Math" w:hAnsi="Cambria Math"/>
            <w:sz w:val="20"/>
            <w:szCs w:val="20"/>
          </w:rPr>
          <m:t>a</m:t>
        </m:r>
      </m:oMath>
      <w:r w:rsidRPr="003E7C8C">
        <w:rPr>
          <w:sz w:val="20"/>
          <w:szCs w:val="20"/>
        </w:rPr>
        <w:t xml:space="preserve">) in equation </w:t>
      </w:r>
      <w:r w:rsidR="003B42E5">
        <w:rPr>
          <w:sz w:val="20"/>
          <w:szCs w:val="20"/>
        </w:rPr>
        <w:t>(</w:t>
      </w:r>
      <w:r w:rsidRPr="003E7C8C">
        <w:rPr>
          <w:sz w:val="20"/>
          <w:szCs w:val="20"/>
        </w:rPr>
        <w:t>1</w:t>
      </w:r>
      <m:oMath>
        <m:r>
          <w:rPr>
            <w:rFonts w:ascii="Cambria Math" w:hAnsi="Cambria Math"/>
            <w:sz w:val="20"/>
            <w:szCs w:val="20"/>
          </w:rPr>
          <m:t>–</m:t>
        </m:r>
      </m:oMath>
      <w:r w:rsidRPr="003E7C8C">
        <w:rPr>
          <w:sz w:val="20"/>
          <w:szCs w:val="20"/>
        </w:rPr>
        <w:t>4</w:t>
      </w:r>
      <w:r w:rsidR="003B42E5">
        <w:rPr>
          <w:sz w:val="20"/>
          <w:szCs w:val="20"/>
        </w:rPr>
        <w:t>)</w:t>
      </w:r>
      <w:r w:rsidRPr="003E7C8C">
        <w:rPr>
          <w:sz w:val="20"/>
          <w:szCs w:val="20"/>
        </w:rPr>
        <w:t xml:space="preserve"> were assumed to follow </w:t>
      </w:r>
      <m:oMath>
        <m:r>
          <w:rPr>
            <w:rFonts w:ascii="Cambria Math" w:hAnsi="Cambria Math"/>
            <w:sz w:val="20"/>
            <w:szCs w:val="20"/>
          </w:rPr>
          <m:t>a~N</m:t>
        </m:r>
        <m:d>
          <m:dPr>
            <m:ctrlPr>
              <w:rPr>
                <w:rFonts w:ascii="Cambria Math" w:hAnsi="Cambria Math"/>
                <w:i/>
                <w:sz w:val="20"/>
                <w:szCs w:val="20"/>
              </w:rPr>
            </m:ctrlPr>
          </m:dPr>
          <m:e>
            <m:r>
              <w:rPr>
                <w:rFonts w:ascii="Cambria Math" w:hAnsi="Cambria Math"/>
                <w:sz w:val="20"/>
                <w:szCs w:val="20"/>
              </w:rPr>
              <m:t xml:space="preserve">0, </m:t>
            </m:r>
            <m:r>
              <m:rPr>
                <m:sty m:val="bi"/>
              </m:rPr>
              <w:rPr>
                <w:rFonts w:ascii="Cambria Math" w:hAnsi="Cambria Math"/>
                <w:sz w:val="20"/>
                <w:szCs w:val="20"/>
              </w:rPr>
              <m:t>A</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e>
        </m:d>
      </m:oMath>
      <w:r w:rsidRPr="003E7C8C">
        <w:rPr>
          <w:sz w:val="20"/>
          <w:szCs w:val="20"/>
        </w:rPr>
        <w:t xml:space="preserve"> with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oMath>
      <w:r w:rsidRPr="003E7C8C">
        <w:rPr>
          <w:sz w:val="20"/>
          <w:szCs w:val="20"/>
        </w:rPr>
        <w:t xml:space="preserve"> the additive variance, where </w:t>
      </w:r>
      <w:r w:rsidRPr="003E7C8C">
        <w:rPr>
          <w:b/>
          <w:bCs/>
          <w:i/>
          <w:sz w:val="20"/>
          <w:szCs w:val="20"/>
        </w:rPr>
        <w:t>A</w:t>
      </w:r>
      <w:r w:rsidRPr="003E7C8C">
        <w:rPr>
          <w:sz w:val="20"/>
          <w:szCs w:val="20"/>
        </w:rPr>
        <w:t xml:space="preserve"> is the pedigree-based additive relationship matrix in PBLUP (or replaced by a genomic-based additive relationship matrix </w:t>
      </w:r>
      <m:oMath>
        <m:sSub>
          <m:sSubPr>
            <m:ctrlPr>
              <w:rPr>
                <w:rFonts w:ascii="Cambria Math" w:hAnsi="Cambria Math"/>
                <w:b/>
                <w:bCs/>
                <w:i/>
                <w:iCs/>
                <w:sz w:val="20"/>
                <w:szCs w:val="20"/>
              </w:rPr>
            </m:ctrlPr>
          </m:sSubPr>
          <m:e>
            <m:r>
              <m:rPr>
                <m:sty m:val="bi"/>
              </m:rPr>
              <w:rPr>
                <w:rFonts w:ascii="Cambria Math" w:hAnsi="Cambria Math"/>
                <w:sz w:val="20"/>
                <w:szCs w:val="20"/>
              </w:rPr>
              <m:t>G</m:t>
            </m:r>
          </m:e>
          <m:sub>
            <m:r>
              <m:rPr>
                <m:sty m:val="bi"/>
              </m:rPr>
              <w:rPr>
                <w:rFonts w:ascii="Cambria Math" w:hAnsi="Cambria Math"/>
                <w:sz w:val="20"/>
                <w:szCs w:val="20"/>
              </w:rPr>
              <m:t>a</m:t>
            </m:r>
          </m:sub>
        </m:sSub>
      </m:oMath>
      <w:r w:rsidRPr="003E7C8C">
        <w:rPr>
          <w:sz w:val="20"/>
          <w:szCs w:val="20"/>
        </w:rPr>
        <w:t xml:space="preserve"> in GBLUP). The random dominance effects (</w:t>
      </w:r>
      <w:r w:rsidRPr="003E7C8C">
        <w:rPr>
          <w:i/>
          <w:sz w:val="20"/>
          <w:szCs w:val="20"/>
        </w:rPr>
        <w:t>d</w:t>
      </w:r>
      <w:r w:rsidRPr="003E7C8C">
        <w:rPr>
          <w:sz w:val="20"/>
          <w:szCs w:val="20"/>
        </w:rPr>
        <w:t xml:space="preserve">) in equations </w:t>
      </w:r>
      <w:r w:rsidR="003B42E5">
        <w:rPr>
          <w:sz w:val="20"/>
          <w:szCs w:val="20"/>
        </w:rPr>
        <w:t>(</w:t>
      </w:r>
      <w:r w:rsidRPr="003E7C8C">
        <w:rPr>
          <w:sz w:val="20"/>
          <w:szCs w:val="20"/>
        </w:rPr>
        <w:t>1</w:t>
      </w:r>
      <m:oMath>
        <m:r>
          <w:rPr>
            <w:rFonts w:ascii="Cambria Math" w:hAnsi="Cambria Math"/>
            <w:sz w:val="20"/>
            <w:szCs w:val="20"/>
          </w:rPr>
          <m:t>–</m:t>
        </m:r>
      </m:oMath>
      <w:r w:rsidRPr="003E7C8C">
        <w:rPr>
          <w:sz w:val="20"/>
          <w:szCs w:val="20"/>
        </w:rPr>
        <w:t>4</w:t>
      </w:r>
      <w:r w:rsidR="003B42E5">
        <w:rPr>
          <w:sz w:val="20"/>
          <w:szCs w:val="20"/>
        </w:rPr>
        <w:t>)</w:t>
      </w:r>
      <w:r w:rsidRPr="003E7C8C">
        <w:rPr>
          <w:sz w:val="20"/>
          <w:szCs w:val="20"/>
        </w:rPr>
        <w:t xml:space="preserve"> were assumed to follow </w:t>
      </w:r>
      <m:oMath>
        <m:r>
          <w:rPr>
            <w:rFonts w:ascii="Cambria Math" w:hAnsi="Cambria Math"/>
            <w:sz w:val="20"/>
            <w:szCs w:val="20"/>
          </w:rPr>
          <m:t>d~N</m:t>
        </m:r>
        <m:d>
          <m:dPr>
            <m:ctrlPr>
              <w:rPr>
                <w:rFonts w:ascii="Cambria Math" w:hAnsi="Cambria Math"/>
                <w:i/>
                <w:sz w:val="20"/>
                <w:szCs w:val="20"/>
              </w:rPr>
            </m:ctrlPr>
          </m:dPr>
          <m:e>
            <m:r>
              <w:rPr>
                <w:rFonts w:ascii="Cambria Math" w:hAnsi="Cambria Math"/>
                <w:sz w:val="20"/>
                <w:szCs w:val="20"/>
              </w:rPr>
              <m:t xml:space="preserve">0, </m:t>
            </m:r>
            <m:r>
              <m:rPr>
                <m:sty m:val="bi"/>
              </m:rPr>
              <w:rPr>
                <w:rFonts w:ascii="Cambria Math" w:hAnsi="Cambria Math"/>
                <w:sz w:val="20"/>
                <w:szCs w:val="20"/>
              </w:rPr>
              <m:t>D</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m:t>
                </m:r>
              </m:sub>
              <m:sup>
                <m:r>
                  <w:rPr>
                    <w:rFonts w:ascii="Cambria Math" w:hAnsi="Cambria Math"/>
                    <w:sz w:val="20"/>
                    <w:szCs w:val="20"/>
                  </w:rPr>
                  <m:t>2</m:t>
                </m:r>
              </m:sup>
            </m:sSubSup>
          </m:e>
        </m:d>
      </m:oMath>
      <w:r w:rsidRPr="003E7C8C">
        <w:rPr>
          <w:sz w:val="20"/>
          <w:szCs w:val="20"/>
        </w:rPr>
        <w:t xml:space="preserve"> with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m:t>
            </m:r>
          </m:sub>
          <m:sup>
            <m:r>
              <w:rPr>
                <w:rFonts w:ascii="Cambria Math" w:hAnsi="Cambria Math"/>
                <w:sz w:val="20"/>
                <w:szCs w:val="20"/>
              </w:rPr>
              <m:t>2</m:t>
            </m:r>
          </m:sup>
        </m:sSubSup>
      </m:oMath>
      <w:r w:rsidRPr="003E7C8C">
        <w:rPr>
          <w:sz w:val="20"/>
          <w:szCs w:val="20"/>
        </w:rPr>
        <w:t xml:space="preserve"> the dominance variance, where </w:t>
      </w:r>
      <w:r w:rsidRPr="003E7C8C">
        <w:rPr>
          <w:b/>
          <w:i/>
          <w:sz w:val="20"/>
          <w:szCs w:val="20"/>
        </w:rPr>
        <w:t>D</w:t>
      </w:r>
      <w:r w:rsidRPr="003E7C8C">
        <w:rPr>
          <w:sz w:val="20"/>
          <w:szCs w:val="20"/>
        </w:rPr>
        <w:t xml:space="preserve"> is the pedigree-based </w:t>
      </w:r>
      <w:r w:rsidRPr="003E7C8C">
        <w:rPr>
          <w:noProof/>
          <w:sz w:val="20"/>
          <w:szCs w:val="20"/>
        </w:rPr>
        <w:t xml:space="preserve">dominance relationship matrix in PBLUP (or replaced by a </w:t>
      </w:r>
      <w:r w:rsidRPr="003E7C8C">
        <w:rPr>
          <w:sz w:val="20"/>
          <w:szCs w:val="20"/>
        </w:rPr>
        <w:t xml:space="preserve">genomic-based dominance relationship matrix </w:t>
      </w:r>
      <m:oMath>
        <m:sSub>
          <m:sSubPr>
            <m:ctrlPr>
              <w:rPr>
                <w:rFonts w:ascii="Cambria Math" w:hAnsi="Cambria Math"/>
                <w:b/>
                <w:bCs/>
                <w:i/>
                <w:iCs/>
                <w:sz w:val="20"/>
                <w:szCs w:val="20"/>
              </w:rPr>
            </m:ctrlPr>
          </m:sSubPr>
          <m:e>
            <m:r>
              <m:rPr>
                <m:sty m:val="bi"/>
              </m:rPr>
              <w:rPr>
                <w:rFonts w:ascii="Cambria Math" w:hAnsi="Cambria Math"/>
                <w:sz w:val="20"/>
                <w:szCs w:val="20"/>
              </w:rPr>
              <m:t>G</m:t>
            </m:r>
          </m:e>
          <m:sub>
            <m:r>
              <m:rPr>
                <m:sty m:val="bi"/>
              </m:rPr>
              <w:rPr>
                <w:rFonts w:ascii="Cambria Math" w:hAnsi="Cambria Math"/>
                <w:sz w:val="20"/>
                <w:szCs w:val="20"/>
              </w:rPr>
              <m:t>d</m:t>
            </m:r>
          </m:sub>
        </m:sSub>
      </m:oMath>
      <w:r w:rsidRPr="003E7C8C">
        <w:rPr>
          <w:noProof/>
          <w:sz w:val="20"/>
          <w:szCs w:val="20"/>
        </w:rPr>
        <w:t xml:space="preserve"> in GBLUP)</w:t>
      </w:r>
      <w:r w:rsidRPr="003E7C8C">
        <w:rPr>
          <w:sz w:val="20"/>
          <w:szCs w:val="20"/>
        </w:rPr>
        <w:t xml:space="preserve">. The </w:t>
      </w:r>
      <w:r w:rsidRPr="003E7C8C">
        <w:rPr>
          <w:i/>
          <w:sz w:val="20"/>
          <w:szCs w:val="20"/>
        </w:rPr>
        <w:t>as</w:t>
      </w:r>
      <w:r w:rsidRPr="003E7C8C">
        <w:rPr>
          <w:sz w:val="20"/>
          <w:szCs w:val="20"/>
        </w:rPr>
        <w:t xml:space="preserve"> and </w:t>
      </w:r>
      <w:r w:rsidRPr="003E7C8C">
        <w:rPr>
          <w:i/>
          <w:sz w:val="20"/>
          <w:szCs w:val="20"/>
        </w:rPr>
        <w:t>ds</w:t>
      </w:r>
      <w:r w:rsidRPr="003E7C8C">
        <w:rPr>
          <w:sz w:val="20"/>
          <w:szCs w:val="20"/>
        </w:rPr>
        <w:t xml:space="preserve"> are the random additive-by-site and dominance-by-site interaction effects following </w:t>
      </w:r>
      <m:oMath>
        <m:r>
          <w:rPr>
            <w:rFonts w:ascii="Cambria Math" w:hAnsi="Cambria Math"/>
            <w:sz w:val="20"/>
            <w:szCs w:val="20"/>
          </w:rPr>
          <m:t xml:space="preserve">as ~N(0,  </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as</m:t>
            </m:r>
          </m:sub>
          <m:sup>
            <m:r>
              <w:rPr>
                <w:rFonts w:ascii="Cambria Math" w:hAnsi="Cambria Math"/>
                <w:sz w:val="20"/>
                <w:szCs w:val="20"/>
              </w:rPr>
              <m:t>2</m:t>
            </m:r>
          </m:sup>
        </m:sSubSup>
        <m:sSub>
          <m:sSubPr>
            <m:ctrlPr>
              <w:rPr>
                <w:rFonts w:ascii="Cambria Math" w:hAnsi="Cambria Math"/>
                <w:b/>
                <w:bCs/>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s</m:t>
            </m:r>
          </m:sub>
        </m:sSub>
        <m:r>
          <w:rPr>
            <w:rFonts w:ascii="Cambria Math" w:hAnsi="Cambria Math"/>
            <w:sz w:val="20"/>
            <w:szCs w:val="20"/>
          </w:rPr>
          <m:t>⨂</m:t>
        </m:r>
        <m:r>
          <m:rPr>
            <m:sty m:val="bi"/>
          </m:rPr>
          <w:rPr>
            <w:rFonts w:ascii="Cambria Math" w:hAnsi="Cambria Math"/>
            <w:sz w:val="20"/>
            <w:szCs w:val="20"/>
          </w:rPr>
          <m:t>A</m:t>
        </m:r>
        <m:r>
          <w:rPr>
            <w:rFonts w:ascii="Cambria Math" w:hAnsi="Cambria Math"/>
            <w:sz w:val="20"/>
            <w:szCs w:val="20"/>
          </w:rPr>
          <m:t>)</m:t>
        </m:r>
      </m:oMath>
      <w:r w:rsidRPr="003E7C8C">
        <w:rPr>
          <w:sz w:val="20"/>
          <w:szCs w:val="20"/>
        </w:rPr>
        <w:t>, and</w:t>
      </w:r>
      <m:oMath>
        <m:r>
          <w:rPr>
            <w:rFonts w:ascii="Cambria Math" w:hAnsi="Cambria Math"/>
            <w:sz w:val="20"/>
            <w:szCs w:val="20"/>
          </w:rPr>
          <m:t xml:space="preserve"> ds~N</m:t>
        </m:r>
        <m:d>
          <m:dPr>
            <m:ctrlPr>
              <w:rPr>
                <w:rFonts w:ascii="Cambria Math" w:hAnsi="Cambria Math"/>
                <w:i/>
                <w:sz w:val="20"/>
                <w:szCs w:val="20"/>
              </w:rPr>
            </m:ctrlPr>
          </m:dPr>
          <m:e>
            <m:r>
              <w:rPr>
                <w:rFonts w:ascii="Cambria Math" w:hAnsi="Cambria Math"/>
                <w:sz w:val="20"/>
                <w:szCs w:val="20"/>
              </w:rPr>
              <m:t>0,</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ds</m:t>
                </m:r>
              </m:sub>
              <m:sup>
                <m:r>
                  <w:rPr>
                    <w:rFonts w:ascii="Cambria Math" w:hAnsi="Cambria Math"/>
                    <w:sz w:val="20"/>
                    <w:szCs w:val="20"/>
                  </w:rPr>
                  <m:t>2</m:t>
                </m:r>
              </m:sup>
            </m:sSubSup>
            <m:sSub>
              <m:sSubPr>
                <m:ctrlPr>
                  <w:rPr>
                    <w:rFonts w:ascii="Cambria Math" w:hAnsi="Cambria Math"/>
                    <w:b/>
                    <w:bCs/>
                    <w:i/>
                    <w:sz w:val="20"/>
                    <w:szCs w:val="20"/>
                  </w:rPr>
                </m:ctrlPr>
              </m:sSubPr>
              <m:e>
                <m:r>
                  <m:rPr>
                    <m:sty m:val="bi"/>
                  </m:rPr>
                  <w:rPr>
                    <w:rFonts w:ascii="Cambria Math" w:hAnsi="Cambria Math"/>
                    <w:sz w:val="20"/>
                    <w:szCs w:val="20"/>
                  </w:rPr>
                  <m:t>I</m:t>
                </m:r>
              </m:e>
              <m:sub>
                <m:r>
                  <m:rPr>
                    <m:sty m:val="bi"/>
                  </m:rPr>
                  <w:rPr>
                    <w:rFonts w:ascii="Cambria Math" w:hAnsi="Cambria Math"/>
                    <w:sz w:val="20"/>
                    <w:szCs w:val="20"/>
                  </w:rPr>
                  <m:t>s</m:t>
                </m:r>
              </m:sub>
            </m:sSub>
            <m:r>
              <w:rPr>
                <w:rFonts w:ascii="Cambria Math" w:hAnsi="Cambria Math"/>
                <w:sz w:val="20"/>
                <w:szCs w:val="20"/>
              </w:rPr>
              <m:t>⨂</m:t>
            </m:r>
            <m:r>
              <m:rPr>
                <m:sty m:val="bi"/>
              </m:rPr>
              <w:rPr>
                <w:rFonts w:ascii="Cambria Math" w:hAnsi="Cambria Math"/>
                <w:sz w:val="20"/>
                <w:szCs w:val="20"/>
              </w:rPr>
              <m:t>D</m:t>
            </m:r>
          </m:e>
        </m:d>
      </m:oMath>
      <w:r w:rsidRPr="003E7C8C">
        <w:rPr>
          <w:i/>
          <w:sz w:val="20"/>
          <w:szCs w:val="20"/>
        </w:rPr>
        <w:t xml:space="preserve"> </w:t>
      </w:r>
      <w:r w:rsidRPr="003E7C8C">
        <w:rPr>
          <w:iCs/>
          <w:sz w:val="20"/>
          <w:szCs w:val="20"/>
        </w:rPr>
        <w:t>in the PBLUP model</w:t>
      </w:r>
      <w:r w:rsidRPr="003E7C8C">
        <w:rPr>
          <w:i/>
          <w:sz w:val="20"/>
          <w:szCs w:val="20"/>
        </w:rPr>
        <w:t xml:space="preserve"> </w:t>
      </w:r>
      <w:r w:rsidRPr="003E7C8C">
        <w:rPr>
          <w:iCs/>
          <w:sz w:val="20"/>
          <w:szCs w:val="20"/>
        </w:rPr>
        <w:t xml:space="preserve">(or replaced by </w:t>
      </w:r>
      <m:oMath>
        <m:sSub>
          <m:sSubPr>
            <m:ctrlPr>
              <w:rPr>
                <w:rFonts w:ascii="Cambria Math" w:hAnsi="Cambria Math"/>
                <w:b/>
                <w:bCs/>
                <w:iCs/>
                <w:noProof/>
                <w:sz w:val="20"/>
                <w:szCs w:val="20"/>
              </w:rPr>
            </m:ctrlPr>
          </m:sSubPr>
          <m:e>
            <m:r>
              <m:rPr>
                <m:sty m:val="bi"/>
              </m:rPr>
              <w:rPr>
                <w:rFonts w:ascii="Cambria Math" w:hAnsi="Cambria Math"/>
                <w:noProof/>
                <w:sz w:val="20"/>
                <w:szCs w:val="20"/>
              </w:rPr>
              <m:t>G</m:t>
            </m:r>
          </m:e>
          <m:sub>
            <m:r>
              <m:rPr>
                <m:sty m:val="b"/>
              </m:rPr>
              <w:rPr>
                <w:rFonts w:ascii="Cambria Math" w:hAnsi="Cambria Math"/>
                <w:noProof/>
                <w:sz w:val="20"/>
                <w:szCs w:val="20"/>
              </w:rPr>
              <m:t>a</m:t>
            </m:r>
          </m:sub>
        </m:sSub>
      </m:oMath>
      <w:r w:rsidRPr="003E7C8C">
        <w:rPr>
          <w:iCs/>
          <w:sz w:val="20"/>
          <w:szCs w:val="20"/>
        </w:rPr>
        <w:t xml:space="preserve"> and </w:t>
      </w:r>
      <m:oMath>
        <m:sSub>
          <m:sSubPr>
            <m:ctrlPr>
              <w:rPr>
                <w:rFonts w:ascii="Cambria Math" w:hAnsi="Cambria Math"/>
                <w:iCs/>
                <w:noProof/>
                <w:sz w:val="20"/>
                <w:szCs w:val="20"/>
              </w:rPr>
            </m:ctrlPr>
          </m:sSubPr>
          <m:e>
            <m:r>
              <m:rPr>
                <m:sty m:val="bi"/>
              </m:rPr>
              <w:rPr>
                <w:rFonts w:ascii="Cambria Math" w:hAnsi="Cambria Math"/>
                <w:noProof/>
                <w:sz w:val="20"/>
                <w:szCs w:val="20"/>
              </w:rPr>
              <m:t>G</m:t>
            </m:r>
          </m:e>
          <m:sub>
            <m:r>
              <m:rPr>
                <m:sty m:val="p"/>
              </m:rPr>
              <w:rPr>
                <w:rFonts w:ascii="Cambria Math" w:hAnsi="Cambria Math"/>
                <w:noProof/>
                <w:sz w:val="20"/>
                <w:szCs w:val="20"/>
              </w:rPr>
              <m:t>d</m:t>
            </m:r>
          </m:sub>
        </m:sSub>
      </m:oMath>
      <w:r w:rsidRPr="003E7C8C">
        <w:rPr>
          <w:iCs/>
          <w:sz w:val="20"/>
          <w:szCs w:val="20"/>
        </w:rPr>
        <w:t xml:space="preserve"> in the GBLUP model)</w:t>
      </w:r>
      <w:r w:rsidRPr="003E7C8C">
        <w:rPr>
          <w:i/>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as</m:t>
            </m:r>
          </m:sub>
          <m:sup>
            <m:r>
              <w:rPr>
                <w:rFonts w:ascii="Cambria Math" w:hAnsi="Cambria Math"/>
                <w:sz w:val="20"/>
                <w:szCs w:val="20"/>
              </w:rPr>
              <m:t>2</m:t>
            </m:r>
          </m:sup>
        </m:sSubSup>
      </m:oMath>
      <w:r w:rsidRPr="003E7C8C">
        <w:rPr>
          <w:i/>
          <w:sz w:val="20"/>
          <w:szCs w:val="20"/>
        </w:rPr>
        <w:t xml:space="preserve"> and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ds</m:t>
            </m:r>
          </m:sub>
          <m:sup>
            <m:r>
              <w:rPr>
                <w:rFonts w:ascii="Cambria Math" w:hAnsi="Cambria Math"/>
                <w:sz w:val="20"/>
                <w:szCs w:val="20"/>
              </w:rPr>
              <m:t>2</m:t>
            </m:r>
          </m:sup>
        </m:sSubSup>
      </m:oMath>
      <w:r w:rsidRPr="003E7C8C">
        <w:rPr>
          <w:i/>
          <w:sz w:val="20"/>
          <w:szCs w:val="20"/>
        </w:rPr>
        <w:t xml:space="preserve"> </w:t>
      </w:r>
      <w:r w:rsidRPr="003E7C8C">
        <w:rPr>
          <w:sz w:val="20"/>
          <w:szCs w:val="20"/>
        </w:rPr>
        <w:t>are the additive-by-site and dominance-by-site variances, respectively</w:t>
      </w:r>
      <w:r w:rsidRPr="003E7C8C">
        <w:rPr>
          <w:i/>
          <w:sz w:val="20"/>
          <w:szCs w:val="20"/>
        </w:rPr>
        <w:t xml:space="preserve">.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aa</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ad</m:t>
            </m:r>
          </m:sub>
        </m:sSub>
        <m:r>
          <w:rPr>
            <w:rFonts w:ascii="Cambria Math" w:hAnsi="Cambria Math"/>
            <w:sz w:val="20"/>
            <w:szCs w:val="20"/>
          </w:rPr>
          <m:t xml:space="preserve">, and </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dd</m:t>
            </m:r>
          </m:sub>
        </m:sSub>
      </m:oMath>
      <w:r w:rsidRPr="003E7C8C">
        <w:rPr>
          <w:sz w:val="20"/>
          <w:szCs w:val="20"/>
        </w:rPr>
        <w:t xml:space="preserve"> are the vectors of the random additive-by-additive, additive-by-dominance and dominance-by-dominance epistatic effects</w:t>
      </w:r>
      <w:r w:rsidRPr="003E7C8C">
        <w:rPr>
          <w:b/>
          <w:i/>
          <w:sz w:val="20"/>
          <w:szCs w:val="20"/>
        </w:rPr>
        <w:t xml:space="preserve"> </w:t>
      </w:r>
      <w:r w:rsidRPr="003E7C8C">
        <w:rPr>
          <w:sz w:val="20"/>
          <w:szCs w:val="20"/>
        </w:rPr>
        <w:t xml:space="preserve">following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aa</m:t>
            </m:r>
          </m:sub>
        </m:sSub>
        <m:r>
          <w:rPr>
            <w:rFonts w:ascii="Cambria Math" w:hAnsi="Cambria Math"/>
            <w:sz w:val="20"/>
            <w:szCs w:val="20"/>
          </w:rPr>
          <m:t>~ N(0</m:t>
        </m:r>
        <m:r>
          <m:rPr>
            <m:sty m:val="bi"/>
          </m:rPr>
          <w:rPr>
            <w:rFonts w:ascii="Cambria Math" w:hAnsi="Cambria Math"/>
            <w:sz w:val="20"/>
            <w:szCs w:val="20"/>
          </w:rPr>
          <m:t xml:space="preserve">, </m:t>
        </m:r>
        <m:sSub>
          <m:sSubPr>
            <m:ctrlPr>
              <w:rPr>
                <w:rFonts w:ascii="Cambria Math" w:hAnsi="Cambria Math"/>
                <w:b/>
                <w:i/>
                <w:sz w:val="20"/>
                <w:szCs w:val="20"/>
              </w:rPr>
            </m:ctrlPr>
          </m:sSubPr>
          <m:e>
            <m:r>
              <m:rPr>
                <m:sty m:val="bi"/>
              </m:rPr>
              <w:rPr>
                <w:rFonts w:ascii="Cambria Math" w:hAnsi="Cambria Math"/>
                <w:sz w:val="20"/>
                <w:szCs w:val="20"/>
              </w:rPr>
              <m:t>P</m:t>
            </m:r>
          </m:e>
          <m:sub>
            <m:r>
              <m:rPr>
                <m:sty m:val="bi"/>
              </m:rPr>
              <w:rPr>
                <w:rFonts w:ascii="Cambria Math" w:hAnsi="Cambria Math"/>
                <w:sz w:val="20"/>
                <w:szCs w:val="20"/>
              </w:rPr>
              <m:t>aa</m:t>
            </m:r>
          </m:sub>
        </m:sSub>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aa</m:t>
            </m:r>
          </m:sub>
          <m:sup>
            <m:r>
              <w:rPr>
                <w:rFonts w:ascii="Cambria Math" w:hAnsi="Cambria Math"/>
                <w:sz w:val="20"/>
                <w:szCs w:val="20"/>
              </w:rPr>
              <m:t>2</m:t>
            </m:r>
          </m:sup>
        </m:sSubSup>
        <m:r>
          <w:rPr>
            <w:rFonts w:ascii="Cambria Math" w:hAnsi="Cambria Math"/>
            <w:sz w:val="20"/>
            <w:szCs w:val="20"/>
          </w:rPr>
          <m:t>)</m:t>
        </m:r>
      </m:oMath>
      <w:r w:rsidRPr="003E7C8C">
        <w:rPr>
          <w:sz w:val="20"/>
          <w:szCs w:val="20"/>
        </w:rPr>
        <w:t xml:space="preserve">,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ad</m:t>
            </m:r>
          </m:sub>
        </m:sSub>
        <m:r>
          <w:rPr>
            <w:rFonts w:ascii="Cambria Math" w:hAnsi="Cambria Math"/>
            <w:sz w:val="20"/>
            <w:szCs w:val="20"/>
          </w:rPr>
          <m:t xml:space="preserve">~ N(0, </m:t>
        </m:r>
        <m:sSub>
          <m:sSubPr>
            <m:ctrlPr>
              <w:rPr>
                <w:rFonts w:ascii="Cambria Math" w:hAnsi="Cambria Math"/>
                <w:b/>
                <w:bCs/>
                <w:i/>
                <w:sz w:val="20"/>
                <w:szCs w:val="20"/>
              </w:rPr>
            </m:ctrlPr>
          </m:sSubPr>
          <m:e>
            <m:r>
              <m:rPr>
                <m:sty m:val="bi"/>
              </m:rPr>
              <w:rPr>
                <w:rFonts w:ascii="Cambria Math" w:hAnsi="Cambria Math"/>
                <w:sz w:val="20"/>
                <w:szCs w:val="20"/>
              </w:rPr>
              <m:t>P</m:t>
            </m:r>
          </m:e>
          <m:sub>
            <m:r>
              <m:rPr>
                <m:sty m:val="bi"/>
              </m:rPr>
              <w:rPr>
                <w:rFonts w:ascii="Cambria Math" w:hAnsi="Cambria Math"/>
                <w:sz w:val="20"/>
                <w:szCs w:val="20"/>
              </w:rPr>
              <m:t>ad</m:t>
            </m:r>
          </m:sub>
        </m:sSub>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ad</m:t>
            </m:r>
          </m:sub>
          <m:sup>
            <m:r>
              <w:rPr>
                <w:rFonts w:ascii="Cambria Math" w:hAnsi="Cambria Math"/>
                <w:sz w:val="20"/>
                <w:szCs w:val="20"/>
              </w:rPr>
              <m:t>2</m:t>
            </m:r>
          </m:sup>
        </m:sSubSup>
        <m:r>
          <w:rPr>
            <w:rFonts w:ascii="Cambria Math" w:hAnsi="Cambria Math"/>
            <w:sz w:val="20"/>
            <w:szCs w:val="20"/>
          </w:rPr>
          <m:t>)</m:t>
        </m:r>
      </m:oMath>
      <w:r w:rsidRPr="003E7C8C">
        <w:rPr>
          <w:sz w:val="20"/>
          <w:szCs w:val="20"/>
        </w:rPr>
        <w:t xml:space="preserve">, and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dd</m:t>
            </m:r>
          </m:sub>
        </m:sSub>
        <m:r>
          <w:rPr>
            <w:rFonts w:ascii="Cambria Math" w:hAnsi="Cambria Math"/>
            <w:sz w:val="20"/>
            <w:szCs w:val="20"/>
          </w:rPr>
          <m:t xml:space="preserve">~ N(0, </m:t>
        </m:r>
        <m:sSub>
          <m:sSubPr>
            <m:ctrlPr>
              <w:rPr>
                <w:rFonts w:ascii="Cambria Math" w:hAnsi="Cambria Math"/>
                <w:b/>
                <w:bCs/>
                <w:i/>
                <w:sz w:val="20"/>
                <w:szCs w:val="20"/>
              </w:rPr>
            </m:ctrlPr>
          </m:sSubPr>
          <m:e>
            <m:r>
              <m:rPr>
                <m:sty m:val="bi"/>
              </m:rPr>
              <w:rPr>
                <w:rFonts w:ascii="Cambria Math" w:hAnsi="Cambria Math"/>
                <w:sz w:val="20"/>
                <w:szCs w:val="20"/>
              </w:rPr>
              <m:t>P</m:t>
            </m:r>
          </m:e>
          <m:sub>
            <m:r>
              <m:rPr>
                <m:sty m:val="bi"/>
              </m:rPr>
              <w:rPr>
                <w:rFonts w:ascii="Cambria Math" w:hAnsi="Cambria Math"/>
                <w:sz w:val="20"/>
                <w:szCs w:val="20"/>
              </w:rPr>
              <m:t>dd</m:t>
            </m:r>
          </m:sub>
        </m:sSub>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dd</m:t>
            </m:r>
          </m:sub>
          <m:sup>
            <m:r>
              <w:rPr>
                <w:rFonts w:ascii="Cambria Math" w:hAnsi="Cambria Math"/>
                <w:sz w:val="20"/>
                <w:szCs w:val="20"/>
              </w:rPr>
              <m:t>2</m:t>
            </m:r>
          </m:sup>
        </m:sSubSup>
        <m:r>
          <w:rPr>
            <w:rFonts w:ascii="Cambria Math" w:hAnsi="Cambria Math"/>
            <w:sz w:val="20"/>
            <w:szCs w:val="20"/>
          </w:rPr>
          <m:t>)</m:t>
        </m:r>
      </m:oMath>
      <w:r w:rsidRPr="003E7C8C">
        <w:rPr>
          <w:sz w:val="20"/>
          <w:szCs w:val="20"/>
        </w:rPr>
        <w:t xml:space="preserve">, respectively. </w:t>
      </w:r>
      <m:oMath>
        <m:sSub>
          <m:sSubPr>
            <m:ctrlPr>
              <w:rPr>
                <w:rFonts w:ascii="Cambria Math" w:hAnsi="Cambria Math"/>
                <w:b/>
                <w:i/>
                <w:sz w:val="20"/>
                <w:szCs w:val="20"/>
              </w:rPr>
            </m:ctrlPr>
          </m:sSubPr>
          <m:e>
            <m:r>
              <m:rPr>
                <m:sty m:val="bi"/>
              </m:rPr>
              <w:rPr>
                <w:rFonts w:ascii="Cambria Math" w:hAnsi="Cambria Math"/>
                <w:sz w:val="20"/>
                <w:szCs w:val="20"/>
              </w:rPr>
              <m:t>P</m:t>
            </m:r>
          </m:e>
          <m:sub>
            <m:r>
              <m:rPr>
                <m:sty m:val="bi"/>
              </m:rPr>
              <w:rPr>
                <w:rFonts w:ascii="Cambria Math" w:hAnsi="Cambria Math"/>
                <w:sz w:val="20"/>
                <w:szCs w:val="20"/>
              </w:rPr>
              <m:t>aa</m:t>
            </m:r>
          </m:sub>
        </m:sSub>
      </m:oMath>
      <w:r w:rsidRPr="003E7C8C">
        <w:rPr>
          <w:b/>
          <w:sz w:val="20"/>
          <w:szCs w:val="20"/>
        </w:rPr>
        <w:t xml:space="preserve">, </w:t>
      </w:r>
      <m:oMath>
        <m:sSub>
          <m:sSubPr>
            <m:ctrlPr>
              <w:rPr>
                <w:rFonts w:ascii="Cambria Math" w:hAnsi="Cambria Math"/>
                <w:b/>
                <w:i/>
                <w:sz w:val="20"/>
                <w:szCs w:val="20"/>
              </w:rPr>
            </m:ctrlPr>
          </m:sSubPr>
          <m:e>
            <m:r>
              <m:rPr>
                <m:sty m:val="bi"/>
              </m:rPr>
              <w:rPr>
                <w:rFonts w:ascii="Cambria Math" w:hAnsi="Cambria Math"/>
                <w:sz w:val="20"/>
                <w:szCs w:val="20"/>
              </w:rPr>
              <m:t>P</m:t>
            </m:r>
          </m:e>
          <m:sub>
            <m:r>
              <m:rPr>
                <m:sty m:val="bi"/>
              </m:rPr>
              <w:rPr>
                <w:rFonts w:ascii="Cambria Math" w:hAnsi="Cambria Math"/>
                <w:sz w:val="20"/>
                <w:szCs w:val="20"/>
              </w:rPr>
              <m:t>ad</m:t>
            </m:r>
          </m:sub>
        </m:sSub>
      </m:oMath>
      <w:r w:rsidRPr="003E7C8C">
        <w:rPr>
          <w:sz w:val="20"/>
          <w:szCs w:val="20"/>
        </w:rPr>
        <w:t xml:space="preserve">, and </w:t>
      </w:r>
      <m:oMath>
        <m:sSub>
          <m:sSubPr>
            <m:ctrlPr>
              <w:rPr>
                <w:rFonts w:ascii="Cambria Math" w:hAnsi="Cambria Math"/>
                <w:b/>
                <w:i/>
                <w:sz w:val="20"/>
                <w:szCs w:val="20"/>
              </w:rPr>
            </m:ctrlPr>
          </m:sSubPr>
          <m:e>
            <m:r>
              <m:rPr>
                <m:sty m:val="bi"/>
              </m:rPr>
              <w:rPr>
                <w:rFonts w:ascii="Cambria Math" w:hAnsi="Cambria Math"/>
                <w:sz w:val="20"/>
                <w:szCs w:val="20"/>
              </w:rPr>
              <m:t>P</m:t>
            </m:r>
          </m:e>
          <m:sub>
            <m:r>
              <m:rPr>
                <m:sty m:val="bi"/>
              </m:rPr>
              <w:rPr>
                <w:rFonts w:ascii="Cambria Math" w:hAnsi="Cambria Math"/>
                <w:sz w:val="20"/>
                <w:szCs w:val="20"/>
              </w:rPr>
              <m:t>dd</m:t>
            </m:r>
          </m:sub>
        </m:sSub>
      </m:oMath>
      <w:r w:rsidRPr="003E7C8C">
        <w:rPr>
          <w:sz w:val="20"/>
          <w:szCs w:val="20"/>
        </w:rPr>
        <w:t xml:space="preserve"> are the pedigree-based </w:t>
      </w:r>
      <w:r w:rsidRPr="003E7C8C">
        <w:rPr>
          <w:noProof/>
          <w:sz w:val="20"/>
          <w:szCs w:val="20"/>
        </w:rPr>
        <w:t>additive-by-additive, additive-by-dominance, and dominance-by-dominance epistatic relationship matrices in the PBLUP model (</w:t>
      </w:r>
      <m:oMath>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aa</m:t>
            </m:r>
          </m:sub>
        </m:sSub>
        <m:r>
          <w:rPr>
            <w:rFonts w:ascii="Cambria Math" w:hAnsi="Cambria Math"/>
            <w:noProof/>
            <w:sz w:val="20"/>
            <w:szCs w:val="20"/>
          </w:rPr>
          <m:t>,</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ad</m:t>
            </m:r>
          </m:sub>
        </m:sSub>
        <m:r>
          <w:rPr>
            <w:rFonts w:ascii="Cambria Math" w:hAnsi="Cambria Math"/>
            <w:noProof/>
            <w:sz w:val="20"/>
            <w:szCs w:val="20"/>
          </w:rPr>
          <m:t>,</m:t>
        </m:r>
        <m:r>
          <m:rPr>
            <m:sty m:val="p"/>
          </m:rPr>
          <w:rPr>
            <w:rFonts w:ascii="Cambria Math" w:hAnsi="Cambria Math"/>
            <w:noProof/>
            <w:sz w:val="20"/>
            <w:szCs w:val="20"/>
          </w:rPr>
          <m:t xml:space="preserve"> and</m:t>
        </m:r>
        <m:sSub>
          <m:sSubPr>
            <m:ctrlPr>
              <w:rPr>
                <w:rFonts w:ascii="Cambria Math" w:hAnsi="Cambria Math"/>
                <w:b/>
                <w:bCs/>
                <w:i/>
                <w:noProof/>
                <w:sz w:val="20"/>
                <w:szCs w:val="20"/>
              </w:rPr>
            </m:ctrlPr>
          </m:sSubPr>
          <m:e>
            <m:r>
              <m:rPr>
                <m:sty m:val="bi"/>
              </m:rPr>
              <w:rPr>
                <w:rFonts w:ascii="Cambria Math" w:hAnsi="Cambria Math"/>
                <w:noProof/>
                <w:sz w:val="20"/>
                <w:szCs w:val="20"/>
              </w:rPr>
              <m:t xml:space="preserve"> G</m:t>
            </m:r>
          </m:e>
          <m:sub>
            <m:r>
              <m:rPr>
                <m:sty m:val="bi"/>
              </m:rPr>
              <w:rPr>
                <w:rFonts w:ascii="Cambria Math" w:hAnsi="Cambria Math"/>
                <w:noProof/>
                <w:sz w:val="20"/>
                <w:szCs w:val="20"/>
              </w:rPr>
              <m:t>dd</m:t>
            </m:r>
          </m:sub>
        </m:sSub>
      </m:oMath>
      <w:r w:rsidRPr="003E7C8C">
        <w:rPr>
          <w:noProof/>
          <w:sz w:val="20"/>
          <w:szCs w:val="20"/>
        </w:rPr>
        <w:t xml:space="preserve"> in GBLUP model), respectively and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aa</m:t>
            </m:r>
          </m:sub>
          <m:sup>
            <m:r>
              <w:rPr>
                <w:rFonts w:ascii="Cambria Math" w:hAnsi="Cambria Math"/>
                <w:sz w:val="20"/>
                <w:szCs w:val="20"/>
              </w:rPr>
              <m:t>2</m:t>
            </m:r>
          </m:sup>
        </m:sSubSup>
      </m:oMath>
      <w:r w:rsidRPr="003E7C8C">
        <w:rPr>
          <w:noProof/>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ad</m:t>
            </m:r>
          </m:sub>
          <m:sup>
            <m:r>
              <w:rPr>
                <w:rFonts w:ascii="Cambria Math" w:hAnsi="Cambria Math"/>
                <w:sz w:val="20"/>
                <w:szCs w:val="20"/>
              </w:rPr>
              <m:t>2</m:t>
            </m:r>
          </m:sup>
        </m:sSubSup>
      </m:oMath>
      <w:r w:rsidRPr="003E7C8C">
        <w:rPr>
          <w:noProof/>
          <w:sz w:val="20"/>
          <w:szCs w:val="20"/>
        </w:rPr>
        <w:t xml:space="preserve">, and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dd</m:t>
            </m:r>
          </m:sub>
          <m:sup>
            <m:r>
              <w:rPr>
                <w:rFonts w:ascii="Cambria Math" w:hAnsi="Cambria Math"/>
                <w:sz w:val="20"/>
                <w:szCs w:val="20"/>
              </w:rPr>
              <m:t>2</m:t>
            </m:r>
          </m:sup>
        </m:sSubSup>
      </m:oMath>
      <w:r w:rsidRPr="003E7C8C">
        <w:rPr>
          <w:noProof/>
          <w:sz w:val="20"/>
          <w:szCs w:val="20"/>
        </w:rPr>
        <w:t xml:space="preserve"> are their variance components. The </w:t>
      </w:r>
      <w:r w:rsidRPr="003E7C8C">
        <w:rPr>
          <w:i/>
          <w:sz w:val="20"/>
          <w:szCs w:val="20"/>
        </w:rPr>
        <w:t xml:space="preserve">r </w:t>
      </w:r>
      <w:r w:rsidRPr="003E7C8C">
        <w:rPr>
          <w:noProof/>
          <w:sz w:val="20"/>
          <w:szCs w:val="20"/>
        </w:rPr>
        <w:t>and</w:t>
      </w:r>
      <w:r w:rsidRPr="003E7C8C">
        <w:rPr>
          <w:i/>
          <w:sz w:val="20"/>
          <w:szCs w:val="20"/>
        </w:rPr>
        <w:t xml:space="preserve"> rs </w:t>
      </w:r>
      <w:r w:rsidRPr="003E7C8C">
        <w:rPr>
          <w:noProof/>
          <w:sz w:val="20"/>
          <w:szCs w:val="20"/>
        </w:rPr>
        <w:t xml:space="preserve">are the vectors of residual </w:t>
      </w:r>
      <w:r w:rsidRPr="003E7C8C">
        <w:rPr>
          <w:noProof/>
          <w:sz w:val="20"/>
          <w:szCs w:val="20"/>
        </w:rPr>
        <w:lastRenderedPageBreak/>
        <w:t xml:space="preserve">genotypic effects and </w:t>
      </w:r>
      <w:r w:rsidRPr="003E7C8C">
        <w:rPr>
          <w:sz w:val="20"/>
          <w:szCs w:val="20"/>
        </w:rPr>
        <w:t xml:space="preserve">residual genotypic-by-site effects following </w:t>
      </w:r>
      <m:oMath>
        <m:r>
          <w:rPr>
            <w:rFonts w:ascii="Cambria Math" w:hAnsi="Cambria Math"/>
            <w:sz w:val="20"/>
            <w:szCs w:val="20"/>
          </w:rPr>
          <m:t>r~ N(0</m:t>
        </m:r>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 xml:space="preserve"> I</m:t>
            </m:r>
          </m:e>
          <m:sub>
            <m:r>
              <m:rPr>
                <m:sty m:val="bi"/>
              </m:rPr>
              <w:rPr>
                <w:rFonts w:ascii="Cambria Math" w:hAnsi="Cambria Math"/>
                <w:sz w:val="20"/>
                <w:szCs w:val="20"/>
              </w:rPr>
              <m:t>nc</m:t>
            </m:r>
          </m:sub>
        </m:sSub>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m:t>
            </m:r>
          </m:sub>
          <m:sup>
            <m:r>
              <w:rPr>
                <w:rFonts w:ascii="Cambria Math" w:hAnsi="Cambria Math"/>
                <w:sz w:val="20"/>
                <w:szCs w:val="20"/>
              </w:rPr>
              <m:t>2</m:t>
            </m:r>
          </m:sup>
        </m:sSubSup>
        <m:r>
          <w:rPr>
            <w:rFonts w:ascii="Cambria Math" w:hAnsi="Cambria Math"/>
            <w:sz w:val="20"/>
            <w:szCs w:val="20"/>
          </w:rPr>
          <m:t>)</m:t>
        </m:r>
      </m:oMath>
      <w:r w:rsidRPr="003E7C8C">
        <w:rPr>
          <w:sz w:val="20"/>
          <w:szCs w:val="20"/>
        </w:rPr>
        <w:t xml:space="preserve"> and </w:t>
      </w:r>
      <m:oMath>
        <m:r>
          <w:rPr>
            <w:rFonts w:ascii="Cambria Math" w:hAnsi="Cambria Math"/>
            <w:sz w:val="20"/>
            <w:szCs w:val="20"/>
          </w:rPr>
          <m:t>rs~ N(0,</m:t>
        </m:r>
        <m:sSub>
          <m:sSubPr>
            <m:ctrlPr>
              <w:rPr>
                <w:rFonts w:ascii="Cambria Math" w:hAnsi="Cambria Math"/>
                <w:b/>
                <w:bCs/>
                <w:i/>
                <w:sz w:val="20"/>
                <w:szCs w:val="20"/>
              </w:rPr>
            </m:ctrlPr>
          </m:sSubPr>
          <m:e>
            <m:r>
              <m:rPr>
                <m:sty m:val="bi"/>
              </m:rPr>
              <w:rPr>
                <w:rFonts w:ascii="Cambria Math" w:hAnsi="Cambria Math"/>
                <w:sz w:val="20"/>
                <w:szCs w:val="20"/>
              </w:rPr>
              <m:t xml:space="preserve"> I</m:t>
            </m:r>
          </m:e>
          <m:sub>
            <m:r>
              <m:rPr>
                <m:sty m:val="bi"/>
              </m:rPr>
              <w:rPr>
                <w:rFonts w:ascii="Cambria Math" w:hAnsi="Cambria Math"/>
                <w:sz w:val="20"/>
                <w:szCs w:val="20"/>
              </w:rPr>
              <m:t>ncs</m:t>
            </m:r>
          </m:sub>
        </m:sSub>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rs</m:t>
            </m:r>
          </m:sub>
          <m:sup>
            <m:r>
              <w:rPr>
                <w:rFonts w:ascii="Cambria Math" w:hAnsi="Cambria Math"/>
                <w:sz w:val="20"/>
                <w:szCs w:val="20"/>
              </w:rPr>
              <m:t>2</m:t>
            </m:r>
          </m:sup>
        </m:sSubSup>
        <m:r>
          <w:rPr>
            <w:rFonts w:ascii="Cambria Math" w:hAnsi="Cambria Math"/>
            <w:sz w:val="20"/>
            <w:szCs w:val="20"/>
          </w:rPr>
          <m:t>)</m:t>
        </m:r>
      </m:oMath>
      <w:r w:rsidRPr="003E7C8C">
        <w:rPr>
          <w:sz w:val="20"/>
          <w:szCs w:val="20"/>
        </w:rPr>
        <w:t xml:space="preserve">, respectively, where </w:t>
      </w:r>
      <w:r w:rsidRPr="003E7C8C">
        <w:rPr>
          <w:i/>
          <w:iCs/>
          <w:sz w:val="20"/>
          <w:szCs w:val="20"/>
        </w:rPr>
        <w:t>nc</w:t>
      </w:r>
      <w:r w:rsidRPr="003E7C8C">
        <w:rPr>
          <w:sz w:val="20"/>
          <w:szCs w:val="20"/>
        </w:rPr>
        <w:t xml:space="preserve"> is the number of clones, </w:t>
      </w:r>
      <w:r w:rsidRPr="003E7C8C">
        <w:rPr>
          <w:i/>
          <w:iCs/>
          <w:sz w:val="20"/>
          <w:szCs w:val="20"/>
        </w:rPr>
        <w:t>ncs</w:t>
      </w:r>
      <w:r w:rsidRPr="003E7C8C">
        <w:rPr>
          <w:noProof/>
          <w:sz w:val="20"/>
          <w:szCs w:val="20"/>
        </w:rPr>
        <w:t xml:space="preserve"> is the number of clones multiplied by the number of sites. </w:t>
      </w:r>
      <w:r w:rsidRPr="003E7C8C">
        <w:rPr>
          <w:sz w:val="20"/>
          <w:szCs w:val="20"/>
        </w:rPr>
        <w:t xml:space="preserve">The vector of residual </w:t>
      </w:r>
      <w:r w:rsidRPr="003E7C8C">
        <w:rPr>
          <w:i/>
          <w:sz w:val="20"/>
          <w:szCs w:val="20"/>
        </w:rPr>
        <w:t>e</w:t>
      </w:r>
      <w:r w:rsidRPr="003E7C8C">
        <w:rPr>
          <w:sz w:val="20"/>
          <w:szCs w:val="20"/>
        </w:rPr>
        <w:t xml:space="preserve"> was assumed to follow</w:t>
      </w:r>
    </w:p>
    <w:p w14:paraId="0B369C35" w14:textId="77777777" w:rsidR="00B22C18" w:rsidRPr="003E7C8C" w:rsidRDefault="00B22C18" w:rsidP="006B4CCB">
      <w:pPr>
        <w:spacing w:line="480" w:lineRule="auto"/>
        <w:jc w:val="both"/>
        <w:rPr>
          <w:sz w:val="20"/>
          <w:szCs w:val="20"/>
        </w:rPr>
      </w:pPr>
      <m:oMath>
        <m:r>
          <w:rPr>
            <w:rFonts w:ascii="Cambria Math" w:hAnsi="Cambria Math"/>
            <w:sz w:val="20"/>
            <w:szCs w:val="20"/>
          </w:rPr>
          <m:t>ε</m:t>
        </m:r>
        <m:r>
          <m:rPr>
            <m:sty m:val="p"/>
          </m:rPr>
          <w:rPr>
            <w:rFonts w:ascii="Cambria Math" w:hAnsi="Cambria Math"/>
            <w:sz w:val="20"/>
            <w:szCs w:val="20"/>
          </w:rPr>
          <m:t>~N(0,</m:t>
        </m:r>
        <m:d>
          <m:dPr>
            <m:begChr m:val="["/>
            <m:endChr m:val="]"/>
            <m:ctrlPr>
              <w:rPr>
                <w:rFonts w:ascii="Cambria Math" w:hAnsi="Cambria Math"/>
                <w:sz w:val="20"/>
                <w:szCs w:val="20"/>
              </w:rPr>
            </m:ctrlPr>
          </m:dPr>
          <m:e>
            <m:eqArr>
              <m:eqArrPr>
                <m:ctrlPr>
                  <w:rPr>
                    <w:rFonts w:ascii="Cambria Math" w:hAnsi="Cambria Math"/>
                    <w:i/>
                    <w:sz w:val="20"/>
                    <w:szCs w:val="20"/>
                  </w:rPr>
                </m:ctrlPr>
              </m:eqArrPr>
              <m:e>
                <m:m>
                  <m:mPr>
                    <m:mcs>
                      <m:mc>
                        <m:mcPr>
                          <m:count m:val="4"/>
                          <m:mcJc m:val="center"/>
                        </m:mcPr>
                      </m:mc>
                    </m:mcs>
                    <m:ctrlPr>
                      <w:rPr>
                        <w:rFonts w:ascii="Cambria Math" w:hAnsi="Cambria Math"/>
                        <w:sz w:val="20"/>
                        <w:szCs w:val="20"/>
                      </w:rPr>
                    </m:ctrlPr>
                  </m:mPr>
                  <m:mr>
                    <m:e>
                      <m:sSub>
                        <m:sSubPr>
                          <m:ctrlPr>
                            <w:rPr>
                              <w:rFonts w:ascii="Cambria Math" w:hAnsi="Cambria Math"/>
                              <w:sz w:val="20"/>
                              <w:szCs w:val="20"/>
                            </w:rPr>
                          </m:ctrlPr>
                        </m:sSubPr>
                        <m:e>
                          <m:r>
                            <m:rPr>
                              <m:sty m:val="bi"/>
                            </m:rPr>
                            <w:rPr>
                              <w:rFonts w:ascii="Cambria Math" w:hAnsi="Cambria Math"/>
                              <w:sz w:val="20"/>
                              <w:szCs w:val="20"/>
                            </w:rPr>
                            <m:t>I</m:t>
                          </m:r>
                        </m:e>
                        <m:sub>
                          <m:r>
                            <m:rPr>
                              <m:sty m:val="p"/>
                            </m:rPr>
                            <w:rPr>
                              <w:rFonts w:ascii="Cambria Math" w:hAnsi="Cambria Math"/>
                              <w:sz w:val="20"/>
                              <w:szCs w:val="20"/>
                            </w:rPr>
                            <m:t>n1</m:t>
                          </m:r>
                          <m:r>
                            <m:rPr>
                              <m:sty m:val="p"/>
                            </m:rPr>
                            <w:rPr>
                              <w:rFonts w:ascii="Cambria Math" w:hAnsi="Cambria Math"/>
                              <w:noProof/>
                              <w:sz w:val="20"/>
                              <w:szCs w:val="20"/>
                            </w:rPr>
                            <m:t xml:space="preserve"> </m:t>
                          </m:r>
                          <m:ctrlPr>
                            <w:rPr>
                              <w:rFonts w:ascii="Cambria Math" w:hAnsi="Cambria Math"/>
                              <w:noProof/>
                              <w:sz w:val="20"/>
                              <w:szCs w:val="20"/>
                            </w:rPr>
                          </m:ctrlPr>
                        </m:sub>
                      </m:sSub>
                      <m:sSubSup>
                        <m:sSubSupPr>
                          <m:ctrlPr>
                            <w:rPr>
                              <w:rFonts w:ascii="Cambria Math" w:hAnsi="Cambria Math"/>
                              <w:noProof/>
                              <w:sz w:val="20"/>
                              <w:szCs w:val="20"/>
                            </w:rPr>
                          </m:ctrlPr>
                        </m:sSubSupPr>
                        <m:e>
                          <m:r>
                            <m:rPr>
                              <m:sty m:val="p"/>
                            </m:rPr>
                            <w:rPr>
                              <w:rFonts w:ascii="Cambria Math" w:hAnsi="Cambria Math"/>
                              <w:noProof/>
                              <w:sz w:val="20"/>
                              <w:szCs w:val="20"/>
                            </w:rPr>
                            <m:t>σ</m:t>
                          </m:r>
                          <m:ctrlPr>
                            <w:rPr>
                              <w:rFonts w:ascii="Cambria Math" w:hAnsi="Cambria Math"/>
                              <w:sz w:val="20"/>
                              <w:szCs w:val="20"/>
                            </w:rPr>
                          </m:ctrlPr>
                        </m:e>
                        <m:sub>
                          <m:r>
                            <m:rPr>
                              <m:sty m:val="p"/>
                            </m:rPr>
                            <w:rPr>
                              <w:rFonts w:ascii="Cambria Math" w:hAnsi="Cambria Math"/>
                              <w:sz w:val="20"/>
                              <w:szCs w:val="20"/>
                            </w:rPr>
                            <m:t>e1</m:t>
                          </m:r>
                          <m:ctrlPr>
                            <w:rPr>
                              <w:rFonts w:ascii="Cambria Math" w:hAnsi="Cambria Math"/>
                              <w:sz w:val="20"/>
                              <w:szCs w:val="20"/>
                            </w:rPr>
                          </m:ctrlPr>
                        </m:sub>
                        <m:sup>
                          <m:r>
                            <m:rPr>
                              <m:sty m:val="p"/>
                            </m:rPr>
                            <w:rPr>
                              <w:rFonts w:ascii="Cambria Math" w:hAnsi="Cambria Math"/>
                              <w:sz w:val="20"/>
                              <w:szCs w:val="20"/>
                            </w:rPr>
                            <m:t>2</m:t>
                          </m:r>
                          <m:ctrlPr>
                            <w:rPr>
                              <w:rFonts w:ascii="Cambria Math" w:hAnsi="Cambria Math"/>
                              <w:sz w:val="20"/>
                              <w:szCs w:val="20"/>
                            </w:rPr>
                          </m:ctrlPr>
                        </m:sup>
                      </m:sSubSup>
                      <m:ctrlPr>
                        <w:rPr>
                          <w:rFonts w:ascii="Cambria Math" w:eastAsia="Cambria Math" w:hAnsi="Cambria Math"/>
                          <w:sz w:val="20"/>
                          <w:szCs w:val="20"/>
                        </w:rPr>
                      </m:ctrlPr>
                    </m:e>
                    <m:e>
                      <m:r>
                        <m:rPr>
                          <m:sty m:val="p"/>
                        </m:rPr>
                        <w:rPr>
                          <w:rFonts w:ascii="Cambria Math" w:eastAsia="Cambria Math" w:hAnsi="Cambria Math"/>
                          <w:sz w:val="20"/>
                          <w:szCs w:val="20"/>
                        </w:rPr>
                        <m:t>0</m:t>
                      </m:r>
                      <m:ctrlPr>
                        <w:rPr>
                          <w:rFonts w:ascii="Cambria Math" w:eastAsia="Cambria Math" w:hAnsi="Cambria Math"/>
                          <w:sz w:val="20"/>
                          <w:szCs w:val="20"/>
                        </w:rPr>
                      </m:ctrlPr>
                    </m:e>
                    <m:e>
                      <m:r>
                        <m:rPr>
                          <m:sty m:val="p"/>
                        </m:rPr>
                        <w:rPr>
                          <w:rFonts w:ascii="Cambria Math" w:eastAsia="Cambria Math" w:hAnsi="Cambria Math"/>
                          <w:sz w:val="20"/>
                          <w:szCs w:val="20"/>
                        </w:rPr>
                        <m:t>0</m:t>
                      </m:r>
                      <m:ctrlPr>
                        <w:rPr>
                          <w:rFonts w:ascii="Cambria Math" w:eastAsia="Cambria Math" w:hAnsi="Cambria Math"/>
                          <w:sz w:val="20"/>
                          <w:szCs w:val="20"/>
                        </w:rPr>
                      </m:ctrlPr>
                    </m:e>
                    <m:e>
                      <m:r>
                        <m:rPr>
                          <m:sty m:val="p"/>
                        </m:rPr>
                        <w:rPr>
                          <w:rFonts w:ascii="Cambria Math" w:eastAsia="Cambria Math" w:hAnsi="Cambria Math"/>
                          <w:sz w:val="20"/>
                          <w:szCs w:val="20"/>
                        </w:rPr>
                        <m:t>0</m:t>
                      </m:r>
                      <m:ctrlPr>
                        <w:rPr>
                          <w:rFonts w:ascii="Cambria Math" w:eastAsia="Cambria Math" w:hAnsi="Cambria Math"/>
                          <w:sz w:val="20"/>
                          <w:szCs w:val="20"/>
                        </w:rPr>
                      </m:ctrlPr>
                    </m:e>
                  </m:mr>
                  <m:mr>
                    <m:e>
                      <m:r>
                        <m:rPr>
                          <m:sty m:val="p"/>
                        </m:rPr>
                        <w:rPr>
                          <w:rFonts w:ascii="Cambria Math" w:eastAsia="Cambria Math" w:hAnsi="Cambria Math"/>
                          <w:sz w:val="20"/>
                          <w:szCs w:val="20"/>
                        </w:rPr>
                        <m:t>0</m:t>
                      </m:r>
                    </m:e>
                    <m:e>
                      <m:sSub>
                        <m:sSubPr>
                          <m:ctrlPr>
                            <w:rPr>
                              <w:rFonts w:ascii="Cambria Math" w:hAnsi="Cambria Math"/>
                              <w:sz w:val="20"/>
                              <w:szCs w:val="20"/>
                            </w:rPr>
                          </m:ctrlPr>
                        </m:sSubPr>
                        <m:e>
                          <m:r>
                            <m:rPr>
                              <m:sty m:val="bi"/>
                            </m:rPr>
                            <w:rPr>
                              <w:rFonts w:ascii="Cambria Math" w:hAnsi="Cambria Math"/>
                              <w:sz w:val="20"/>
                              <w:szCs w:val="20"/>
                            </w:rPr>
                            <m:t>I</m:t>
                          </m:r>
                        </m:e>
                        <m:sub>
                          <m:r>
                            <m:rPr>
                              <m:sty m:val="p"/>
                            </m:rPr>
                            <w:rPr>
                              <w:rFonts w:ascii="Cambria Math" w:hAnsi="Cambria Math"/>
                              <w:sz w:val="20"/>
                              <w:szCs w:val="20"/>
                            </w:rPr>
                            <m:t>n2</m:t>
                          </m:r>
                          <m:r>
                            <m:rPr>
                              <m:sty m:val="p"/>
                            </m:rPr>
                            <w:rPr>
                              <w:rFonts w:ascii="Cambria Math" w:hAnsi="Cambria Math"/>
                              <w:noProof/>
                              <w:sz w:val="20"/>
                              <w:szCs w:val="20"/>
                            </w:rPr>
                            <m:t xml:space="preserve"> </m:t>
                          </m:r>
                          <m:ctrlPr>
                            <w:rPr>
                              <w:rFonts w:ascii="Cambria Math" w:hAnsi="Cambria Math"/>
                              <w:noProof/>
                              <w:sz w:val="20"/>
                              <w:szCs w:val="20"/>
                            </w:rPr>
                          </m:ctrlPr>
                        </m:sub>
                      </m:sSub>
                      <m:sSubSup>
                        <m:sSubSupPr>
                          <m:ctrlPr>
                            <w:rPr>
                              <w:rFonts w:ascii="Cambria Math" w:hAnsi="Cambria Math"/>
                              <w:noProof/>
                              <w:sz w:val="20"/>
                              <w:szCs w:val="20"/>
                            </w:rPr>
                          </m:ctrlPr>
                        </m:sSubSupPr>
                        <m:e>
                          <m:r>
                            <m:rPr>
                              <m:sty m:val="p"/>
                            </m:rPr>
                            <w:rPr>
                              <w:rFonts w:ascii="Cambria Math" w:hAnsi="Cambria Math"/>
                              <w:noProof/>
                              <w:sz w:val="20"/>
                              <w:szCs w:val="20"/>
                            </w:rPr>
                            <m:t>σ</m:t>
                          </m:r>
                          <m:ctrlPr>
                            <w:rPr>
                              <w:rFonts w:ascii="Cambria Math" w:hAnsi="Cambria Math"/>
                              <w:sz w:val="20"/>
                              <w:szCs w:val="20"/>
                            </w:rPr>
                          </m:ctrlPr>
                        </m:e>
                        <m:sub>
                          <m:r>
                            <m:rPr>
                              <m:sty m:val="p"/>
                            </m:rPr>
                            <w:rPr>
                              <w:rFonts w:ascii="Cambria Math" w:hAnsi="Cambria Math"/>
                              <w:sz w:val="20"/>
                              <w:szCs w:val="20"/>
                            </w:rPr>
                            <m:t>e2</m:t>
                          </m:r>
                          <m:ctrlPr>
                            <w:rPr>
                              <w:rFonts w:ascii="Cambria Math" w:hAnsi="Cambria Math"/>
                              <w:sz w:val="20"/>
                              <w:szCs w:val="20"/>
                            </w:rPr>
                          </m:ctrlPr>
                        </m:sub>
                        <m:sup>
                          <m:r>
                            <m:rPr>
                              <m:sty m:val="p"/>
                            </m:rPr>
                            <w:rPr>
                              <w:rFonts w:ascii="Cambria Math" w:hAnsi="Cambria Math"/>
                              <w:sz w:val="20"/>
                              <w:szCs w:val="20"/>
                            </w:rPr>
                            <m:t>2</m:t>
                          </m:r>
                          <m:ctrlPr>
                            <w:rPr>
                              <w:rFonts w:ascii="Cambria Math" w:hAnsi="Cambria Math"/>
                              <w:sz w:val="20"/>
                              <w:szCs w:val="20"/>
                            </w:rPr>
                          </m:ctrlPr>
                        </m:sup>
                      </m:sSubSup>
                    </m:e>
                    <m:e>
                      <m:r>
                        <m:rPr>
                          <m:sty m:val="p"/>
                        </m:rPr>
                        <w:rPr>
                          <w:rFonts w:ascii="Cambria Math" w:hAnsi="Cambria Math"/>
                          <w:sz w:val="20"/>
                          <w:szCs w:val="20"/>
                        </w:rPr>
                        <m:t>0</m:t>
                      </m:r>
                    </m:e>
                    <m:e>
                      <m:r>
                        <m:rPr>
                          <m:sty m:val="p"/>
                        </m:rPr>
                        <w:rPr>
                          <w:rFonts w:ascii="Cambria Math" w:hAnsi="Cambria Math"/>
                          <w:sz w:val="20"/>
                          <w:szCs w:val="20"/>
                        </w:rPr>
                        <m:t>0</m:t>
                      </m:r>
                      <m:ctrlPr>
                        <w:rPr>
                          <w:rFonts w:ascii="Cambria Math" w:eastAsia="Cambria Math" w:hAnsi="Cambria Math"/>
                          <w:sz w:val="20"/>
                          <w:szCs w:val="20"/>
                        </w:rPr>
                      </m:ctrlPr>
                    </m:e>
                  </m:mr>
                  <m:mr>
                    <m:e>
                      <m:r>
                        <m:rPr>
                          <m:sty m:val="p"/>
                        </m:rPr>
                        <w:rPr>
                          <w:rFonts w:ascii="Cambria Math" w:eastAsia="Cambria Math" w:hAnsi="Cambria Math"/>
                          <w:sz w:val="20"/>
                          <w:szCs w:val="20"/>
                        </w:rPr>
                        <m:t>0</m:t>
                      </m:r>
                    </m:e>
                    <m:e>
                      <m:r>
                        <m:rPr>
                          <m:sty m:val="p"/>
                        </m:rPr>
                        <w:rPr>
                          <w:rFonts w:ascii="Cambria Math" w:hAnsi="Cambria Math"/>
                          <w:sz w:val="20"/>
                          <w:szCs w:val="20"/>
                        </w:rPr>
                        <m:t>0</m:t>
                      </m:r>
                    </m:e>
                    <m:e>
                      <m:sSub>
                        <m:sSubPr>
                          <m:ctrlPr>
                            <w:rPr>
                              <w:rFonts w:ascii="Cambria Math" w:hAnsi="Cambria Math"/>
                              <w:sz w:val="20"/>
                              <w:szCs w:val="20"/>
                            </w:rPr>
                          </m:ctrlPr>
                        </m:sSubPr>
                        <m:e>
                          <m:r>
                            <m:rPr>
                              <m:sty m:val="bi"/>
                            </m:rPr>
                            <w:rPr>
                              <w:rFonts w:ascii="Cambria Math" w:hAnsi="Cambria Math"/>
                              <w:sz w:val="20"/>
                              <w:szCs w:val="20"/>
                            </w:rPr>
                            <m:t>I</m:t>
                          </m:r>
                        </m:e>
                        <m:sub>
                          <m:r>
                            <m:rPr>
                              <m:sty m:val="p"/>
                            </m:rPr>
                            <w:rPr>
                              <w:rFonts w:ascii="Cambria Math" w:hAnsi="Cambria Math"/>
                              <w:sz w:val="20"/>
                              <w:szCs w:val="20"/>
                            </w:rPr>
                            <m:t>n3</m:t>
                          </m:r>
                          <m:r>
                            <m:rPr>
                              <m:sty m:val="p"/>
                            </m:rPr>
                            <w:rPr>
                              <w:rFonts w:ascii="Cambria Math" w:hAnsi="Cambria Math"/>
                              <w:noProof/>
                              <w:sz w:val="20"/>
                              <w:szCs w:val="20"/>
                            </w:rPr>
                            <m:t xml:space="preserve"> </m:t>
                          </m:r>
                          <m:ctrlPr>
                            <w:rPr>
                              <w:rFonts w:ascii="Cambria Math" w:hAnsi="Cambria Math"/>
                              <w:noProof/>
                              <w:sz w:val="20"/>
                              <w:szCs w:val="20"/>
                            </w:rPr>
                          </m:ctrlPr>
                        </m:sub>
                      </m:sSub>
                      <m:sSubSup>
                        <m:sSubSupPr>
                          <m:ctrlPr>
                            <w:rPr>
                              <w:rFonts w:ascii="Cambria Math" w:hAnsi="Cambria Math"/>
                              <w:noProof/>
                              <w:sz w:val="20"/>
                              <w:szCs w:val="20"/>
                            </w:rPr>
                          </m:ctrlPr>
                        </m:sSubSupPr>
                        <m:e>
                          <m:r>
                            <m:rPr>
                              <m:sty m:val="p"/>
                            </m:rPr>
                            <w:rPr>
                              <w:rFonts w:ascii="Cambria Math" w:hAnsi="Cambria Math"/>
                              <w:noProof/>
                              <w:sz w:val="20"/>
                              <w:szCs w:val="20"/>
                            </w:rPr>
                            <m:t>σ</m:t>
                          </m:r>
                          <m:ctrlPr>
                            <w:rPr>
                              <w:rFonts w:ascii="Cambria Math" w:hAnsi="Cambria Math"/>
                              <w:sz w:val="20"/>
                              <w:szCs w:val="20"/>
                            </w:rPr>
                          </m:ctrlPr>
                        </m:e>
                        <m:sub>
                          <m:r>
                            <m:rPr>
                              <m:sty m:val="p"/>
                            </m:rPr>
                            <w:rPr>
                              <w:rFonts w:ascii="Cambria Math" w:hAnsi="Cambria Math"/>
                              <w:sz w:val="20"/>
                              <w:szCs w:val="20"/>
                            </w:rPr>
                            <m:t>e3</m:t>
                          </m:r>
                          <m:ctrlPr>
                            <w:rPr>
                              <w:rFonts w:ascii="Cambria Math" w:hAnsi="Cambria Math"/>
                              <w:sz w:val="20"/>
                              <w:szCs w:val="20"/>
                            </w:rPr>
                          </m:ctrlPr>
                        </m:sub>
                        <m:sup>
                          <m:r>
                            <m:rPr>
                              <m:sty m:val="p"/>
                            </m:rPr>
                            <w:rPr>
                              <w:rFonts w:ascii="Cambria Math" w:hAnsi="Cambria Math"/>
                              <w:sz w:val="20"/>
                              <w:szCs w:val="20"/>
                            </w:rPr>
                            <m:t>2</m:t>
                          </m:r>
                          <m:ctrlPr>
                            <w:rPr>
                              <w:rFonts w:ascii="Cambria Math" w:hAnsi="Cambria Math"/>
                              <w:sz w:val="20"/>
                              <w:szCs w:val="20"/>
                            </w:rPr>
                          </m:ctrlPr>
                        </m:sup>
                      </m:sSubSup>
                    </m:e>
                    <m:e>
                      <m:r>
                        <m:rPr>
                          <m:sty m:val="p"/>
                        </m:rPr>
                        <w:rPr>
                          <w:rFonts w:ascii="Cambria Math" w:hAnsi="Cambria Math"/>
                          <w:sz w:val="20"/>
                          <w:szCs w:val="20"/>
                        </w:rPr>
                        <m:t>0</m:t>
                      </m:r>
                      <m:ctrlPr>
                        <w:rPr>
                          <w:rFonts w:ascii="Cambria Math" w:eastAsia="Cambria Math" w:hAnsi="Cambria Math"/>
                          <w:sz w:val="20"/>
                          <w:szCs w:val="20"/>
                        </w:rPr>
                      </m:ctrlPr>
                    </m:e>
                  </m:mr>
                  <m:mr>
                    <m:e>
                      <m:r>
                        <m:rPr>
                          <m:sty m:val="p"/>
                        </m:rPr>
                        <w:rPr>
                          <w:rFonts w:ascii="Cambria Math" w:eastAsia="Cambria Math" w:hAnsi="Cambria Math"/>
                          <w:sz w:val="20"/>
                          <w:szCs w:val="20"/>
                        </w:rPr>
                        <m:t>0</m:t>
                      </m:r>
                    </m:e>
                    <m:e>
                      <m:r>
                        <m:rPr>
                          <m:sty m:val="p"/>
                        </m:rPr>
                        <w:rPr>
                          <w:rFonts w:ascii="Cambria Math" w:hAnsi="Cambria Math"/>
                          <w:sz w:val="20"/>
                          <w:szCs w:val="20"/>
                        </w:rPr>
                        <m:t>0</m:t>
                      </m:r>
                    </m:e>
                    <m:e>
                      <m:r>
                        <m:rPr>
                          <m:sty m:val="p"/>
                        </m:rPr>
                        <w:rPr>
                          <w:rFonts w:ascii="Cambria Math" w:hAnsi="Cambria Math"/>
                          <w:sz w:val="20"/>
                          <w:szCs w:val="20"/>
                        </w:rPr>
                        <m:t>0</m:t>
                      </m:r>
                      <m:ctrlPr>
                        <w:rPr>
                          <w:rFonts w:ascii="Cambria Math" w:eastAsia="Cambria Math" w:hAnsi="Cambria Math"/>
                          <w:sz w:val="20"/>
                          <w:szCs w:val="20"/>
                        </w:rPr>
                      </m:ctrlPr>
                    </m:e>
                    <m:e>
                      <m:sSub>
                        <m:sSubPr>
                          <m:ctrlPr>
                            <w:rPr>
                              <w:rFonts w:ascii="Cambria Math" w:hAnsi="Cambria Math"/>
                              <w:sz w:val="20"/>
                              <w:szCs w:val="20"/>
                            </w:rPr>
                          </m:ctrlPr>
                        </m:sSubPr>
                        <m:e>
                          <m:r>
                            <m:rPr>
                              <m:sty m:val="bi"/>
                            </m:rPr>
                            <w:rPr>
                              <w:rFonts w:ascii="Cambria Math" w:hAnsi="Cambria Math"/>
                              <w:sz w:val="20"/>
                              <w:szCs w:val="20"/>
                            </w:rPr>
                            <m:t>I</m:t>
                          </m:r>
                        </m:e>
                        <m:sub>
                          <m:r>
                            <m:rPr>
                              <m:sty m:val="p"/>
                            </m:rPr>
                            <w:rPr>
                              <w:rFonts w:ascii="Cambria Math" w:hAnsi="Cambria Math"/>
                              <w:sz w:val="20"/>
                              <w:szCs w:val="20"/>
                            </w:rPr>
                            <m:t>n4</m:t>
                          </m:r>
                          <m:r>
                            <m:rPr>
                              <m:sty m:val="p"/>
                            </m:rPr>
                            <w:rPr>
                              <w:rFonts w:ascii="Cambria Math" w:hAnsi="Cambria Math"/>
                              <w:noProof/>
                              <w:sz w:val="20"/>
                              <w:szCs w:val="20"/>
                            </w:rPr>
                            <m:t xml:space="preserve"> </m:t>
                          </m:r>
                          <m:ctrlPr>
                            <w:rPr>
                              <w:rFonts w:ascii="Cambria Math" w:hAnsi="Cambria Math"/>
                              <w:noProof/>
                              <w:sz w:val="20"/>
                              <w:szCs w:val="20"/>
                            </w:rPr>
                          </m:ctrlPr>
                        </m:sub>
                      </m:sSub>
                      <m:sSubSup>
                        <m:sSubSupPr>
                          <m:ctrlPr>
                            <w:rPr>
                              <w:rFonts w:ascii="Cambria Math" w:hAnsi="Cambria Math"/>
                              <w:noProof/>
                              <w:sz w:val="20"/>
                              <w:szCs w:val="20"/>
                            </w:rPr>
                          </m:ctrlPr>
                        </m:sSubSupPr>
                        <m:e>
                          <m:r>
                            <m:rPr>
                              <m:sty m:val="p"/>
                            </m:rPr>
                            <w:rPr>
                              <w:rFonts w:ascii="Cambria Math" w:hAnsi="Cambria Math"/>
                              <w:noProof/>
                              <w:sz w:val="20"/>
                              <w:szCs w:val="20"/>
                            </w:rPr>
                            <m:t>σ</m:t>
                          </m:r>
                          <m:ctrlPr>
                            <w:rPr>
                              <w:rFonts w:ascii="Cambria Math" w:hAnsi="Cambria Math"/>
                              <w:sz w:val="20"/>
                              <w:szCs w:val="20"/>
                            </w:rPr>
                          </m:ctrlPr>
                        </m:e>
                        <m:sub>
                          <m:r>
                            <m:rPr>
                              <m:sty m:val="p"/>
                            </m:rPr>
                            <w:rPr>
                              <w:rFonts w:ascii="Cambria Math" w:hAnsi="Cambria Math"/>
                              <w:sz w:val="20"/>
                              <w:szCs w:val="20"/>
                            </w:rPr>
                            <m:t>e4</m:t>
                          </m:r>
                          <m:ctrlPr>
                            <w:rPr>
                              <w:rFonts w:ascii="Cambria Math" w:hAnsi="Cambria Math"/>
                              <w:sz w:val="20"/>
                              <w:szCs w:val="20"/>
                            </w:rPr>
                          </m:ctrlPr>
                        </m:sub>
                        <m:sup>
                          <m:r>
                            <m:rPr>
                              <m:sty m:val="p"/>
                            </m:rPr>
                            <w:rPr>
                              <w:rFonts w:ascii="Cambria Math" w:hAnsi="Cambria Math"/>
                              <w:sz w:val="20"/>
                              <w:szCs w:val="20"/>
                            </w:rPr>
                            <m:t>2</m:t>
                          </m:r>
                          <m:ctrlPr>
                            <w:rPr>
                              <w:rFonts w:ascii="Cambria Math" w:hAnsi="Cambria Math"/>
                              <w:sz w:val="20"/>
                              <w:szCs w:val="20"/>
                            </w:rPr>
                          </m:ctrlPr>
                        </m:sup>
                      </m:sSubSup>
                    </m:e>
                  </m:mr>
                </m:m>
              </m:e>
            </m:eqArr>
          </m:e>
        </m:d>
        <m:r>
          <m:rPr>
            <m:sty m:val="p"/>
          </m:rPr>
          <w:rPr>
            <w:rFonts w:ascii="Cambria Math" w:hAnsi="Cambria Math"/>
            <w:sz w:val="20"/>
            <w:szCs w:val="20"/>
          </w:rPr>
          <m:t>)</m:t>
        </m:r>
      </m:oMath>
      <w:r w:rsidRPr="003E7C8C">
        <w:rPr>
          <w:sz w:val="20"/>
          <w:szCs w:val="20"/>
        </w:rPr>
        <w:t xml:space="preserve">, </w:t>
      </w:r>
    </w:p>
    <w:p w14:paraId="49135CDE" w14:textId="77777777" w:rsidR="00B22C18" w:rsidRPr="003E7C8C" w:rsidRDefault="00B22C18" w:rsidP="006B4CCB">
      <w:pPr>
        <w:spacing w:line="480" w:lineRule="auto"/>
        <w:jc w:val="both"/>
        <w:rPr>
          <w:sz w:val="20"/>
          <w:szCs w:val="20"/>
        </w:rPr>
      </w:pPr>
      <w:r w:rsidRPr="003E7C8C">
        <w:rPr>
          <w:sz w:val="20"/>
          <w:szCs w:val="20"/>
        </w:rPr>
        <w:t xml:space="preserve">where </w:t>
      </w:r>
      <m:oMath>
        <m:sSubSup>
          <m:sSubSupPr>
            <m:ctrlPr>
              <w:rPr>
                <w:rFonts w:ascii="Cambria Math" w:hAnsi="Cambria Math"/>
                <w:sz w:val="20"/>
                <w:szCs w:val="20"/>
              </w:rPr>
            </m:ctrlPr>
          </m:sSubSupPr>
          <m:e>
            <m:r>
              <m:rPr>
                <m:sty m:val="p"/>
              </m:rPr>
              <w:rPr>
                <w:rFonts w:ascii="Cambria Math" w:hAnsi="Cambria Math"/>
                <w:sz w:val="20"/>
                <w:szCs w:val="20"/>
              </w:rPr>
              <m:t>σ</m:t>
            </m:r>
          </m:e>
          <m:sub>
            <m:r>
              <m:rPr>
                <m:sty m:val="p"/>
              </m:rPr>
              <w:rPr>
                <w:rFonts w:ascii="Cambria Math" w:hAnsi="Cambria Math"/>
                <w:sz w:val="20"/>
                <w:szCs w:val="20"/>
              </w:rPr>
              <m:t>e1</m:t>
            </m:r>
          </m:sub>
          <m:sup>
            <m:r>
              <m:rPr>
                <m:sty m:val="p"/>
              </m:rPr>
              <w:rPr>
                <w:rFonts w:ascii="Cambria Math" w:hAnsi="Cambria Math"/>
                <w:sz w:val="20"/>
                <w:szCs w:val="20"/>
              </w:rPr>
              <m:t>2</m:t>
            </m:r>
          </m:sup>
        </m:sSubSup>
      </m:oMath>
      <w:r w:rsidRPr="003E7C8C">
        <w:rPr>
          <w:sz w:val="20"/>
          <w:szCs w:val="20"/>
        </w:rPr>
        <w:t xml:space="preserve">, </w:t>
      </w:r>
      <m:oMath>
        <m:sSubSup>
          <m:sSubSupPr>
            <m:ctrlPr>
              <w:rPr>
                <w:rFonts w:ascii="Cambria Math" w:hAnsi="Cambria Math"/>
                <w:sz w:val="20"/>
                <w:szCs w:val="20"/>
              </w:rPr>
            </m:ctrlPr>
          </m:sSubSupPr>
          <m:e>
            <m:r>
              <m:rPr>
                <m:sty m:val="p"/>
              </m:rPr>
              <w:rPr>
                <w:rFonts w:ascii="Cambria Math" w:hAnsi="Cambria Math"/>
                <w:sz w:val="20"/>
                <w:szCs w:val="20"/>
              </w:rPr>
              <m:t>σ</m:t>
            </m:r>
          </m:e>
          <m:sub>
            <m:r>
              <m:rPr>
                <m:sty m:val="p"/>
              </m:rPr>
              <w:rPr>
                <w:rFonts w:ascii="Cambria Math" w:hAnsi="Cambria Math"/>
                <w:sz w:val="20"/>
                <w:szCs w:val="20"/>
              </w:rPr>
              <m:t>e2</m:t>
            </m:r>
          </m:sub>
          <m:sup>
            <m:r>
              <m:rPr>
                <m:sty m:val="p"/>
              </m:rPr>
              <w:rPr>
                <w:rFonts w:ascii="Cambria Math" w:hAnsi="Cambria Math"/>
                <w:sz w:val="20"/>
                <w:szCs w:val="20"/>
              </w:rPr>
              <m:t>2</m:t>
            </m:r>
          </m:sup>
        </m:sSubSup>
      </m:oMath>
      <w:r w:rsidRPr="003E7C8C">
        <w:rPr>
          <w:sz w:val="20"/>
          <w:szCs w:val="20"/>
        </w:rPr>
        <w:t xml:space="preserve">, </w:t>
      </w:r>
      <m:oMath>
        <m:sSubSup>
          <m:sSubSupPr>
            <m:ctrlPr>
              <w:rPr>
                <w:rFonts w:ascii="Cambria Math" w:hAnsi="Cambria Math"/>
                <w:sz w:val="20"/>
                <w:szCs w:val="20"/>
              </w:rPr>
            </m:ctrlPr>
          </m:sSubSupPr>
          <m:e>
            <m:r>
              <m:rPr>
                <m:sty m:val="p"/>
              </m:rPr>
              <w:rPr>
                <w:rFonts w:ascii="Cambria Math" w:hAnsi="Cambria Math"/>
                <w:sz w:val="20"/>
                <w:szCs w:val="20"/>
              </w:rPr>
              <m:t>σ</m:t>
            </m:r>
          </m:e>
          <m:sub>
            <m:r>
              <m:rPr>
                <m:sty m:val="p"/>
              </m:rPr>
              <w:rPr>
                <w:rFonts w:ascii="Cambria Math" w:hAnsi="Cambria Math"/>
                <w:sz w:val="20"/>
                <w:szCs w:val="20"/>
              </w:rPr>
              <m:t>e3</m:t>
            </m:r>
          </m:sub>
          <m:sup>
            <m:r>
              <m:rPr>
                <m:sty m:val="p"/>
              </m:rPr>
              <w:rPr>
                <w:rFonts w:ascii="Cambria Math" w:hAnsi="Cambria Math"/>
                <w:sz w:val="20"/>
                <w:szCs w:val="20"/>
              </w:rPr>
              <m:t>2</m:t>
            </m:r>
          </m:sup>
        </m:sSubSup>
      </m:oMath>
      <w:r w:rsidRPr="003E7C8C">
        <w:rPr>
          <w:sz w:val="20"/>
          <w:szCs w:val="20"/>
        </w:rPr>
        <w:t xml:space="preserve">, and </w:t>
      </w:r>
      <m:oMath>
        <m:sSubSup>
          <m:sSubSupPr>
            <m:ctrlPr>
              <w:rPr>
                <w:rFonts w:ascii="Cambria Math" w:hAnsi="Cambria Math"/>
                <w:sz w:val="20"/>
                <w:szCs w:val="20"/>
              </w:rPr>
            </m:ctrlPr>
          </m:sSubSupPr>
          <m:e>
            <m:r>
              <m:rPr>
                <m:sty m:val="p"/>
              </m:rPr>
              <w:rPr>
                <w:rFonts w:ascii="Cambria Math" w:hAnsi="Cambria Math"/>
                <w:sz w:val="20"/>
                <w:szCs w:val="20"/>
              </w:rPr>
              <m:t>σ</m:t>
            </m:r>
          </m:e>
          <m:sub>
            <m:r>
              <m:rPr>
                <m:sty m:val="p"/>
              </m:rPr>
              <w:rPr>
                <w:rFonts w:ascii="Cambria Math" w:hAnsi="Cambria Math"/>
                <w:sz w:val="20"/>
                <w:szCs w:val="20"/>
              </w:rPr>
              <m:t>e4</m:t>
            </m:r>
          </m:sub>
          <m:sup>
            <m:r>
              <m:rPr>
                <m:sty m:val="p"/>
              </m:rPr>
              <w:rPr>
                <w:rFonts w:ascii="Cambria Math" w:hAnsi="Cambria Math"/>
                <w:sz w:val="20"/>
                <w:szCs w:val="20"/>
              </w:rPr>
              <m:t>2</m:t>
            </m:r>
          </m:sup>
        </m:sSubSup>
      </m:oMath>
      <w:r w:rsidRPr="003E7C8C">
        <w:rPr>
          <w:sz w:val="20"/>
          <w:szCs w:val="20"/>
        </w:rPr>
        <w:t xml:space="preserve"> are the residual variances for sites 1, 2, 3, and 4, respectively; </w:t>
      </w:r>
      <m:oMath>
        <m:sSub>
          <m:sSubPr>
            <m:ctrlPr>
              <w:rPr>
                <w:rFonts w:ascii="Cambria Math" w:hAnsi="Cambria Math"/>
                <w:b/>
                <w:bCs/>
                <w:sz w:val="20"/>
                <w:szCs w:val="20"/>
              </w:rPr>
            </m:ctrlPr>
          </m:sSubPr>
          <m:e>
            <m:r>
              <m:rPr>
                <m:sty m:val="bi"/>
              </m:rPr>
              <w:rPr>
                <w:rFonts w:ascii="Cambria Math" w:hAnsi="Cambria Math"/>
                <w:sz w:val="20"/>
                <w:szCs w:val="20"/>
              </w:rPr>
              <m:t>I</m:t>
            </m:r>
          </m:e>
          <m:sub>
            <m:r>
              <m:rPr>
                <m:sty m:val="b"/>
              </m:rPr>
              <w:rPr>
                <w:rFonts w:ascii="Cambria Math" w:hAnsi="Cambria Math"/>
                <w:sz w:val="20"/>
                <w:szCs w:val="20"/>
              </w:rPr>
              <m:t>n1</m:t>
            </m:r>
          </m:sub>
        </m:sSub>
      </m:oMath>
      <w:r w:rsidRPr="003E7C8C">
        <w:rPr>
          <w:sz w:val="20"/>
          <w:szCs w:val="20"/>
        </w:rPr>
        <w:t xml:space="preserve">, </w:t>
      </w:r>
      <m:oMath>
        <m:sSub>
          <m:sSubPr>
            <m:ctrlPr>
              <w:rPr>
                <w:rFonts w:ascii="Cambria Math" w:hAnsi="Cambria Math"/>
                <w:b/>
                <w:bCs/>
                <w:sz w:val="20"/>
                <w:szCs w:val="20"/>
              </w:rPr>
            </m:ctrlPr>
          </m:sSubPr>
          <m:e>
            <m:r>
              <m:rPr>
                <m:sty m:val="bi"/>
              </m:rPr>
              <w:rPr>
                <w:rFonts w:ascii="Cambria Math" w:hAnsi="Cambria Math"/>
                <w:sz w:val="20"/>
                <w:szCs w:val="20"/>
              </w:rPr>
              <m:t>I</m:t>
            </m:r>
          </m:e>
          <m:sub>
            <m:r>
              <m:rPr>
                <m:sty m:val="b"/>
              </m:rPr>
              <w:rPr>
                <w:rFonts w:ascii="Cambria Math" w:hAnsi="Cambria Math"/>
                <w:sz w:val="20"/>
                <w:szCs w:val="20"/>
              </w:rPr>
              <m:t>n2</m:t>
            </m:r>
          </m:sub>
        </m:sSub>
      </m:oMath>
      <w:r w:rsidRPr="003E7C8C">
        <w:rPr>
          <w:sz w:val="20"/>
          <w:szCs w:val="20"/>
        </w:rPr>
        <w:t xml:space="preserve">, </w:t>
      </w:r>
      <m:oMath>
        <m:sSub>
          <m:sSubPr>
            <m:ctrlPr>
              <w:rPr>
                <w:rFonts w:ascii="Cambria Math" w:hAnsi="Cambria Math"/>
                <w:b/>
                <w:bCs/>
                <w:sz w:val="20"/>
                <w:szCs w:val="20"/>
              </w:rPr>
            </m:ctrlPr>
          </m:sSubPr>
          <m:e>
            <m:r>
              <m:rPr>
                <m:sty m:val="bi"/>
              </m:rPr>
              <w:rPr>
                <w:rFonts w:ascii="Cambria Math" w:hAnsi="Cambria Math"/>
                <w:sz w:val="20"/>
                <w:szCs w:val="20"/>
              </w:rPr>
              <m:t>I</m:t>
            </m:r>
          </m:e>
          <m:sub>
            <m:r>
              <m:rPr>
                <m:sty m:val="b"/>
              </m:rPr>
              <w:rPr>
                <w:rFonts w:ascii="Cambria Math" w:hAnsi="Cambria Math"/>
                <w:sz w:val="20"/>
                <w:szCs w:val="20"/>
              </w:rPr>
              <m:t>n3</m:t>
            </m:r>
          </m:sub>
        </m:sSub>
      </m:oMath>
      <w:r w:rsidRPr="003E7C8C">
        <w:rPr>
          <w:sz w:val="20"/>
          <w:szCs w:val="20"/>
        </w:rPr>
        <w:t xml:space="preserve">, and </w:t>
      </w:r>
      <m:oMath>
        <m:sSub>
          <m:sSubPr>
            <m:ctrlPr>
              <w:rPr>
                <w:rFonts w:ascii="Cambria Math" w:hAnsi="Cambria Math"/>
                <w:b/>
                <w:bCs/>
                <w:sz w:val="20"/>
                <w:szCs w:val="20"/>
              </w:rPr>
            </m:ctrlPr>
          </m:sSubPr>
          <m:e>
            <m:r>
              <m:rPr>
                <m:sty m:val="bi"/>
              </m:rPr>
              <w:rPr>
                <w:rFonts w:ascii="Cambria Math" w:hAnsi="Cambria Math"/>
                <w:sz w:val="20"/>
                <w:szCs w:val="20"/>
              </w:rPr>
              <m:t>I</m:t>
            </m:r>
          </m:e>
          <m:sub>
            <m:r>
              <m:rPr>
                <m:sty m:val="b"/>
              </m:rPr>
              <w:rPr>
                <w:rFonts w:ascii="Cambria Math" w:hAnsi="Cambria Math"/>
                <w:sz w:val="20"/>
                <w:szCs w:val="20"/>
              </w:rPr>
              <m:t>n4</m:t>
            </m:r>
          </m:sub>
        </m:sSub>
      </m:oMath>
      <w:r w:rsidRPr="003E7C8C">
        <w:rPr>
          <w:sz w:val="20"/>
          <w:szCs w:val="20"/>
        </w:rPr>
        <w:t xml:space="preserve"> are their identity matrices, and n1, n2, n3, and n4 are the number of individuals at each of the four sites, respectively. </w:t>
      </w:r>
    </w:p>
    <w:p w14:paraId="06DE92A9" w14:textId="0A7E1AA1" w:rsidR="00B22C18" w:rsidRPr="003E7C8C" w:rsidRDefault="00B22C18" w:rsidP="006B4CCB">
      <w:pPr>
        <w:spacing w:line="480" w:lineRule="auto"/>
        <w:jc w:val="both"/>
        <w:rPr>
          <w:sz w:val="20"/>
          <w:szCs w:val="20"/>
        </w:rPr>
      </w:pPr>
      <w:r w:rsidRPr="003E7C8C">
        <w:rPr>
          <w:sz w:val="20"/>
          <w:szCs w:val="20"/>
        </w:rPr>
        <w:t xml:space="preserve">For the other three traits (HT12, PILO, and FD), four similar models as equations </w:t>
      </w:r>
      <w:r w:rsidR="003B42E5">
        <w:rPr>
          <w:sz w:val="20"/>
          <w:szCs w:val="20"/>
        </w:rPr>
        <w:t>(</w:t>
      </w:r>
      <w:r w:rsidRPr="003E7C8C">
        <w:rPr>
          <w:sz w:val="20"/>
          <w:szCs w:val="20"/>
        </w:rPr>
        <w:t>1</w:t>
      </w:r>
      <m:oMath>
        <m:r>
          <w:rPr>
            <w:rFonts w:ascii="Cambria Math" w:hAnsi="Cambria Math"/>
            <w:sz w:val="20"/>
            <w:szCs w:val="20"/>
          </w:rPr>
          <m:t>–</m:t>
        </m:r>
      </m:oMath>
      <w:r w:rsidRPr="003E7C8C">
        <w:rPr>
          <w:sz w:val="20"/>
          <w:szCs w:val="20"/>
        </w:rPr>
        <w:t>4</w:t>
      </w:r>
      <w:r w:rsidR="003B42E5">
        <w:rPr>
          <w:sz w:val="20"/>
          <w:szCs w:val="20"/>
        </w:rPr>
        <w:t>)</w:t>
      </w:r>
      <w:r w:rsidRPr="003E7C8C">
        <w:rPr>
          <w:sz w:val="20"/>
          <w:szCs w:val="20"/>
        </w:rPr>
        <w:t xml:space="preserve"> were used, except that the interaction terms with the site were excluded because those traits were only measured at a single site (Table 1). </w:t>
      </w:r>
    </w:p>
    <w:p w14:paraId="3F0BA81A" w14:textId="3D3CBE25" w:rsidR="00B22C18" w:rsidRDefault="00B22C18" w:rsidP="006B4CCB">
      <w:pPr>
        <w:spacing w:line="480" w:lineRule="auto"/>
        <w:jc w:val="both"/>
        <w:rPr>
          <w:b/>
          <w:bCs/>
          <w:noProof/>
          <w:sz w:val="20"/>
          <w:szCs w:val="20"/>
        </w:rPr>
      </w:pPr>
    </w:p>
    <w:p w14:paraId="5E575CF8" w14:textId="776D1465" w:rsidR="00B22C18" w:rsidRDefault="001A2CDB" w:rsidP="006B4CCB">
      <w:pPr>
        <w:spacing w:line="480" w:lineRule="auto"/>
        <w:jc w:val="both"/>
        <w:rPr>
          <w:b/>
          <w:bCs/>
          <w:noProof/>
          <w:sz w:val="20"/>
          <w:szCs w:val="20"/>
        </w:rPr>
      </w:pPr>
      <w:r>
        <w:rPr>
          <w:b/>
          <w:bCs/>
          <w:noProof/>
          <w:sz w:val="20"/>
          <w:szCs w:val="20"/>
        </w:rPr>
        <w:t>S</w:t>
      </w:r>
      <w:r w:rsidRPr="00444831">
        <w:rPr>
          <w:b/>
          <w:bCs/>
          <w:noProof/>
          <w:sz w:val="20"/>
          <w:szCs w:val="20"/>
        </w:rPr>
        <w:t>upplementary methods S</w:t>
      </w:r>
      <w:r>
        <w:rPr>
          <w:b/>
          <w:bCs/>
          <w:noProof/>
          <w:sz w:val="20"/>
          <w:szCs w:val="20"/>
        </w:rPr>
        <w:t>2</w:t>
      </w:r>
      <w:r w:rsidRPr="00444831">
        <w:rPr>
          <w:b/>
          <w:bCs/>
          <w:noProof/>
          <w:sz w:val="20"/>
          <w:szCs w:val="20"/>
        </w:rPr>
        <w:t xml:space="preserve">: </w:t>
      </w:r>
    </w:p>
    <w:p w14:paraId="2EB470A3" w14:textId="77777777" w:rsidR="001A2CDB" w:rsidRDefault="001A2CDB" w:rsidP="006B4CCB">
      <w:pPr>
        <w:spacing w:line="480" w:lineRule="auto"/>
        <w:jc w:val="both"/>
        <w:rPr>
          <w:b/>
          <w:bCs/>
          <w:noProof/>
          <w:sz w:val="20"/>
          <w:szCs w:val="20"/>
        </w:rPr>
      </w:pPr>
    </w:p>
    <w:p w14:paraId="78237B6F" w14:textId="32498818" w:rsidR="00444831" w:rsidRPr="003E7C8C" w:rsidRDefault="00444831" w:rsidP="006B4CCB">
      <w:pPr>
        <w:spacing w:line="480" w:lineRule="auto"/>
        <w:jc w:val="both"/>
        <w:rPr>
          <w:b/>
          <w:bCs/>
          <w:noProof/>
          <w:sz w:val="20"/>
          <w:szCs w:val="20"/>
        </w:rPr>
      </w:pPr>
      <w:r w:rsidRPr="003E7C8C">
        <w:rPr>
          <w:b/>
          <w:bCs/>
          <w:noProof/>
          <w:sz w:val="20"/>
          <w:szCs w:val="20"/>
        </w:rPr>
        <w:t>Pedigree-based and genomic-based relationship matrix estimates</w:t>
      </w:r>
    </w:p>
    <w:p w14:paraId="04434A0A" w14:textId="2444E107" w:rsidR="00444831" w:rsidRPr="003E7C8C" w:rsidRDefault="00444831" w:rsidP="006B4CCB">
      <w:pPr>
        <w:spacing w:line="480" w:lineRule="auto"/>
        <w:jc w:val="both"/>
        <w:rPr>
          <w:noProof/>
          <w:sz w:val="20"/>
          <w:szCs w:val="20"/>
        </w:rPr>
      </w:pPr>
      <w:r w:rsidRPr="003E7C8C">
        <w:rPr>
          <w:noProof/>
          <w:sz w:val="20"/>
          <w:szCs w:val="20"/>
        </w:rPr>
        <w:t>The pedigree-based additive (</w:t>
      </w:r>
      <w:r w:rsidRPr="003E7C8C">
        <w:rPr>
          <w:b/>
          <w:i/>
          <w:noProof/>
          <w:sz w:val="20"/>
          <w:szCs w:val="20"/>
        </w:rPr>
        <w:t>A</w:t>
      </w:r>
      <w:r w:rsidRPr="003E7C8C">
        <w:rPr>
          <w:noProof/>
          <w:sz w:val="20"/>
          <w:szCs w:val="20"/>
        </w:rPr>
        <w:t>) and dominance (</w:t>
      </w:r>
      <w:r w:rsidRPr="003E7C8C">
        <w:rPr>
          <w:b/>
          <w:i/>
          <w:noProof/>
          <w:sz w:val="20"/>
          <w:szCs w:val="20"/>
        </w:rPr>
        <w:t>D</w:t>
      </w:r>
      <w:r w:rsidRPr="003E7C8C">
        <w:rPr>
          <w:noProof/>
          <w:sz w:val="20"/>
          <w:szCs w:val="20"/>
        </w:rPr>
        <w:t>) relationship matrices were constructed based on information from pedigrees. The diagonal elements (</w:t>
      </w:r>
      <w:r w:rsidRPr="003E7C8C">
        <w:rPr>
          <w:i/>
          <w:noProof/>
          <w:sz w:val="20"/>
          <w:szCs w:val="20"/>
        </w:rPr>
        <w:t>i</w:t>
      </w:r>
      <w:r w:rsidRPr="003E7C8C">
        <w:rPr>
          <w:noProof/>
          <w:sz w:val="20"/>
          <w:szCs w:val="20"/>
        </w:rPr>
        <w:t xml:space="preserve">) of the </w:t>
      </w:r>
      <w:r w:rsidRPr="003E7C8C">
        <w:rPr>
          <w:b/>
          <w:bCs/>
          <w:i/>
          <w:noProof/>
          <w:sz w:val="20"/>
          <w:szCs w:val="20"/>
        </w:rPr>
        <w:t>A</w:t>
      </w:r>
      <w:r w:rsidRPr="003E7C8C">
        <w:rPr>
          <w:noProof/>
          <w:sz w:val="20"/>
          <w:szCs w:val="20"/>
        </w:rPr>
        <w:t xml:space="preserve"> were calculated as </w:t>
      </w:r>
      <m:oMath>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ii</m:t>
            </m:r>
          </m:sub>
        </m:sSub>
        <m:r>
          <w:rPr>
            <w:rFonts w:ascii="Cambria Math" w:hAnsi="Cambria Math"/>
            <w:noProof/>
            <w:sz w:val="20"/>
            <w:szCs w:val="20"/>
          </w:rPr>
          <m:t xml:space="preserve"> =1+</m:t>
        </m:r>
        <m:sSub>
          <m:sSubPr>
            <m:ctrlPr>
              <w:rPr>
                <w:rFonts w:ascii="Cambria Math" w:hAnsi="Cambria Math"/>
                <w:i/>
                <w:noProof/>
                <w:sz w:val="20"/>
                <w:szCs w:val="20"/>
              </w:rPr>
            </m:ctrlPr>
          </m:sSubPr>
          <m:e>
            <m:r>
              <w:rPr>
                <w:rFonts w:ascii="Cambria Math" w:hAnsi="Cambria Math"/>
                <w:noProof/>
                <w:sz w:val="20"/>
                <w:szCs w:val="20"/>
              </w:rPr>
              <m:t>f</m:t>
            </m:r>
          </m:e>
          <m:sub>
            <m:r>
              <w:rPr>
                <w:rFonts w:ascii="Cambria Math" w:hAnsi="Cambria Math"/>
                <w:noProof/>
                <w:sz w:val="20"/>
                <w:szCs w:val="20"/>
              </w:rPr>
              <m:t>i</m:t>
            </m:r>
          </m:sub>
        </m:sSub>
        <m:r>
          <w:rPr>
            <w:rFonts w:ascii="Cambria Math" w:hAnsi="Cambria Math"/>
            <w:noProof/>
            <w:sz w:val="20"/>
            <w:szCs w:val="20"/>
          </w:rPr>
          <m:t>=1+</m:t>
        </m:r>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gh</m:t>
            </m:r>
          </m:sub>
        </m:sSub>
        <m:r>
          <w:rPr>
            <w:rFonts w:ascii="Cambria Math" w:hAnsi="Cambria Math"/>
            <w:noProof/>
            <w:sz w:val="20"/>
            <w:szCs w:val="20"/>
          </w:rPr>
          <m:t>/2</m:t>
        </m:r>
      </m:oMath>
      <w:r w:rsidRPr="003E7C8C">
        <w:rPr>
          <w:noProof/>
          <w:sz w:val="20"/>
          <w:szCs w:val="20"/>
        </w:rPr>
        <w:t xml:space="preserve">, where </w:t>
      </w:r>
      <m:oMath>
        <m:r>
          <w:rPr>
            <w:rFonts w:ascii="Cambria Math" w:hAnsi="Cambria Math"/>
            <w:noProof/>
            <w:sz w:val="20"/>
            <w:szCs w:val="20"/>
          </w:rPr>
          <m:t>g</m:t>
        </m:r>
      </m:oMath>
      <w:r w:rsidRPr="003E7C8C">
        <w:rPr>
          <w:noProof/>
          <w:sz w:val="20"/>
          <w:szCs w:val="20"/>
        </w:rPr>
        <w:t xml:space="preserve"> and </w:t>
      </w:r>
      <m:oMath>
        <m:r>
          <w:rPr>
            <w:rFonts w:ascii="Cambria Math" w:hAnsi="Cambria Math"/>
            <w:noProof/>
            <w:sz w:val="20"/>
            <w:szCs w:val="20"/>
          </w:rPr>
          <m:t>h</m:t>
        </m:r>
      </m:oMath>
      <w:r w:rsidRPr="003E7C8C">
        <w:rPr>
          <w:noProof/>
          <w:sz w:val="20"/>
          <w:szCs w:val="20"/>
        </w:rPr>
        <w:t xml:space="preserve"> are the parents of the </w:t>
      </w:r>
      <m:oMath>
        <m:r>
          <w:rPr>
            <w:rFonts w:ascii="Cambria Math" w:hAnsi="Cambria Math"/>
            <w:noProof/>
            <w:sz w:val="20"/>
            <w:szCs w:val="20"/>
          </w:rPr>
          <m:t xml:space="preserve"> i</m:t>
        </m:r>
      </m:oMath>
      <w:r w:rsidRPr="003E7C8C">
        <w:rPr>
          <w:noProof/>
          <w:sz w:val="20"/>
          <w:szCs w:val="20"/>
        </w:rPr>
        <w:t xml:space="preserve">th individual, while the off-diagonal element is the relationship between individuals </w:t>
      </w:r>
      <m:oMath>
        <m:r>
          <w:rPr>
            <w:rFonts w:ascii="Cambria Math" w:hAnsi="Cambria Math"/>
            <w:noProof/>
            <w:sz w:val="20"/>
            <w:szCs w:val="20"/>
          </w:rPr>
          <m:t>i</m:t>
        </m:r>
      </m:oMath>
      <w:r w:rsidRPr="003E7C8C">
        <w:rPr>
          <w:noProof/>
          <w:sz w:val="20"/>
          <w:szCs w:val="20"/>
        </w:rPr>
        <w:t xml:space="preserve">th and </w:t>
      </w:r>
      <m:oMath>
        <m:r>
          <w:rPr>
            <w:rFonts w:ascii="Cambria Math" w:hAnsi="Cambria Math"/>
            <w:noProof/>
            <w:sz w:val="20"/>
            <w:szCs w:val="20"/>
          </w:rPr>
          <m:t>j</m:t>
        </m:r>
      </m:oMath>
      <w:r w:rsidRPr="003E7C8C">
        <w:rPr>
          <w:noProof/>
          <w:sz w:val="20"/>
          <w:szCs w:val="20"/>
        </w:rPr>
        <w:t xml:space="preserve">th calculated as </w:t>
      </w:r>
      <m:oMath>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ij</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ji</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jg</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jh</m:t>
            </m:r>
          </m:sub>
        </m:sSub>
        <m:r>
          <w:rPr>
            <w:rFonts w:ascii="Cambria Math" w:hAnsi="Cambria Math"/>
            <w:noProof/>
            <w:sz w:val="20"/>
            <w:szCs w:val="20"/>
          </w:rPr>
          <m:t>)/2</m:t>
        </m:r>
      </m:oMath>
      <w:r w:rsidRPr="003E7C8C">
        <w:rPr>
          <w:noProof/>
          <w:sz w:val="20"/>
          <w:szCs w:val="20"/>
        </w:rPr>
        <w:t xml:space="preserve"> </w:t>
      </w:r>
      <w:r w:rsidR="003B42E5">
        <w:rPr>
          <w:noProof/>
          <w:sz w:val="20"/>
          <w:szCs w:val="20"/>
        </w:rPr>
        <w:fldChar w:fldCharType="begin"/>
      </w:r>
      <w:r w:rsidR="003B42E5">
        <w:rPr>
          <w:noProof/>
          <w:sz w:val="20"/>
          <w:szCs w:val="20"/>
        </w:rPr>
        <w:instrText xml:space="preserve"> ADDIN EN.CITE &lt;EndNote&gt;&lt;Cite&gt;&lt;Author&gt;Mrode&lt;/Author&gt;&lt;Year&gt;2005&lt;/Year&gt;&lt;RecNum&gt;2226&lt;/RecNum&gt;&lt;DisplayText&gt;[1]&lt;/DisplayText&gt;&lt;record&gt;&lt;rec-number&gt;2226&lt;/rec-number&gt;&lt;foreign-keys&gt;&lt;key app="EN" db-id="pfeddp5e0adersewxf5pxwafzr5zdze9prr2" timestamp="1390740056"&gt;2226&lt;/key&gt;&lt;/foreign-keys&gt;&lt;ref-type name="Book"&gt;6&lt;/ref-type&gt;&lt;contributors&gt;&lt;authors&gt;&lt;author&gt;Mrode, R A&lt;/author&gt;&lt;author&gt;Thompson, R&lt;/author&gt;&lt;/authors&gt;&lt;/contributors&gt;&lt;titles&gt;&lt;title&gt;Linear models for the prediction of animal breeding values&lt;/title&gt;&lt;/titles&gt;&lt;dates&gt;&lt;year&gt;2005&lt;/year&gt;&lt;/dates&gt;&lt;pub-location&gt;UK&lt;/pub-location&gt;&lt;publisher&gt;CABI&lt;/publisher&gt;&lt;isbn&gt;1845931025&lt;/isbn&gt;&lt;urls&gt;&lt;/urls&gt;&lt;/record&gt;&lt;/Cite&gt;&lt;/EndNote&gt;</w:instrText>
      </w:r>
      <w:r w:rsidR="003B42E5">
        <w:rPr>
          <w:noProof/>
          <w:sz w:val="20"/>
          <w:szCs w:val="20"/>
        </w:rPr>
        <w:fldChar w:fldCharType="separate"/>
      </w:r>
      <w:r w:rsidR="003B42E5">
        <w:rPr>
          <w:noProof/>
          <w:sz w:val="20"/>
          <w:szCs w:val="20"/>
        </w:rPr>
        <w:t>[1]</w:t>
      </w:r>
      <w:r w:rsidR="003B42E5">
        <w:rPr>
          <w:noProof/>
          <w:sz w:val="20"/>
          <w:szCs w:val="20"/>
        </w:rPr>
        <w:fldChar w:fldCharType="end"/>
      </w:r>
      <w:r w:rsidRPr="003E7C8C">
        <w:rPr>
          <w:noProof/>
          <w:sz w:val="20"/>
          <w:szCs w:val="20"/>
        </w:rPr>
        <w:t xml:space="preserve">. In the </w:t>
      </w:r>
      <w:r w:rsidRPr="003E7C8C">
        <w:rPr>
          <w:b/>
          <w:bCs/>
          <w:i/>
          <w:noProof/>
          <w:sz w:val="20"/>
          <w:szCs w:val="20"/>
        </w:rPr>
        <w:t>D</w:t>
      </w:r>
      <w:r w:rsidRPr="003E7C8C">
        <w:rPr>
          <w:noProof/>
          <w:sz w:val="20"/>
          <w:szCs w:val="20"/>
        </w:rPr>
        <w:t xml:space="preserve"> matrix, the diagonal elements were all one (</w:t>
      </w:r>
      <m:oMath>
        <m:sSub>
          <m:sSubPr>
            <m:ctrlPr>
              <w:rPr>
                <w:rFonts w:ascii="Cambria Math" w:hAnsi="Cambria Math"/>
                <w:i/>
                <w:noProof/>
                <w:sz w:val="20"/>
                <w:szCs w:val="20"/>
              </w:rPr>
            </m:ctrlPr>
          </m:sSubPr>
          <m:e>
            <m:r>
              <w:rPr>
                <w:rFonts w:ascii="Cambria Math" w:hAnsi="Cambria Math"/>
                <w:noProof/>
                <w:sz w:val="20"/>
                <w:szCs w:val="20"/>
              </w:rPr>
              <m:t>D</m:t>
            </m:r>
          </m:e>
          <m:sub>
            <m:r>
              <w:rPr>
                <w:rFonts w:ascii="Cambria Math" w:hAnsi="Cambria Math"/>
                <w:noProof/>
                <w:sz w:val="20"/>
                <w:szCs w:val="20"/>
              </w:rPr>
              <m:t>ii</m:t>
            </m:r>
          </m:sub>
        </m:sSub>
        <m:r>
          <w:rPr>
            <w:rFonts w:ascii="Cambria Math" w:hAnsi="Cambria Math"/>
            <w:noProof/>
            <w:sz w:val="20"/>
            <w:szCs w:val="20"/>
          </w:rPr>
          <m:t>=1</m:t>
        </m:r>
      </m:oMath>
      <w:r w:rsidRPr="003E7C8C">
        <w:rPr>
          <w:noProof/>
          <w:sz w:val="20"/>
          <w:szCs w:val="20"/>
        </w:rPr>
        <w:t xml:space="preserve">), while the off-diagonal elements between the individual </w:t>
      </w:r>
      <w:r w:rsidRPr="003E7C8C">
        <w:rPr>
          <w:i/>
          <w:noProof/>
          <w:sz w:val="20"/>
          <w:szCs w:val="20"/>
        </w:rPr>
        <w:t>i</w:t>
      </w:r>
      <w:r w:rsidRPr="003E7C8C">
        <w:rPr>
          <w:noProof/>
          <w:sz w:val="20"/>
          <w:szCs w:val="20"/>
        </w:rPr>
        <w:t xml:space="preserve">th and </w:t>
      </w:r>
      <w:r w:rsidRPr="003E7C8C">
        <w:rPr>
          <w:i/>
          <w:noProof/>
          <w:sz w:val="20"/>
          <w:szCs w:val="20"/>
        </w:rPr>
        <w:t>j</w:t>
      </w:r>
      <w:r w:rsidRPr="003E7C8C">
        <w:rPr>
          <w:noProof/>
          <w:sz w:val="20"/>
          <w:szCs w:val="20"/>
        </w:rPr>
        <w:t xml:space="preserve">th can be calculated as </w:t>
      </w:r>
      <m:oMath>
        <m:sSub>
          <m:sSubPr>
            <m:ctrlPr>
              <w:rPr>
                <w:rFonts w:ascii="Cambria Math" w:hAnsi="Cambria Math"/>
                <w:i/>
                <w:noProof/>
                <w:sz w:val="20"/>
                <w:szCs w:val="20"/>
              </w:rPr>
            </m:ctrlPr>
          </m:sSubPr>
          <m:e>
            <m:r>
              <w:rPr>
                <w:rFonts w:ascii="Cambria Math" w:hAnsi="Cambria Math"/>
                <w:noProof/>
                <w:sz w:val="20"/>
                <w:szCs w:val="20"/>
              </w:rPr>
              <m:t>D</m:t>
            </m:r>
          </m:e>
          <m:sub>
            <m:r>
              <w:rPr>
                <w:rFonts w:ascii="Cambria Math" w:hAnsi="Cambria Math"/>
                <w:noProof/>
                <w:sz w:val="20"/>
                <w:szCs w:val="20"/>
              </w:rPr>
              <m:t>ij</m:t>
            </m:r>
          </m:sub>
        </m:sSub>
        <m:r>
          <w:rPr>
            <w:rFonts w:ascii="Cambria Math" w:hAnsi="Cambria Math"/>
            <w:noProof/>
            <w:sz w:val="20"/>
            <w:szCs w:val="20"/>
          </w:rPr>
          <m:t>=</m:t>
        </m:r>
        <m:f>
          <m:fPr>
            <m:type m:val="lin"/>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gk</m:t>
                </m:r>
              </m:sub>
            </m:sSub>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hl</m:t>
                </m:r>
              </m:sub>
            </m:sSub>
            <m:r>
              <w:rPr>
                <w:rFonts w:ascii="Cambria Math" w:hAnsi="Cambria Math"/>
                <w:noProof/>
                <w:sz w:val="20"/>
                <w:szCs w:val="20"/>
              </w:rPr>
              <m:t>+</m:t>
            </m:r>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gl</m:t>
                </m:r>
              </m:sub>
            </m:sSub>
            <m:sSub>
              <m:sSubPr>
                <m:ctrlPr>
                  <w:rPr>
                    <w:rFonts w:ascii="Cambria Math" w:hAnsi="Cambria Math"/>
                    <w:i/>
                    <w:noProof/>
                    <w:sz w:val="20"/>
                    <w:szCs w:val="20"/>
                  </w:rPr>
                </m:ctrlPr>
              </m:sSubPr>
              <m:e>
                <m:r>
                  <w:rPr>
                    <w:rFonts w:ascii="Cambria Math" w:hAnsi="Cambria Math"/>
                    <w:noProof/>
                    <w:sz w:val="20"/>
                    <w:szCs w:val="20"/>
                  </w:rPr>
                  <m:t>A</m:t>
                </m:r>
              </m:e>
              <m:sub>
                <m:r>
                  <w:rPr>
                    <w:rFonts w:ascii="Cambria Math" w:hAnsi="Cambria Math"/>
                    <w:noProof/>
                    <w:sz w:val="20"/>
                    <w:szCs w:val="20"/>
                  </w:rPr>
                  <m:t>hk</m:t>
                </m:r>
              </m:sub>
            </m:sSub>
            <m:r>
              <w:rPr>
                <w:rFonts w:ascii="Cambria Math" w:hAnsi="Cambria Math"/>
                <w:noProof/>
                <w:sz w:val="20"/>
                <w:szCs w:val="20"/>
              </w:rPr>
              <m:t>)</m:t>
            </m:r>
          </m:num>
          <m:den>
            <m:r>
              <w:rPr>
                <w:rFonts w:ascii="Cambria Math" w:hAnsi="Cambria Math"/>
                <w:noProof/>
                <w:sz w:val="20"/>
                <w:szCs w:val="20"/>
              </w:rPr>
              <m:t>4</m:t>
            </m:r>
          </m:den>
        </m:f>
      </m:oMath>
      <w:r w:rsidRPr="003E7C8C">
        <w:rPr>
          <w:noProof/>
          <w:sz w:val="20"/>
          <w:szCs w:val="20"/>
        </w:rPr>
        <w:t xml:space="preserve">, where </w:t>
      </w:r>
      <w:r w:rsidRPr="003E7C8C">
        <w:rPr>
          <w:i/>
          <w:noProof/>
          <w:sz w:val="20"/>
          <w:szCs w:val="20"/>
        </w:rPr>
        <w:t xml:space="preserve">g </w:t>
      </w:r>
      <w:r w:rsidRPr="003E7C8C">
        <w:rPr>
          <w:noProof/>
          <w:sz w:val="20"/>
          <w:szCs w:val="20"/>
        </w:rPr>
        <w:t xml:space="preserve">and </w:t>
      </w:r>
      <w:r w:rsidRPr="003E7C8C">
        <w:rPr>
          <w:i/>
          <w:noProof/>
          <w:sz w:val="20"/>
          <w:szCs w:val="20"/>
        </w:rPr>
        <w:t>h</w:t>
      </w:r>
      <w:r w:rsidRPr="003E7C8C">
        <w:rPr>
          <w:noProof/>
          <w:sz w:val="20"/>
          <w:szCs w:val="20"/>
        </w:rPr>
        <w:t xml:space="preserve"> are the parents of the </w:t>
      </w:r>
      <w:r w:rsidRPr="003E7C8C">
        <w:rPr>
          <w:i/>
          <w:noProof/>
          <w:sz w:val="20"/>
          <w:szCs w:val="20"/>
        </w:rPr>
        <w:t>i</w:t>
      </w:r>
      <w:r w:rsidRPr="003E7C8C">
        <w:rPr>
          <w:noProof/>
          <w:sz w:val="20"/>
          <w:szCs w:val="20"/>
        </w:rPr>
        <w:t xml:space="preserve">th individual and </w:t>
      </w:r>
      <w:r w:rsidRPr="003E7C8C">
        <w:rPr>
          <w:i/>
          <w:noProof/>
          <w:sz w:val="20"/>
          <w:szCs w:val="20"/>
        </w:rPr>
        <w:t>k</w:t>
      </w:r>
      <w:r w:rsidRPr="003E7C8C">
        <w:rPr>
          <w:noProof/>
          <w:sz w:val="20"/>
          <w:szCs w:val="20"/>
        </w:rPr>
        <w:t xml:space="preserve"> and </w:t>
      </w:r>
      <w:r w:rsidRPr="003E7C8C">
        <w:rPr>
          <w:i/>
          <w:noProof/>
          <w:sz w:val="20"/>
          <w:szCs w:val="20"/>
        </w:rPr>
        <w:t>l</w:t>
      </w:r>
      <w:r w:rsidRPr="003E7C8C">
        <w:rPr>
          <w:noProof/>
          <w:sz w:val="20"/>
          <w:szCs w:val="20"/>
        </w:rPr>
        <w:t xml:space="preserve"> are the parents of the </w:t>
      </w:r>
      <w:r w:rsidRPr="003E7C8C">
        <w:rPr>
          <w:i/>
          <w:noProof/>
          <w:sz w:val="20"/>
          <w:szCs w:val="20"/>
        </w:rPr>
        <w:t>j</w:t>
      </w:r>
      <w:r w:rsidRPr="003E7C8C">
        <w:rPr>
          <w:noProof/>
          <w:sz w:val="20"/>
          <w:szCs w:val="20"/>
        </w:rPr>
        <w:t xml:space="preserve">th individual. </w:t>
      </w:r>
      <w:r w:rsidRPr="003E7C8C">
        <w:rPr>
          <w:b/>
          <w:i/>
          <w:noProof/>
          <w:sz w:val="20"/>
          <w:szCs w:val="20"/>
        </w:rPr>
        <w:t>A</w:t>
      </w:r>
      <w:r w:rsidRPr="003E7C8C">
        <w:rPr>
          <w:noProof/>
          <w:sz w:val="20"/>
          <w:szCs w:val="20"/>
        </w:rPr>
        <w:t xml:space="preserve"> and </w:t>
      </w:r>
      <w:r w:rsidRPr="003E7C8C">
        <w:rPr>
          <w:b/>
          <w:bCs/>
          <w:i/>
          <w:noProof/>
          <w:sz w:val="20"/>
          <w:szCs w:val="20"/>
        </w:rPr>
        <w:t>D</w:t>
      </w:r>
      <w:r w:rsidRPr="003E7C8C">
        <w:rPr>
          <w:noProof/>
          <w:sz w:val="20"/>
          <w:szCs w:val="20"/>
        </w:rPr>
        <w:t xml:space="preserve"> relationship matrices were produced using the AGHmatix package </w:t>
      </w:r>
      <w:r w:rsidR="003B42E5">
        <w:rPr>
          <w:noProof/>
          <w:sz w:val="20"/>
          <w:szCs w:val="20"/>
        </w:rPr>
        <w:fldChar w:fldCharType="begin"/>
      </w:r>
      <w:r w:rsidR="003B42E5">
        <w:rPr>
          <w:noProof/>
          <w:sz w:val="20"/>
          <w:szCs w:val="20"/>
        </w:rPr>
        <w:instrText xml:space="preserve"> ADDIN EN.CITE &lt;EndNote&gt;&lt;Cite&gt;&lt;Author&gt;Amadeu&lt;/Author&gt;&lt;Year&gt;2021&lt;/Year&gt;&lt;RecNum&gt;5928&lt;/RecNum&gt;&lt;DisplayText&gt;[2]&lt;/DisplayText&gt;&lt;record&gt;&lt;rec-number&gt;5928&lt;/rec-number&gt;&lt;foreign-keys&gt;&lt;key app="EN" db-id="pfeddp5e0adersewxf5pxwafzr5zdze9prr2" timestamp="1614622182"&gt;5928&lt;/key&gt;&lt;/foreign-keys&gt;&lt;ref-type name="Journal Article"&gt;17&lt;/ref-type&gt;&lt;contributors&gt;&lt;authors&gt;&lt;author&gt;Amadeu, Rodrigo&lt;/author&gt;&lt;/authors&gt;&lt;/contributors&gt;&lt;titles&gt;&lt;title&gt;AGHmatrix: An R package to compute relationship matrices for diploid and autopolyploid species&lt;/title&gt;&lt;/titles&gt;&lt;dates&gt;&lt;year&gt;2021&lt;/year&gt;&lt;/dates&gt;&lt;urls&gt;&lt;/urls&gt;&lt;/record&gt;&lt;/Cite&gt;&lt;/EndNote&gt;</w:instrText>
      </w:r>
      <w:r w:rsidR="003B42E5">
        <w:rPr>
          <w:noProof/>
          <w:sz w:val="20"/>
          <w:szCs w:val="20"/>
        </w:rPr>
        <w:fldChar w:fldCharType="separate"/>
      </w:r>
      <w:r w:rsidR="003B42E5">
        <w:rPr>
          <w:noProof/>
          <w:sz w:val="20"/>
          <w:szCs w:val="20"/>
        </w:rPr>
        <w:t>[2]</w:t>
      </w:r>
      <w:r w:rsidR="003B42E5">
        <w:rPr>
          <w:noProof/>
          <w:sz w:val="20"/>
          <w:szCs w:val="20"/>
        </w:rPr>
        <w:fldChar w:fldCharType="end"/>
      </w:r>
      <w:r w:rsidRPr="003E7C8C">
        <w:rPr>
          <w:noProof/>
          <w:sz w:val="20"/>
          <w:szCs w:val="20"/>
        </w:rPr>
        <w:t>.</w:t>
      </w:r>
    </w:p>
    <w:p w14:paraId="247C06B9" w14:textId="0D497804" w:rsidR="00444831" w:rsidRPr="003E7C8C" w:rsidRDefault="00444831" w:rsidP="006B4CCB">
      <w:pPr>
        <w:spacing w:line="480" w:lineRule="auto"/>
        <w:jc w:val="both"/>
        <w:rPr>
          <w:noProof/>
          <w:sz w:val="20"/>
          <w:szCs w:val="20"/>
        </w:rPr>
      </w:pPr>
      <w:r w:rsidRPr="003E7C8C">
        <w:rPr>
          <w:noProof/>
          <w:sz w:val="20"/>
          <w:szCs w:val="20"/>
        </w:rPr>
        <w:t>The genomic-based additive (</w:t>
      </w:r>
      <m:oMath>
        <m:sSub>
          <m:sSubPr>
            <m:ctrlPr>
              <w:rPr>
                <w:rFonts w:ascii="Cambria Math" w:hAnsi="Cambria Math"/>
                <w:b/>
                <w:bCs/>
                <w:noProof/>
                <w:sz w:val="20"/>
                <w:szCs w:val="20"/>
              </w:rPr>
            </m:ctrlPr>
          </m:sSubPr>
          <m:e>
            <m:r>
              <m:rPr>
                <m:sty m:val="bi"/>
              </m:rPr>
              <w:rPr>
                <w:rFonts w:ascii="Cambria Math" w:hAnsi="Cambria Math"/>
                <w:noProof/>
                <w:sz w:val="20"/>
                <w:szCs w:val="20"/>
              </w:rPr>
              <m:t>G</m:t>
            </m:r>
          </m:e>
          <m:sub>
            <m:r>
              <m:rPr>
                <m:sty m:val="b"/>
              </m:rPr>
              <w:rPr>
                <w:rFonts w:ascii="Cambria Math" w:hAnsi="Cambria Math"/>
                <w:noProof/>
                <w:sz w:val="20"/>
                <w:szCs w:val="20"/>
              </w:rPr>
              <m:t>a</m:t>
            </m:r>
          </m:sub>
        </m:sSub>
      </m:oMath>
      <w:r w:rsidRPr="003E7C8C">
        <w:rPr>
          <w:noProof/>
          <w:sz w:val="20"/>
          <w:szCs w:val="20"/>
        </w:rPr>
        <w:t>) and dominance (</w:t>
      </w:r>
      <m:oMath>
        <m:sSub>
          <m:sSubPr>
            <m:ctrlPr>
              <w:rPr>
                <w:rFonts w:ascii="Cambria Math" w:hAnsi="Cambria Math"/>
                <w:b/>
                <w:bCs/>
                <w:noProof/>
                <w:sz w:val="20"/>
                <w:szCs w:val="20"/>
              </w:rPr>
            </m:ctrlPr>
          </m:sSubPr>
          <m:e>
            <m:r>
              <m:rPr>
                <m:sty m:val="bi"/>
              </m:rPr>
              <w:rPr>
                <w:rFonts w:ascii="Cambria Math" w:hAnsi="Cambria Math"/>
                <w:noProof/>
                <w:sz w:val="20"/>
                <w:szCs w:val="20"/>
              </w:rPr>
              <m:t>G</m:t>
            </m:r>
          </m:e>
          <m:sub>
            <m:r>
              <m:rPr>
                <m:sty m:val="b"/>
              </m:rPr>
              <w:rPr>
                <w:rFonts w:ascii="Cambria Math" w:hAnsi="Cambria Math"/>
                <w:noProof/>
                <w:sz w:val="20"/>
                <w:szCs w:val="20"/>
              </w:rPr>
              <m:t>d</m:t>
            </m:r>
          </m:sub>
        </m:sSub>
      </m:oMath>
      <w:r w:rsidRPr="003E7C8C">
        <w:rPr>
          <w:noProof/>
          <w:sz w:val="20"/>
          <w:szCs w:val="20"/>
        </w:rPr>
        <w:t>) relationship matrices were constructed based on imputed SNP data as described by VanRaden (2008)</w:t>
      </w:r>
      <w:r w:rsidR="003B42E5">
        <w:rPr>
          <w:noProof/>
          <w:sz w:val="20"/>
          <w:szCs w:val="20"/>
        </w:rPr>
        <w:t xml:space="preserve"> </w:t>
      </w:r>
      <w:r w:rsidR="003B42E5">
        <w:rPr>
          <w:noProof/>
          <w:sz w:val="20"/>
          <w:szCs w:val="20"/>
        </w:rPr>
        <w:fldChar w:fldCharType="begin"/>
      </w:r>
      <w:r w:rsidR="003B42E5">
        <w:rPr>
          <w:noProof/>
          <w:sz w:val="20"/>
          <w:szCs w:val="20"/>
        </w:rPr>
        <w:instrText xml:space="preserve"> ADDIN EN.CITE &lt;EndNote&gt;&lt;Cite&gt;&lt;Author&gt;VanRaden&lt;/Author&gt;&lt;Year&gt;2008&lt;/Year&gt;&lt;RecNum&gt;3845&lt;/RecNum&gt;&lt;DisplayText&gt;[3]&lt;/DisplayText&gt;&lt;record&gt;&lt;rec-number&gt;3845&lt;/rec-number&gt;&lt;foreign-keys&gt;&lt;key app="EN" db-id="pfeddp5e0adersewxf5pxwafzr5zdze9prr2" timestamp="1469784369"&gt;3845&lt;/key&gt;&lt;/foreign-keys&gt;&lt;ref-type name="Journal Article"&gt;17&lt;/ref-type&gt;&lt;contributors&gt;&lt;authors&gt;&lt;author&gt;VanRaden, P. M.&lt;/author&gt;&lt;/authors&gt;&lt;/contributors&gt;&lt;titles&gt;&lt;title&gt;Efficient methods to compute genomic predictions&lt;/title&gt;&lt;secondary-title&gt;Journal of Dairy Science&lt;/secondary-title&gt;&lt;/titles&gt;&lt;periodical&gt;&lt;full-title&gt;Journal of Dairy Science&lt;/full-title&gt;&lt;abbr-1&gt;J. Dairy Sci. &lt;/abbr-1&gt;&lt;abbr-2&gt;J Dairy Sci&lt;/abbr-2&gt;&lt;/periodical&gt;&lt;pages&gt;4414−4423&lt;/pages&gt;&lt;volume&gt;91&lt;/volume&gt;&lt;number&gt;11&lt;/number&gt;&lt;keywords&gt;&lt;keyword&gt;genomic selection&lt;/keyword&gt;&lt;keyword&gt;mixed model&lt;/keyword&gt;&lt;keyword&gt;computer program&lt;/keyword&gt;&lt;keyword&gt;relationship matrix&lt;/keyword&gt;&lt;/keywords&gt;&lt;dates&gt;&lt;year&gt;2008&lt;/year&gt;&lt;pub-dates&gt;&lt;date&gt;11//&lt;/date&gt;&lt;/pub-dates&gt;&lt;/dates&gt;&lt;isbn&gt;0022-0302&lt;/isbn&gt;&lt;urls&gt;&lt;related-urls&gt;&lt;url&gt;http://www.sciencedirect.com/science/article/pii/S0022030208709901&lt;/url&gt;&lt;/related-urls&gt;&lt;/urls&gt;&lt;electronic-resource-num&gt;org/10.3168/jds.2007-0980&lt;/electronic-resource-num&gt;&lt;research-notes&gt;method to estimate G matrix &lt;/research-notes&gt;&lt;/record&gt;&lt;/Cite&gt;&lt;/EndNote&gt;</w:instrText>
      </w:r>
      <w:r w:rsidR="003B42E5">
        <w:rPr>
          <w:noProof/>
          <w:sz w:val="20"/>
          <w:szCs w:val="20"/>
        </w:rPr>
        <w:fldChar w:fldCharType="separate"/>
      </w:r>
      <w:r w:rsidR="003B42E5">
        <w:rPr>
          <w:noProof/>
          <w:sz w:val="20"/>
          <w:szCs w:val="20"/>
        </w:rPr>
        <w:t>[3]</w:t>
      </w:r>
      <w:r w:rsidR="003B42E5">
        <w:rPr>
          <w:noProof/>
          <w:sz w:val="20"/>
          <w:szCs w:val="20"/>
        </w:rPr>
        <w:fldChar w:fldCharType="end"/>
      </w:r>
      <w:r w:rsidRPr="003E7C8C">
        <w:rPr>
          <w:noProof/>
          <w:sz w:val="20"/>
          <w:szCs w:val="20"/>
        </w:rPr>
        <w:t xml:space="preserve"> for </w:t>
      </w:r>
      <m:oMath>
        <m:sSub>
          <m:sSubPr>
            <m:ctrlPr>
              <w:rPr>
                <w:rFonts w:ascii="Cambria Math" w:hAnsi="Cambria Math"/>
                <w:b/>
                <w:bCs/>
                <w:noProof/>
                <w:sz w:val="20"/>
                <w:szCs w:val="20"/>
              </w:rPr>
            </m:ctrlPr>
          </m:sSubPr>
          <m:e>
            <m:r>
              <m:rPr>
                <m:sty m:val="bi"/>
              </m:rPr>
              <w:rPr>
                <w:rFonts w:ascii="Cambria Math" w:hAnsi="Cambria Math"/>
                <w:noProof/>
                <w:sz w:val="20"/>
                <w:szCs w:val="20"/>
              </w:rPr>
              <m:t>G</m:t>
            </m:r>
          </m:e>
          <m:sub>
            <m:r>
              <m:rPr>
                <m:sty m:val="b"/>
              </m:rPr>
              <w:rPr>
                <w:rFonts w:ascii="Cambria Math" w:hAnsi="Cambria Math"/>
                <w:noProof/>
                <w:sz w:val="20"/>
                <w:szCs w:val="20"/>
              </w:rPr>
              <m:t>a</m:t>
            </m:r>
          </m:sub>
        </m:sSub>
      </m:oMath>
      <w:r w:rsidRPr="003E7C8C">
        <w:rPr>
          <w:noProof/>
          <w:sz w:val="20"/>
          <w:szCs w:val="20"/>
        </w:rPr>
        <w:t xml:space="preserve"> and by Vitezica et al. (2013) </w:t>
      </w:r>
      <w:r w:rsidR="003B42E5">
        <w:rPr>
          <w:noProof/>
          <w:sz w:val="20"/>
          <w:szCs w:val="20"/>
        </w:rPr>
        <w:fldChar w:fldCharType="begin"/>
      </w:r>
      <w:r w:rsidR="003B42E5">
        <w:rPr>
          <w:noProof/>
          <w:sz w:val="20"/>
          <w:szCs w:val="20"/>
        </w:rPr>
        <w:instrText xml:space="preserve"> ADDIN EN.CITE &lt;EndNote&gt;&lt;Cite&gt;&lt;Author&gt;Vitezica&lt;/Author&gt;&lt;Year&gt;2013&lt;/Year&gt;&lt;RecNum&gt;4629&lt;/RecNum&gt;&lt;DisplayText&gt;[4]&lt;/DisplayText&gt;&lt;record&gt;&lt;rec-number&gt;4629&lt;/rec-number&gt;&lt;foreign-keys&gt;&lt;key app="EN" db-id="pfeddp5e0adersewxf5pxwafzr5zdze9prr2" timestamp="1520931625"&gt;4629&lt;/key&gt;&lt;/foreign-keys&gt;&lt;ref-type name="Journal Article"&gt;17&lt;/ref-type&gt;&lt;contributors&gt;&lt;authors&gt;&lt;author&gt;Vitezica, Zulma G&lt;/author&gt;&lt;author&gt;Varona, Luis&lt;/author&gt;&lt;author&gt;Legarra, Andres&lt;/author&gt;&lt;/authors&gt;&lt;/contributors&gt;&lt;titles&gt;&lt;title&gt;On the additive and dominant variance and covariance of individuals within the genomic selection scope&lt;/title&gt;&lt;secondary-title&gt;Genetics&lt;/secondary-title&gt;&lt;/titles&gt;&lt;periodical&gt;&lt;full-title&gt;Genetics&lt;/full-title&gt;&lt;abbr-1&gt;Genetics&lt;/abbr-1&gt;&lt;abbr-2&gt;Genetics&lt;/abbr-2&gt;&lt;/periodical&gt;&lt;pages&gt;1223−1230&lt;/pages&gt;&lt;volume&gt;195&lt;/volume&gt;&lt;number&gt;4&lt;/number&gt;&lt;dates&gt;&lt;year&gt;2013&lt;/year&gt;&lt;/dates&gt;&lt;isbn&gt;0016-6731&lt;/isbn&gt;&lt;urls&gt;&lt;/urls&gt;&lt;/record&gt;&lt;/Cite&gt;&lt;/EndNote&gt;</w:instrText>
      </w:r>
      <w:r w:rsidR="003B42E5">
        <w:rPr>
          <w:noProof/>
          <w:sz w:val="20"/>
          <w:szCs w:val="20"/>
        </w:rPr>
        <w:fldChar w:fldCharType="separate"/>
      </w:r>
      <w:r w:rsidR="003B42E5">
        <w:rPr>
          <w:noProof/>
          <w:sz w:val="20"/>
          <w:szCs w:val="20"/>
        </w:rPr>
        <w:t>[4]</w:t>
      </w:r>
      <w:r w:rsidR="003B42E5">
        <w:rPr>
          <w:noProof/>
          <w:sz w:val="20"/>
          <w:szCs w:val="20"/>
        </w:rPr>
        <w:fldChar w:fldCharType="end"/>
      </w:r>
      <w:r w:rsidR="003B42E5">
        <w:rPr>
          <w:noProof/>
          <w:sz w:val="20"/>
          <w:szCs w:val="20"/>
        </w:rPr>
        <w:t xml:space="preserve"> </w:t>
      </w:r>
      <w:r w:rsidRPr="003E7C8C">
        <w:rPr>
          <w:noProof/>
          <w:sz w:val="20"/>
          <w:szCs w:val="20"/>
        </w:rPr>
        <w:t xml:space="preserve">for </w:t>
      </w:r>
      <m:oMath>
        <m:sSub>
          <m:sSubPr>
            <m:ctrlPr>
              <w:rPr>
                <w:rFonts w:ascii="Cambria Math" w:hAnsi="Cambria Math"/>
                <w:b/>
                <w:bCs/>
                <w:noProof/>
                <w:sz w:val="20"/>
                <w:szCs w:val="20"/>
              </w:rPr>
            </m:ctrlPr>
          </m:sSubPr>
          <m:e>
            <m:r>
              <m:rPr>
                <m:sty m:val="bi"/>
              </m:rPr>
              <w:rPr>
                <w:rFonts w:ascii="Cambria Math" w:hAnsi="Cambria Math"/>
                <w:noProof/>
                <w:sz w:val="20"/>
                <w:szCs w:val="20"/>
              </w:rPr>
              <m:t>G</m:t>
            </m:r>
          </m:e>
          <m:sub>
            <m:r>
              <m:rPr>
                <m:sty m:val="b"/>
              </m:rPr>
              <w:rPr>
                <w:rFonts w:ascii="Cambria Math" w:hAnsi="Cambria Math"/>
                <w:noProof/>
                <w:sz w:val="20"/>
                <w:szCs w:val="20"/>
              </w:rPr>
              <m:t>d</m:t>
            </m:r>
          </m:sub>
        </m:sSub>
      </m:oMath>
      <w:r w:rsidRPr="003E7C8C">
        <w:rPr>
          <w:noProof/>
          <w:sz w:val="20"/>
          <w:szCs w:val="20"/>
        </w:rPr>
        <w:t xml:space="preserve"> using AGHmatrix package in R </w:t>
      </w:r>
      <w:r w:rsidR="003B42E5">
        <w:rPr>
          <w:noProof/>
          <w:sz w:val="20"/>
          <w:szCs w:val="20"/>
        </w:rPr>
        <w:fldChar w:fldCharType="begin"/>
      </w:r>
      <w:r w:rsidR="003B42E5">
        <w:rPr>
          <w:noProof/>
          <w:sz w:val="20"/>
          <w:szCs w:val="20"/>
        </w:rPr>
        <w:instrText xml:space="preserve"> ADDIN EN.CITE &lt;EndNote&gt;&lt;Cite&gt;&lt;Author&gt;Amadeu&lt;/Author&gt;&lt;Year&gt;2021&lt;/Year&gt;&lt;RecNum&gt;5928&lt;/RecNum&gt;&lt;DisplayText&gt;[2]&lt;/DisplayText&gt;&lt;record&gt;&lt;rec-number&gt;5928&lt;/rec-number&gt;&lt;foreign-keys&gt;&lt;key app="EN" db-id="pfeddp5e0adersewxf5pxwafzr5zdze9prr2" timestamp="1614622182"&gt;5928&lt;/key&gt;&lt;/foreign-keys&gt;&lt;ref-type name="Journal Article"&gt;17&lt;/ref-type&gt;&lt;contributors&gt;&lt;authors&gt;&lt;author&gt;Amadeu, Rodrigo&lt;/author&gt;&lt;/authors&gt;&lt;/contributors&gt;&lt;titles&gt;&lt;title&gt;AGHmatrix: An R package to compute relationship matrices for diploid and autopolyploid species&lt;/title&gt;&lt;/titles&gt;&lt;dates&gt;&lt;year&gt;2021&lt;/year&gt;&lt;/dates&gt;&lt;urls&gt;&lt;/urls&gt;&lt;/record&gt;&lt;/Cite&gt;&lt;/EndNote&gt;</w:instrText>
      </w:r>
      <w:r w:rsidR="003B42E5">
        <w:rPr>
          <w:noProof/>
          <w:sz w:val="20"/>
          <w:szCs w:val="20"/>
        </w:rPr>
        <w:fldChar w:fldCharType="separate"/>
      </w:r>
      <w:r w:rsidR="003B42E5">
        <w:rPr>
          <w:noProof/>
          <w:sz w:val="20"/>
          <w:szCs w:val="20"/>
        </w:rPr>
        <w:t>[2]</w:t>
      </w:r>
      <w:r w:rsidR="003B42E5">
        <w:rPr>
          <w:noProof/>
          <w:sz w:val="20"/>
          <w:szCs w:val="20"/>
        </w:rPr>
        <w:fldChar w:fldCharType="end"/>
      </w:r>
      <w:r w:rsidRPr="003E7C8C">
        <w:rPr>
          <w:noProof/>
          <w:sz w:val="20"/>
          <w:szCs w:val="20"/>
        </w:rPr>
        <w:t xml:space="preserve">. </w:t>
      </w:r>
    </w:p>
    <w:p w14:paraId="451ABDAD" w14:textId="7AB9A8FB" w:rsidR="00444831" w:rsidRDefault="00444831" w:rsidP="006B4CCB">
      <w:pPr>
        <w:spacing w:line="480" w:lineRule="auto"/>
        <w:jc w:val="both"/>
        <w:rPr>
          <w:noProof/>
          <w:sz w:val="20"/>
          <w:szCs w:val="20"/>
        </w:rPr>
      </w:pPr>
      <w:r w:rsidRPr="003E7C8C">
        <w:rPr>
          <w:noProof/>
          <w:sz w:val="20"/>
          <w:szCs w:val="20"/>
        </w:rPr>
        <w:t>The relationship matrices due to the first-order epistatic interactions were computed using the Hadamard product (cell by cell multiplication, denoted #) and trace (</w:t>
      </w:r>
      <w:r w:rsidRPr="003E7C8C">
        <w:rPr>
          <w:i/>
          <w:noProof/>
          <w:sz w:val="20"/>
          <w:szCs w:val="20"/>
        </w:rPr>
        <w:t>tr</w:t>
      </w:r>
      <w:r w:rsidRPr="003E7C8C">
        <w:rPr>
          <w:noProof/>
          <w:sz w:val="20"/>
          <w:szCs w:val="20"/>
        </w:rPr>
        <w:t xml:space="preserve">) </w:t>
      </w:r>
      <w:r w:rsidR="003B42E5">
        <w:rPr>
          <w:noProof/>
          <w:sz w:val="20"/>
          <w:szCs w:val="20"/>
        </w:rPr>
        <w:fldChar w:fldCharType="begin"/>
      </w:r>
      <w:r w:rsidR="003B42E5">
        <w:rPr>
          <w:noProof/>
          <w:sz w:val="20"/>
          <w:szCs w:val="20"/>
        </w:rPr>
        <w:instrText xml:space="preserve"> ADDIN EN.CITE &lt;EndNote&gt;&lt;Cite&gt;&lt;Author&gt;Vitezica&lt;/Author&gt;&lt;Year&gt;2018&lt;/Year&gt;&lt;RecNum&gt;5392&lt;/RecNum&gt;&lt;DisplayText&gt;[5]&lt;/DisplayText&gt;&lt;record&gt;&lt;rec-number&gt;5392&lt;/rec-number&gt;&lt;foreign-keys&gt;&lt;key app="EN" db-id="pfeddp5e0adersewxf5pxwafzr5zdze9prr2" timestamp="1563356329"&gt;5392&lt;/key&gt;&lt;/foreign-keys&gt;&lt;ref-type name="Journal Article"&gt;17&lt;/ref-type&gt;&lt;contributors&gt;&lt;authors&gt;&lt;author&gt;Vitezica, Zulma G.&lt;/author&gt;&lt;author&gt;Reverter, Antonio&lt;/author&gt;&lt;author&gt;Herring, William&lt;/author&gt;&lt;author&gt;Legarra, Andres&lt;/author&gt;&lt;/authors&gt;&lt;/contributors&gt;&lt;titles&gt;&lt;title&gt;Dominance and epistatic genetic variances for litter size in pigs using genomic models&lt;/title&gt;&lt;secondary-title&gt;Genetics Selection Evolution&lt;/secondary-title&gt;&lt;/titles&gt;&lt;periodical&gt;&lt;full-title&gt;Genetics Selection Evolution&lt;/full-title&gt;&lt;abbr-1&gt;Genet. Sel. Evol.&lt;/abbr-1&gt;&lt;abbr-2&gt;Genet Sel Evol&lt;/abbr-2&gt;&lt;/periodical&gt;&lt;pages&gt;71&lt;/pages&gt;&lt;volume&gt;50&lt;/volume&gt;&lt;number&gt;1&lt;/number&gt;&lt;dates&gt;&lt;year&gt;2018&lt;/year&gt;&lt;pub-dates&gt;&lt;date&gt;December 22&lt;/date&gt;&lt;/pub-dates&gt;&lt;/dates&gt;&lt;isbn&gt;1297-9686&lt;/isbn&gt;&lt;label&gt;Vitezica2018&lt;/label&gt;&lt;work-type&gt;journal article&lt;/work-type&gt;&lt;urls&gt;&lt;related-urls&gt;&lt;url&gt;https://doi.org/10.1186/s12711-018-0437-3&lt;/url&gt;&lt;url&gt;https://www.ncbi.nlm.nih.gov/pmc/articles/PMC6303964/pdf/12711_2018_Article_437.pdf&lt;/url&gt;&lt;/related-urls&gt;&lt;/urls&gt;&lt;electronic-resource-num&gt;10.1186/s12711-018-0437-3&lt;/electronic-resource-num&gt;&lt;/record&gt;&lt;/Cite&gt;&lt;/EndNote&gt;</w:instrText>
      </w:r>
      <w:r w:rsidR="003B42E5">
        <w:rPr>
          <w:noProof/>
          <w:sz w:val="20"/>
          <w:szCs w:val="20"/>
        </w:rPr>
        <w:fldChar w:fldCharType="separate"/>
      </w:r>
      <w:r w:rsidR="003B42E5">
        <w:rPr>
          <w:noProof/>
          <w:sz w:val="20"/>
          <w:szCs w:val="20"/>
        </w:rPr>
        <w:t>[5]</w:t>
      </w:r>
      <w:r w:rsidR="003B42E5">
        <w:rPr>
          <w:noProof/>
          <w:sz w:val="20"/>
          <w:szCs w:val="20"/>
        </w:rPr>
        <w:fldChar w:fldCharType="end"/>
      </w:r>
      <w:r w:rsidRPr="003E7C8C">
        <w:rPr>
          <w:noProof/>
          <w:sz w:val="20"/>
          <w:szCs w:val="20"/>
        </w:rPr>
        <w:t xml:space="preserve">. In the pedigree-based model, the additive-by-additive terms are calculated as </w:t>
      </w:r>
      <m:oMath>
        <m:sSub>
          <m:sSubPr>
            <m:ctrlPr>
              <w:rPr>
                <w:rFonts w:ascii="Cambria Math" w:hAnsi="Cambria Math"/>
                <w:b/>
                <w:bCs/>
                <w:noProof/>
                <w:sz w:val="20"/>
                <w:szCs w:val="20"/>
              </w:rPr>
            </m:ctrlPr>
          </m:sSubPr>
          <m:e>
            <m:r>
              <m:rPr>
                <m:sty m:val="bi"/>
              </m:rPr>
              <w:rPr>
                <w:rFonts w:ascii="Cambria Math" w:hAnsi="Cambria Math"/>
                <w:noProof/>
                <w:sz w:val="20"/>
                <w:szCs w:val="20"/>
              </w:rPr>
              <m:t>P</m:t>
            </m:r>
          </m:e>
          <m:sub>
            <m:r>
              <m:rPr>
                <m:sty m:val="b"/>
              </m:rPr>
              <w:rPr>
                <w:rFonts w:ascii="Cambria Math" w:hAnsi="Cambria Math"/>
                <w:noProof/>
                <w:sz w:val="20"/>
                <w:szCs w:val="20"/>
              </w:rPr>
              <m:t>aa</m:t>
            </m:r>
          </m:sub>
        </m:sSub>
        <m:r>
          <m:rPr>
            <m:sty m:val="p"/>
          </m:rPr>
          <w:rPr>
            <w:rFonts w:ascii="Cambria Math" w:hAnsi="Cambria Math"/>
            <w:noProof/>
            <w:sz w:val="20"/>
            <w:szCs w:val="20"/>
          </w:rPr>
          <m:t>=</m:t>
        </m:r>
        <m:f>
          <m:fPr>
            <m:ctrlPr>
              <w:rPr>
                <w:rFonts w:ascii="Cambria Math" w:hAnsi="Cambria Math"/>
                <w:i/>
                <w:noProof/>
                <w:sz w:val="20"/>
                <w:szCs w:val="20"/>
              </w:rPr>
            </m:ctrlPr>
          </m:fPr>
          <m:num>
            <m:r>
              <m:rPr>
                <m:sty m:val="bi"/>
              </m:rPr>
              <w:rPr>
                <w:rFonts w:ascii="Cambria Math" w:hAnsi="Cambria Math"/>
                <w:noProof/>
                <w:sz w:val="20"/>
                <w:szCs w:val="20"/>
              </w:rPr>
              <m:t>A</m:t>
            </m:r>
            <m:r>
              <w:rPr>
                <w:rFonts w:ascii="Cambria Math" w:hAnsi="Cambria Math"/>
                <w:noProof/>
                <w:sz w:val="20"/>
                <w:szCs w:val="20"/>
              </w:rPr>
              <m:t>#</m:t>
            </m:r>
            <m:r>
              <m:rPr>
                <m:sty m:val="bi"/>
              </m:rPr>
              <w:rPr>
                <w:rFonts w:ascii="Cambria Math" w:hAnsi="Cambria Math"/>
                <w:noProof/>
                <w:sz w:val="20"/>
                <w:szCs w:val="20"/>
              </w:rPr>
              <m:t>A</m:t>
            </m:r>
          </m:num>
          <m:den>
            <m:r>
              <w:rPr>
                <w:rFonts w:ascii="Cambria Math" w:hAnsi="Cambria Math"/>
                <w:noProof/>
                <w:sz w:val="20"/>
                <w:szCs w:val="20"/>
              </w:rPr>
              <m:t>tr(</m:t>
            </m:r>
            <m:r>
              <m:rPr>
                <m:sty m:val="bi"/>
              </m:rPr>
              <w:rPr>
                <w:rFonts w:ascii="Cambria Math" w:hAnsi="Cambria Math"/>
                <w:noProof/>
                <w:sz w:val="20"/>
                <w:szCs w:val="20"/>
              </w:rPr>
              <m:t>A</m:t>
            </m:r>
            <m:r>
              <w:rPr>
                <w:rFonts w:ascii="Cambria Math" w:hAnsi="Cambria Math"/>
                <w:noProof/>
                <w:sz w:val="20"/>
                <w:szCs w:val="20"/>
              </w:rPr>
              <m:t>#</m:t>
            </m:r>
            <m:r>
              <m:rPr>
                <m:sty m:val="bi"/>
              </m:rPr>
              <w:rPr>
                <w:rFonts w:ascii="Cambria Math" w:hAnsi="Cambria Math"/>
                <w:noProof/>
                <w:sz w:val="20"/>
                <w:szCs w:val="20"/>
              </w:rPr>
              <m:t>A</m:t>
            </m:r>
            <m:r>
              <w:rPr>
                <w:rFonts w:ascii="Cambria Math" w:hAnsi="Cambria Math"/>
                <w:noProof/>
                <w:sz w:val="20"/>
                <w:szCs w:val="20"/>
              </w:rPr>
              <m:t>)/n</m:t>
            </m:r>
          </m:den>
        </m:f>
      </m:oMath>
      <w:r w:rsidRPr="003E7C8C">
        <w:rPr>
          <w:noProof/>
          <w:sz w:val="20"/>
          <w:szCs w:val="20"/>
        </w:rPr>
        <w:t xml:space="preserve"> , additive-by-dominance terms as </w:t>
      </w:r>
      <m:oMath>
        <m:sSub>
          <m:sSubPr>
            <m:ctrlPr>
              <w:rPr>
                <w:rFonts w:ascii="Cambria Math" w:hAnsi="Cambria Math"/>
                <w:b/>
                <w:bCs/>
                <w:noProof/>
                <w:sz w:val="20"/>
                <w:szCs w:val="20"/>
              </w:rPr>
            </m:ctrlPr>
          </m:sSubPr>
          <m:e>
            <m:r>
              <m:rPr>
                <m:sty m:val="bi"/>
              </m:rPr>
              <w:rPr>
                <w:rFonts w:ascii="Cambria Math" w:hAnsi="Cambria Math"/>
                <w:noProof/>
                <w:sz w:val="20"/>
                <w:szCs w:val="20"/>
              </w:rPr>
              <m:t>P</m:t>
            </m:r>
          </m:e>
          <m:sub>
            <m:r>
              <m:rPr>
                <m:sty m:val="b"/>
              </m:rPr>
              <w:rPr>
                <w:rFonts w:ascii="Cambria Math" w:hAnsi="Cambria Math"/>
                <w:noProof/>
                <w:sz w:val="20"/>
                <w:szCs w:val="20"/>
              </w:rPr>
              <m:t>ad</m:t>
            </m:r>
          </m:sub>
        </m:sSub>
        <m:r>
          <m:rPr>
            <m:sty m:val="p"/>
          </m:rPr>
          <w:rPr>
            <w:rFonts w:ascii="Cambria Math" w:hAnsi="Cambria Math"/>
            <w:noProof/>
            <w:sz w:val="20"/>
            <w:szCs w:val="20"/>
          </w:rPr>
          <m:t xml:space="preserve">= </m:t>
        </m:r>
        <m:f>
          <m:fPr>
            <m:ctrlPr>
              <w:rPr>
                <w:rFonts w:ascii="Cambria Math" w:hAnsi="Cambria Math"/>
                <w:i/>
                <w:noProof/>
                <w:sz w:val="20"/>
                <w:szCs w:val="20"/>
              </w:rPr>
            </m:ctrlPr>
          </m:fPr>
          <m:num>
            <m:r>
              <m:rPr>
                <m:sty m:val="bi"/>
              </m:rPr>
              <w:rPr>
                <w:rFonts w:ascii="Cambria Math" w:hAnsi="Cambria Math"/>
                <w:noProof/>
                <w:sz w:val="20"/>
                <w:szCs w:val="20"/>
              </w:rPr>
              <m:t>A</m:t>
            </m:r>
            <m:r>
              <m:rPr>
                <m:sty m:val="p"/>
              </m:rPr>
              <w:rPr>
                <w:rFonts w:ascii="Cambria Math" w:hAnsi="Cambria Math"/>
                <w:noProof/>
                <w:sz w:val="20"/>
                <w:szCs w:val="20"/>
              </w:rPr>
              <m:t>#</m:t>
            </m:r>
            <m:r>
              <m:rPr>
                <m:sty m:val="bi"/>
              </m:rPr>
              <w:rPr>
                <w:rFonts w:ascii="Cambria Math" w:hAnsi="Cambria Math"/>
                <w:noProof/>
                <w:sz w:val="20"/>
                <w:szCs w:val="20"/>
              </w:rPr>
              <m:t>D</m:t>
            </m:r>
          </m:num>
          <m:den>
            <m:r>
              <w:rPr>
                <w:rFonts w:ascii="Cambria Math" w:hAnsi="Cambria Math"/>
                <w:noProof/>
                <w:sz w:val="20"/>
                <w:szCs w:val="20"/>
              </w:rPr>
              <m:t>tr(</m:t>
            </m:r>
            <m:r>
              <m:rPr>
                <m:sty m:val="bi"/>
              </m:rPr>
              <w:rPr>
                <w:rFonts w:ascii="Cambria Math" w:hAnsi="Cambria Math"/>
                <w:noProof/>
                <w:sz w:val="20"/>
                <w:szCs w:val="20"/>
              </w:rPr>
              <m:t>A</m:t>
            </m:r>
            <m:r>
              <m:rPr>
                <m:sty m:val="p"/>
              </m:rPr>
              <w:rPr>
                <w:rFonts w:ascii="Cambria Math" w:hAnsi="Cambria Math"/>
                <w:noProof/>
                <w:sz w:val="20"/>
                <w:szCs w:val="20"/>
              </w:rPr>
              <m:t>#</m:t>
            </m:r>
            <m:r>
              <m:rPr>
                <m:sty m:val="bi"/>
              </m:rPr>
              <w:rPr>
                <w:rFonts w:ascii="Cambria Math" w:hAnsi="Cambria Math"/>
                <w:noProof/>
                <w:sz w:val="20"/>
                <w:szCs w:val="20"/>
              </w:rPr>
              <m:t>D</m:t>
            </m:r>
            <m:r>
              <w:rPr>
                <w:rFonts w:ascii="Cambria Math" w:hAnsi="Cambria Math"/>
                <w:noProof/>
                <w:sz w:val="20"/>
                <w:szCs w:val="20"/>
              </w:rPr>
              <m:t>)/n</m:t>
            </m:r>
          </m:den>
        </m:f>
      </m:oMath>
      <w:r w:rsidRPr="003E7C8C">
        <w:rPr>
          <w:noProof/>
          <w:sz w:val="20"/>
          <w:szCs w:val="20"/>
        </w:rPr>
        <w:t xml:space="preserve">, and dominance-by-dominance terms as </w:t>
      </w:r>
      <m:oMath>
        <m:sSub>
          <m:sSubPr>
            <m:ctrlPr>
              <w:rPr>
                <w:rFonts w:ascii="Cambria Math" w:hAnsi="Cambria Math"/>
                <w:b/>
                <w:bCs/>
                <w:noProof/>
                <w:sz w:val="20"/>
                <w:szCs w:val="20"/>
              </w:rPr>
            </m:ctrlPr>
          </m:sSubPr>
          <m:e>
            <m:r>
              <m:rPr>
                <m:sty m:val="bi"/>
              </m:rPr>
              <w:rPr>
                <w:rFonts w:ascii="Cambria Math" w:hAnsi="Cambria Math"/>
                <w:noProof/>
                <w:sz w:val="20"/>
                <w:szCs w:val="20"/>
              </w:rPr>
              <m:t>P</m:t>
            </m:r>
          </m:e>
          <m:sub>
            <m:r>
              <m:rPr>
                <m:sty m:val="b"/>
              </m:rPr>
              <w:rPr>
                <w:rFonts w:ascii="Cambria Math" w:hAnsi="Cambria Math"/>
                <w:noProof/>
                <w:sz w:val="20"/>
                <w:szCs w:val="20"/>
              </w:rPr>
              <m:t>dd</m:t>
            </m:r>
          </m:sub>
        </m:sSub>
        <m:r>
          <m:rPr>
            <m:sty m:val="p"/>
          </m:rPr>
          <w:rPr>
            <w:rFonts w:ascii="Cambria Math" w:hAnsi="Cambria Math"/>
            <w:noProof/>
            <w:sz w:val="20"/>
            <w:szCs w:val="20"/>
          </w:rPr>
          <m:t>=</m:t>
        </m:r>
        <m:f>
          <m:fPr>
            <m:ctrlPr>
              <w:rPr>
                <w:rFonts w:ascii="Cambria Math" w:hAnsi="Cambria Math"/>
                <w:i/>
                <w:noProof/>
                <w:sz w:val="20"/>
                <w:szCs w:val="20"/>
              </w:rPr>
            </m:ctrlPr>
          </m:fPr>
          <m:num>
            <m:r>
              <m:rPr>
                <m:sty m:val="bi"/>
              </m:rPr>
              <w:rPr>
                <w:rFonts w:ascii="Cambria Math" w:hAnsi="Cambria Math"/>
                <w:noProof/>
                <w:sz w:val="20"/>
                <w:szCs w:val="20"/>
              </w:rPr>
              <m:t>D</m:t>
            </m:r>
            <m:r>
              <m:rPr>
                <m:sty m:val="p"/>
              </m:rPr>
              <w:rPr>
                <w:rFonts w:ascii="Cambria Math" w:hAnsi="Cambria Math"/>
                <w:noProof/>
                <w:sz w:val="20"/>
                <w:szCs w:val="20"/>
              </w:rPr>
              <m:t>#</m:t>
            </m:r>
            <m:r>
              <m:rPr>
                <m:sty m:val="bi"/>
              </m:rPr>
              <w:rPr>
                <w:rFonts w:ascii="Cambria Math" w:hAnsi="Cambria Math"/>
                <w:noProof/>
                <w:sz w:val="20"/>
                <w:szCs w:val="20"/>
              </w:rPr>
              <m:t>D</m:t>
            </m:r>
          </m:num>
          <m:den>
            <m:r>
              <w:rPr>
                <w:rFonts w:ascii="Cambria Math" w:hAnsi="Cambria Math"/>
                <w:noProof/>
                <w:sz w:val="20"/>
                <w:szCs w:val="20"/>
              </w:rPr>
              <m:t>tr(</m:t>
            </m:r>
            <m:r>
              <m:rPr>
                <m:sty m:val="bi"/>
              </m:rPr>
              <w:rPr>
                <w:rFonts w:ascii="Cambria Math" w:hAnsi="Cambria Math"/>
                <w:noProof/>
                <w:sz w:val="20"/>
                <w:szCs w:val="20"/>
              </w:rPr>
              <m:t>D</m:t>
            </m:r>
            <m:r>
              <m:rPr>
                <m:sty m:val="p"/>
              </m:rPr>
              <w:rPr>
                <w:rFonts w:ascii="Cambria Math" w:hAnsi="Cambria Math"/>
                <w:noProof/>
                <w:sz w:val="20"/>
                <w:szCs w:val="20"/>
              </w:rPr>
              <m:t>#</m:t>
            </m:r>
            <m:r>
              <m:rPr>
                <m:sty m:val="bi"/>
              </m:rPr>
              <w:rPr>
                <w:rFonts w:ascii="Cambria Math" w:hAnsi="Cambria Math"/>
                <w:noProof/>
                <w:sz w:val="20"/>
                <w:szCs w:val="20"/>
              </w:rPr>
              <m:t>D</m:t>
            </m:r>
            <m:r>
              <w:rPr>
                <w:rFonts w:ascii="Cambria Math" w:hAnsi="Cambria Math"/>
                <w:noProof/>
                <w:sz w:val="20"/>
                <w:szCs w:val="20"/>
              </w:rPr>
              <m:t>)/n</m:t>
            </m:r>
          </m:den>
        </m:f>
      </m:oMath>
      <w:r w:rsidRPr="003E7C8C">
        <w:rPr>
          <w:noProof/>
          <w:sz w:val="20"/>
          <w:szCs w:val="20"/>
        </w:rPr>
        <w:t xml:space="preserve">. The </w:t>
      </w:r>
      <w:r w:rsidRPr="003E7C8C">
        <w:rPr>
          <w:i/>
          <w:iCs/>
          <w:noProof/>
          <w:sz w:val="20"/>
          <w:szCs w:val="20"/>
        </w:rPr>
        <w:t>n</w:t>
      </w:r>
      <w:r w:rsidRPr="003E7C8C">
        <w:rPr>
          <w:noProof/>
          <w:sz w:val="20"/>
          <w:szCs w:val="20"/>
        </w:rPr>
        <w:t xml:space="preserve"> is the number of genotyped individuals. In the genomic-based </w:t>
      </w:r>
      <w:r w:rsidRPr="003E7C8C">
        <w:rPr>
          <w:noProof/>
          <w:sz w:val="20"/>
          <w:szCs w:val="20"/>
        </w:rPr>
        <w:lastRenderedPageBreak/>
        <w:t xml:space="preserve">relationship matrix models, additive-by-additive terms are calculated as </w:t>
      </w:r>
      <m:oMath>
        <m:r>
          <w:rPr>
            <w:rFonts w:ascii="Cambria Math" w:hAnsi="Cambria Math"/>
            <w:noProof/>
            <w:sz w:val="20"/>
            <w:szCs w:val="20"/>
          </w:rPr>
          <m:t xml:space="preserve"> </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aa</m:t>
            </m:r>
          </m:sub>
        </m:sSub>
        <m:r>
          <w:rPr>
            <w:rFonts w:ascii="Cambria Math" w:hAnsi="Cambria Math"/>
            <w:noProof/>
            <w:sz w:val="20"/>
            <w:szCs w:val="20"/>
          </w:rPr>
          <m:t>=</m:t>
        </m:r>
        <m:f>
          <m:fPr>
            <m:ctrlPr>
              <w:rPr>
                <w:rFonts w:ascii="Cambria Math" w:hAnsi="Cambria Math"/>
                <w:i/>
                <w:noProof/>
                <w:sz w:val="20"/>
                <w:szCs w:val="20"/>
              </w:rPr>
            </m:ctrlPr>
          </m:fPr>
          <m:num>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m:t>
                </m:r>
              </m:sub>
            </m:sSub>
            <m:r>
              <w:rPr>
                <w:rFonts w:ascii="Cambria Math" w:hAnsi="Cambria Math"/>
                <w:noProof/>
                <w:sz w:val="20"/>
                <w:szCs w:val="20"/>
              </w:rPr>
              <m:t>#</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m:t>
                </m:r>
              </m:sub>
            </m:sSub>
          </m:num>
          <m:den>
            <m:sSub>
              <m:sSubPr>
                <m:ctrlPr>
                  <w:rPr>
                    <w:rFonts w:ascii="Cambria Math" w:hAnsi="Cambria Math"/>
                    <w:i/>
                    <w:noProof/>
                    <w:sz w:val="20"/>
                    <w:szCs w:val="20"/>
                  </w:rPr>
                </m:ctrlPr>
              </m:sSubPr>
              <m:e>
                <m:r>
                  <w:rPr>
                    <w:rFonts w:ascii="Cambria Math" w:hAnsi="Cambria Math"/>
                    <w:noProof/>
                    <w:sz w:val="20"/>
                    <w:szCs w:val="20"/>
                  </w:rPr>
                  <m:t>tr(</m:t>
                </m:r>
                <m:r>
                  <m:rPr>
                    <m:sty m:val="bi"/>
                  </m:rPr>
                  <w:rPr>
                    <w:rFonts w:ascii="Cambria Math" w:hAnsi="Cambria Math"/>
                    <w:noProof/>
                    <w:sz w:val="20"/>
                    <w:szCs w:val="20"/>
                  </w:rPr>
                  <m:t>G</m:t>
                </m:r>
              </m:e>
              <m:sub>
                <m:r>
                  <w:rPr>
                    <w:rFonts w:ascii="Cambria Math" w:hAnsi="Cambria Math"/>
                    <w:noProof/>
                    <w:sz w:val="20"/>
                    <w:szCs w:val="20"/>
                  </w:rPr>
                  <m:t>a</m:t>
                </m:r>
              </m:sub>
            </m:sSub>
            <m:r>
              <w:rPr>
                <w:rFonts w:ascii="Cambria Math" w:hAnsi="Cambria Math"/>
                <w:noProof/>
                <w:sz w:val="20"/>
                <w:szCs w:val="20"/>
              </w:rPr>
              <m:t>#</m:t>
            </m:r>
            <m:sSub>
              <m:sSubPr>
                <m:ctrlPr>
                  <w:rPr>
                    <w:rFonts w:ascii="Cambria Math" w:hAnsi="Cambria Math"/>
                    <w:i/>
                    <w:noProof/>
                    <w:sz w:val="20"/>
                    <w:szCs w:val="20"/>
                  </w:rPr>
                </m:ctrlPr>
              </m:sSubPr>
              <m:e>
                <m:r>
                  <m:rPr>
                    <m:sty m:val="bi"/>
                  </m:rPr>
                  <w:rPr>
                    <w:rFonts w:ascii="Cambria Math" w:hAnsi="Cambria Math"/>
                    <w:noProof/>
                    <w:sz w:val="20"/>
                    <w:szCs w:val="20"/>
                  </w:rPr>
                  <m:t>G</m:t>
                </m:r>
              </m:e>
              <m:sub>
                <m:r>
                  <w:rPr>
                    <w:rFonts w:ascii="Cambria Math" w:hAnsi="Cambria Math"/>
                    <w:noProof/>
                    <w:sz w:val="20"/>
                    <w:szCs w:val="20"/>
                  </w:rPr>
                  <m:t>a)/n</m:t>
                </m:r>
              </m:sub>
            </m:sSub>
          </m:den>
        </m:f>
      </m:oMath>
      <w:r w:rsidRPr="003E7C8C">
        <w:rPr>
          <w:noProof/>
          <w:sz w:val="20"/>
          <w:szCs w:val="20"/>
        </w:rPr>
        <w:t xml:space="preserve">, additive-by-dominance terms as </w:t>
      </w:r>
      <m:oMath>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ad</m:t>
            </m:r>
          </m:sub>
        </m:sSub>
        <m:r>
          <w:rPr>
            <w:rFonts w:ascii="Cambria Math" w:hAnsi="Cambria Math"/>
            <w:noProof/>
            <w:sz w:val="20"/>
            <w:szCs w:val="20"/>
          </w:rPr>
          <m:t>=</m:t>
        </m:r>
        <m:f>
          <m:fPr>
            <m:ctrlPr>
              <w:rPr>
                <w:rFonts w:ascii="Cambria Math" w:hAnsi="Cambria Math"/>
                <w:i/>
                <w:noProof/>
                <w:sz w:val="20"/>
                <w:szCs w:val="20"/>
              </w:rPr>
            </m:ctrlPr>
          </m:fPr>
          <m:num>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m:t>
                </m:r>
              </m:sub>
            </m:sSub>
            <m:r>
              <w:rPr>
                <w:rFonts w:ascii="Cambria Math" w:hAnsi="Cambria Math"/>
                <w:noProof/>
                <w:sz w:val="20"/>
                <w:szCs w:val="20"/>
              </w:rPr>
              <m:t>#</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d</m:t>
                </m:r>
              </m:sub>
            </m:sSub>
          </m:num>
          <m:den>
            <m:r>
              <w:rPr>
                <w:rFonts w:ascii="Cambria Math" w:hAnsi="Cambria Math"/>
                <w:noProof/>
                <w:sz w:val="20"/>
                <w:szCs w:val="20"/>
              </w:rPr>
              <m:t>tr(</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a</m:t>
                </m:r>
              </m:sub>
            </m:sSub>
            <m:r>
              <w:rPr>
                <w:rFonts w:ascii="Cambria Math" w:hAnsi="Cambria Math"/>
                <w:noProof/>
                <w:sz w:val="20"/>
                <w:szCs w:val="20"/>
              </w:rPr>
              <m:t>#</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d</m:t>
                </m:r>
              </m:sub>
            </m:sSub>
            <m:r>
              <w:rPr>
                <w:rFonts w:ascii="Cambria Math" w:hAnsi="Cambria Math"/>
                <w:noProof/>
                <w:sz w:val="20"/>
                <w:szCs w:val="20"/>
              </w:rPr>
              <m:t>)/n</m:t>
            </m:r>
          </m:den>
        </m:f>
      </m:oMath>
      <w:r w:rsidRPr="003E7C8C">
        <w:rPr>
          <w:noProof/>
          <w:sz w:val="20"/>
          <w:szCs w:val="20"/>
        </w:rPr>
        <w:t xml:space="preserve">, and dominance-by-dominance terms as </w:t>
      </w:r>
      <m:oMath>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dd</m:t>
            </m:r>
          </m:sub>
        </m:sSub>
        <m:r>
          <w:rPr>
            <w:rFonts w:ascii="Cambria Math" w:hAnsi="Cambria Math"/>
            <w:noProof/>
            <w:sz w:val="20"/>
            <w:szCs w:val="20"/>
          </w:rPr>
          <m:t>=</m:t>
        </m:r>
        <m:f>
          <m:fPr>
            <m:ctrlPr>
              <w:rPr>
                <w:rFonts w:ascii="Cambria Math" w:hAnsi="Cambria Math"/>
                <w:i/>
                <w:noProof/>
                <w:sz w:val="20"/>
                <w:szCs w:val="20"/>
              </w:rPr>
            </m:ctrlPr>
          </m:fPr>
          <m:num>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d</m:t>
                </m:r>
              </m:sub>
            </m:sSub>
            <m:r>
              <w:rPr>
                <w:rFonts w:ascii="Cambria Math" w:hAnsi="Cambria Math"/>
                <w:noProof/>
                <w:sz w:val="20"/>
                <w:szCs w:val="20"/>
              </w:rPr>
              <m:t>#</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d</m:t>
                </m:r>
              </m:sub>
            </m:sSub>
          </m:num>
          <m:den>
            <m:r>
              <w:rPr>
                <w:rFonts w:ascii="Cambria Math" w:hAnsi="Cambria Math"/>
                <w:noProof/>
                <w:sz w:val="20"/>
                <w:szCs w:val="20"/>
              </w:rPr>
              <m:t>tr(</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d</m:t>
                </m:r>
              </m:sub>
            </m:sSub>
            <m:r>
              <w:rPr>
                <w:rFonts w:ascii="Cambria Math" w:hAnsi="Cambria Math"/>
                <w:noProof/>
                <w:sz w:val="20"/>
                <w:szCs w:val="20"/>
              </w:rPr>
              <m:t>#</m:t>
            </m:r>
            <m:sSub>
              <m:sSubPr>
                <m:ctrlPr>
                  <w:rPr>
                    <w:rFonts w:ascii="Cambria Math" w:hAnsi="Cambria Math"/>
                    <w:b/>
                    <w:bCs/>
                    <w:i/>
                    <w:noProof/>
                    <w:sz w:val="20"/>
                    <w:szCs w:val="20"/>
                  </w:rPr>
                </m:ctrlPr>
              </m:sSubPr>
              <m:e>
                <m:r>
                  <m:rPr>
                    <m:sty m:val="bi"/>
                  </m:rPr>
                  <w:rPr>
                    <w:rFonts w:ascii="Cambria Math" w:hAnsi="Cambria Math"/>
                    <w:noProof/>
                    <w:sz w:val="20"/>
                    <w:szCs w:val="20"/>
                  </w:rPr>
                  <m:t>G</m:t>
                </m:r>
              </m:e>
              <m:sub>
                <m:r>
                  <m:rPr>
                    <m:sty m:val="bi"/>
                  </m:rPr>
                  <w:rPr>
                    <w:rFonts w:ascii="Cambria Math" w:hAnsi="Cambria Math"/>
                    <w:noProof/>
                    <w:sz w:val="20"/>
                    <w:szCs w:val="20"/>
                  </w:rPr>
                  <m:t>d</m:t>
                </m:r>
              </m:sub>
            </m:sSub>
            <m:r>
              <w:rPr>
                <w:rFonts w:ascii="Cambria Math" w:hAnsi="Cambria Math"/>
                <w:noProof/>
                <w:sz w:val="20"/>
                <w:szCs w:val="20"/>
              </w:rPr>
              <m:t>)/n</m:t>
            </m:r>
          </m:den>
        </m:f>
      </m:oMath>
      <w:r w:rsidRPr="003E7C8C">
        <w:rPr>
          <w:noProof/>
          <w:sz w:val="20"/>
          <w:szCs w:val="20"/>
        </w:rPr>
        <w:t>.</w:t>
      </w:r>
    </w:p>
    <w:p w14:paraId="62533DDF" w14:textId="77777777" w:rsidR="001A2CDB" w:rsidRPr="003E7C8C" w:rsidRDefault="001A2CDB" w:rsidP="006B4CCB">
      <w:pPr>
        <w:spacing w:line="480" w:lineRule="auto"/>
        <w:jc w:val="both"/>
        <w:rPr>
          <w:noProof/>
          <w:sz w:val="20"/>
          <w:szCs w:val="20"/>
        </w:rPr>
      </w:pPr>
    </w:p>
    <w:p w14:paraId="2AA20BF4" w14:textId="5B51E020" w:rsidR="00444831" w:rsidRDefault="001A2CDB" w:rsidP="006B4CCB">
      <w:pPr>
        <w:spacing w:line="480" w:lineRule="auto"/>
        <w:jc w:val="both"/>
        <w:rPr>
          <w:b/>
          <w:bCs/>
          <w:i/>
          <w:iCs/>
          <w:sz w:val="20"/>
          <w:szCs w:val="20"/>
        </w:rPr>
      </w:pPr>
      <w:r>
        <w:rPr>
          <w:b/>
          <w:bCs/>
          <w:i/>
          <w:iCs/>
          <w:sz w:val="20"/>
          <w:szCs w:val="20"/>
        </w:rPr>
        <w:t>Supplementary methods S3:</w:t>
      </w:r>
    </w:p>
    <w:p w14:paraId="6F100D54" w14:textId="77777777" w:rsidR="001A2CDB" w:rsidRDefault="001A2CDB" w:rsidP="006B4CCB">
      <w:pPr>
        <w:spacing w:line="480" w:lineRule="auto"/>
        <w:jc w:val="both"/>
        <w:rPr>
          <w:b/>
          <w:bCs/>
          <w:i/>
          <w:iCs/>
          <w:sz w:val="20"/>
          <w:szCs w:val="20"/>
        </w:rPr>
      </w:pPr>
    </w:p>
    <w:p w14:paraId="47681708" w14:textId="77777777" w:rsidR="001A2CDB" w:rsidRPr="003E7C8C" w:rsidRDefault="001A2CDB" w:rsidP="006B4CCB">
      <w:pPr>
        <w:spacing w:line="480" w:lineRule="auto"/>
        <w:jc w:val="both"/>
        <w:rPr>
          <w:sz w:val="20"/>
          <w:szCs w:val="20"/>
        </w:rPr>
      </w:pPr>
      <w:r w:rsidRPr="003E7C8C">
        <w:rPr>
          <w:b/>
          <w:sz w:val="20"/>
          <w:szCs w:val="20"/>
        </w:rPr>
        <w:t>Proportion of variance component to phenotypic variance</w:t>
      </w:r>
    </w:p>
    <w:p w14:paraId="22424432" w14:textId="39771492" w:rsidR="00444831" w:rsidRPr="006B4CCB" w:rsidRDefault="001A2CDB" w:rsidP="006B4CCB">
      <w:pPr>
        <w:spacing w:line="480" w:lineRule="auto"/>
        <w:jc w:val="both"/>
        <w:rPr>
          <w:sz w:val="20"/>
          <w:szCs w:val="20"/>
        </w:rPr>
      </w:pPr>
      <w:r w:rsidRPr="003E7C8C">
        <w:rPr>
          <w:sz w:val="20"/>
          <w:szCs w:val="20"/>
        </w:rPr>
        <w:t xml:space="preserve">The narrow-sense heritability can be estimated as </w:t>
      </w:r>
      <m:oMath>
        <m:sSubSup>
          <m:sSubSupPr>
            <m:ctrlPr>
              <w:rPr>
                <w:rFonts w:ascii="Cambria Math" w:hAnsi="Cambria Math"/>
                <w:i/>
                <w:sz w:val="20"/>
                <w:szCs w:val="20"/>
              </w:rPr>
            </m:ctrlPr>
          </m:sSubSupPr>
          <m:e>
            <m:r>
              <w:rPr>
                <w:rFonts w:ascii="Cambria Math" w:hAnsi="Cambria Math"/>
                <w:sz w:val="20"/>
                <w:szCs w:val="20"/>
              </w:rPr>
              <m:t>h</m:t>
            </m:r>
          </m:e>
          <m:sub>
            <m:r>
              <w:rPr>
                <w:rFonts w:ascii="Cambria Math" w:hAnsi="Cambria Math"/>
                <w:sz w:val="20"/>
                <w:szCs w:val="20"/>
              </w:rPr>
              <m:t>i</m:t>
            </m:r>
          </m:sub>
          <m:sup>
            <m:r>
              <w:rPr>
                <w:rFonts w:ascii="Cambria Math" w:hAnsi="Cambria Math"/>
                <w:sz w:val="20"/>
                <w:szCs w:val="20"/>
              </w:rPr>
              <m:t>2</m:t>
            </m:r>
          </m:sup>
        </m:sSubSup>
        <m:r>
          <m:rPr>
            <m:sty m:val="p"/>
          </m:rPr>
          <w:rPr>
            <w:rFonts w:ascii="Cambria Math" w:hAnsi="Cambria Math"/>
            <w:sz w:val="20"/>
            <w:szCs w:val="20"/>
          </w:rPr>
          <m:t xml:space="preserve"> </m:t>
        </m:r>
        <m:r>
          <w:rPr>
            <w:rFonts w:ascii="Cambria Math" w:hAnsi="Cambria Math"/>
            <w:sz w:val="20"/>
            <w:szCs w:val="20"/>
          </w:rPr>
          <m:t>=</m:t>
        </m:r>
        <m:f>
          <m:fPr>
            <m:type m:val="lin"/>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p</m:t>
                </m:r>
              </m:sub>
              <m:sup>
                <m:r>
                  <w:rPr>
                    <w:rFonts w:ascii="Cambria Math" w:hAnsi="Cambria Math"/>
                    <w:sz w:val="20"/>
                    <w:szCs w:val="20"/>
                  </w:rPr>
                  <m:t>2</m:t>
                </m:r>
              </m:sup>
            </m:sSubSup>
          </m:den>
        </m:f>
      </m:oMath>
      <w:r w:rsidRPr="003E7C8C">
        <w:rPr>
          <w:sz w:val="20"/>
          <w:szCs w:val="20"/>
        </w:rPr>
        <w:t xml:space="preserve">, using the models constructed above,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p</m:t>
            </m:r>
          </m:sub>
          <m:sup>
            <m:r>
              <w:rPr>
                <w:rFonts w:ascii="Cambria Math" w:hAnsi="Cambria Math"/>
                <w:sz w:val="20"/>
                <w:szCs w:val="20"/>
              </w:rPr>
              <m:t>2</m:t>
            </m:r>
          </m:sup>
        </m:sSubSup>
      </m:oMath>
      <w:r w:rsidRPr="003E7C8C">
        <w:rPr>
          <w:sz w:val="20"/>
          <w:szCs w:val="20"/>
        </w:rPr>
        <w:t xml:space="preserve"> is the total phenotypic variance (e.g. in equation </w:t>
      </w:r>
      <w:r w:rsidR="003B42E5">
        <w:rPr>
          <w:sz w:val="20"/>
          <w:szCs w:val="20"/>
        </w:rPr>
        <w:t>(</w:t>
      </w:r>
      <w:r w:rsidRPr="003E7C8C">
        <w:rPr>
          <w:sz w:val="20"/>
          <w:szCs w:val="20"/>
        </w:rPr>
        <w:t>3</w:t>
      </w:r>
      <w:r w:rsidR="003B42E5">
        <w:rPr>
          <w:sz w:val="20"/>
          <w:szCs w:val="20"/>
        </w:rPr>
        <w:t>)</w:t>
      </w:r>
      <w:r w:rsidRPr="003E7C8C">
        <w:rPr>
          <w:sz w:val="20"/>
          <w:szCs w:val="20"/>
        </w:rPr>
        <w:t xml:space="preserve"> and within a multi-site model, </w:t>
      </w:r>
      <m:oMath>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p</m:t>
                </m:r>
              </m:sub>
              <m:sup>
                <m:r>
                  <w:rPr>
                    <w:rFonts w:ascii="Cambria Math" w:hAnsi="Cambria Math"/>
                    <w:sz w:val="20"/>
                    <w:szCs w:val="20"/>
                  </w:rPr>
                  <m:t>2</m:t>
                </m:r>
              </m:sup>
            </m:sSubSup>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as</m:t>
                </m:r>
              </m:sub>
              <m:sup>
                <m:r>
                  <w:rPr>
                    <w:rFonts w:ascii="Cambria Math" w:hAnsi="Cambria Math"/>
                    <w:sz w:val="20"/>
                    <w:szCs w:val="20"/>
                  </w:rPr>
                  <m:t>2</m:t>
                </m:r>
              </m:sup>
            </m:sSubSup>
            <m:r>
              <w:rPr>
                <w:rFonts w:ascii="Cambria Math" w:hAnsi="Cambria Math"/>
                <w:sz w:val="20"/>
                <w:szCs w:val="20"/>
              </w:rPr>
              <m:t>+σ</m:t>
            </m:r>
          </m:e>
          <m:sub>
            <m:r>
              <w:rPr>
                <w:rFonts w:ascii="Cambria Math" w:hAnsi="Cambria Math"/>
                <w:sz w:val="20"/>
                <w:szCs w:val="20"/>
              </w:rPr>
              <m:t>d</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ds</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rs</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e</m:t>
            </m:r>
          </m:sub>
          <m:sup>
            <m:r>
              <w:rPr>
                <w:rFonts w:ascii="Cambria Math" w:hAnsi="Cambria Math"/>
                <w:sz w:val="20"/>
                <w:szCs w:val="20"/>
              </w:rPr>
              <m:t>2</m:t>
            </m:r>
          </m:sup>
        </m:sSubSup>
      </m:oMath>
      <w:r w:rsidRPr="003E7C8C">
        <w:rPr>
          <w:sz w:val="20"/>
          <w:szCs w:val="20"/>
        </w:rPr>
        <w:t xml:space="preserve">). Similarly, the dominance variance to the total phenotypic variance ratio was calculated as </w:t>
      </w:r>
      <m:oMath>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r>
          <w:rPr>
            <w:rFonts w:ascii="Cambria Math" w:hAnsi="Cambria Math"/>
            <w:sz w:val="20"/>
            <w:szCs w:val="20"/>
          </w:rPr>
          <m:t>=</m:t>
        </m:r>
        <m:f>
          <m:fPr>
            <m:type m:val="lin"/>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m:t>
                </m:r>
              </m:sub>
              <m:sup>
                <m:r>
                  <w:rPr>
                    <w:rFonts w:ascii="Cambria Math" w:hAnsi="Cambria Math"/>
                    <w:sz w:val="20"/>
                    <w:szCs w:val="20"/>
                  </w:rPr>
                  <m:t>2</m:t>
                </m:r>
              </m:sup>
            </m:sSubSup>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p</m:t>
                </m:r>
              </m:sub>
              <m:sup>
                <m:r>
                  <w:rPr>
                    <w:rFonts w:ascii="Cambria Math" w:hAnsi="Cambria Math"/>
                    <w:sz w:val="20"/>
                    <w:szCs w:val="20"/>
                  </w:rPr>
                  <m:t>2</m:t>
                </m:r>
              </m:sup>
            </m:sSubSup>
          </m:den>
        </m:f>
      </m:oMath>
      <w:r w:rsidRPr="003E7C8C">
        <w:rPr>
          <w:sz w:val="20"/>
          <w:szCs w:val="20"/>
        </w:rPr>
        <w:t xml:space="preserve">, the first-order epistatic variance to the total phenotypic variance ratio was calculated as </w:t>
      </w:r>
      <m:oMath>
        <m:sSup>
          <m:sSupPr>
            <m:ctrlPr>
              <w:rPr>
                <w:rFonts w:ascii="Cambria Math" w:hAnsi="Cambria Math"/>
                <w:i/>
                <w:sz w:val="20"/>
                <w:szCs w:val="20"/>
              </w:rPr>
            </m:ctrlPr>
          </m:sSupPr>
          <m:e>
            <m:r>
              <w:rPr>
                <w:rFonts w:ascii="Cambria Math" w:hAnsi="Cambria Math"/>
                <w:sz w:val="20"/>
                <w:szCs w:val="20"/>
              </w:rPr>
              <m:t>i</m:t>
            </m:r>
          </m:e>
          <m:sup>
            <m:r>
              <w:rPr>
                <w:rFonts w:ascii="Cambria Math" w:hAnsi="Cambria Math"/>
                <w:sz w:val="20"/>
                <w:szCs w:val="20"/>
              </w:rPr>
              <m:t>2</m:t>
            </m:r>
          </m:sup>
        </m:sSup>
        <m:r>
          <w:rPr>
            <w:rFonts w:ascii="Cambria Math" w:hAnsi="Cambria Math"/>
            <w:sz w:val="20"/>
            <w:szCs w:val="20"/>
          </w:rPr>
          <m:t>=</m:t>
        </m:r>
        <m:f>
          <m:fPr>
            <m:type m:val="lin"/>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xx</m:t>
                </m:r>
              </m:sub>
              <m:sup>
                <m:r>
                  <w:rPr>
                    <w:rFonts w:ascii="Cambria Math" w:hAnsi="Cambria Math"/>
                    <w:sz w:val="20"/>
                    <w:szCs w:val="20"/>
                  </w:rPr>
                  <m:t>2</m:t>
                </m:r>
              </m:sup>
            </m:sSubSup>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p</m:t>
                </m:r>
              </m:sub>
              <m:sup>
                <m:r>
                  <w:rPr>
                    <w:rFonts w:ascii="Cambria Math" w:hAnsi="Cambria Math"/>
                    <w:sz w:val="20"/>
                    <w:szCs w:val="20"/>
                  </w:rPr>
                  <m:t>2</m:t>
                </m:r>
              </m:sup>
            </m:sSubSup>
          </m:den>
        </m:f>
      </m:oMath>
      <w:r w:rsidRPr="003E7C8C">
        <w:rPr>
          <w:sz w:val="20"/>
          <w:szCs w:val="20"/>
        </w:rPr>
        <w:t xml:space="preserve">, the residual genotypic variance to the total phenotypic variance ratio was calculated as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r>
          <w:rPr>
            <w:rFonts w:ascii="Cambria Math" w:hAnsi="Cambria Math"/>
            <w:sz w:val="20"/>
            <w:szCs w:val="20"/>
          </w:rPr>
          <m:t>=</m:t>
        </m:r>
        <m:f>
          <m:fPr>
            <m:type m:val="lin"/>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m:t>
                </m:r>
              </m:sub>
              <m:sup>
                <m:r>
                  <w:rPr>
                    <w:rFonts w:ascii="Cambria Math" w:hAnsi="Cambria Math"/>
                    <w:sz w:val="20"/>
                    <w:szCs w:val="20"/>
                  </w:rPr>
                  <m:t>2</m:t>
                </m:r>
              </m:sup>
            </m:sSubSup>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p</m:t>
                </m:r>
              </m:sub>
              <m:sup>
                <m:r>
                  <w:rPr>
                    <w:rFonts w:ascii="Cambria Math" w:hAnsi="Cambria Math"/>
                    <w:sz w:val="20"/>
                    <w:szCs w:val="20"/>
                  </w:rPr>
                  <m:t>2</m:t>
                </m:r>
              </m:sup>
            </m:sSubSup>
          </m:den>
        </m:f>
      </m:oMath>
      <w:r w:rsidRPr="003E7C8C">
        <w:rPr>
          <w:sz w:val="20"/>
          <w:szCs w:val="20"/>
        </w:rPr>
        <w:t xml:space="preserve">, and the broad-sense heritability was estimated as </w:t>
      </w:r>
      <m:oMath>
        <m:sSubSup>
          <m:sSubSupPr>
            <m:ctrlPr>
              <w:rPr>
                <w:rFonts w:ascii="Cambria Math" w:hAnsi="Cambria Math"/>
                <w:i/>
                <w:sz w:val="20"/>
                <w:szCs w:val="20"/>
              </w:rPr>
            </m:ctrlPr>
          </m:sSubSupPr>
          <m:e>
            <m:r>
              <w:rPr>
                <w:rFonts w:ascii="Cambria Math" w:hAnsi="Cambria Math"/>
                <w:sz w:val="20"/>
                <w:szCs w:val="20"/>
              </w:rPr>
              <m:t>H</m:t>
            </m:r>
          </m:e>
          <m:sub>
            <m:r>
              <w:rPr>
                <w:rFonts w:ascii="Cambria Math" w:hAnsi="Cambria Math"/>
                <w:sz w:val="20"/>
                <w:szCs w:val="20"/>
              </w:rPr>
              <m:t>i</m:t>
            </m:r>
          </m:sub>
          <m:sup>
            <m:r>
              <w:rPr>
                <w:rFonts w:ascii="Cambria Math" w:hAnsi="Cambria Math"/>
                <w:sz w:val="20"/>
                <w:szCs w:val="20"/>
              </w:rPr>
              <m:t>2</m:t>
            </m:r>
          </m:sup>
        </m:sSubSup>
        <m:r>
          <w:rPr>
            <w:rFonts w:ascii="Cambria Math" w:hAnsi="Cambria Math"/>
            <w:sz w:val="20"/>
            <w:szCs w:val="20"/>
          </w:rPr>
          <m:t>=</m:t>
        </m:r>
        <m:f>
          <m:fPr>
            <m:type m:val="lin"/>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g</m:t>
                </m:r>
              </m:sub>
              <m:sup>
                <m:r>
                  <w:rPr>
                    <w:rFonts w:ascii="Cambria Math" w:hAnsi="Cambria Math"/>
                    <w:sz w:val="20"/>
                    <w:szCs w:val="20"/>
                  </w:rPr>
                  <m:t>2</m:t>
                </m:r>
              </m:sup>
            </m:sSubSup>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p</m:t>
                </m:r>
              </m:sub>
              <m:sup>
                <m:r>
                  <w:rPr>
                    <w:rFonts w:ascii="Cambria Math" w:hAnsi="Cambria Math"/>
                    <w:sz w:val="20"/>
                    <w:szCs w:val="20"/>
                  </w:rPr>
                  <m:t>2</m:t>
                </m:r>
              </m:sup>
            </m:sSubSup>
          </m:den>
        </m:f>
      </m:oMath>
      <w:r w:rsidRPr="003E7C8C">
        <w:rPr>
          <w:sz w:val="20"/>
          <w:szCs w:val="20"/>
        </w:rPr>
        <w:t xml:space="preserve">, where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g</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m:t>
            </m:r>
          </m:sub>
          <m:sup>
            <m:r>
              <w:rPr>
                <w:rFonts w:ascii="Cambria Math" w:hAnsi="Cambria Math"/>
                <w:sz w:val="20"/>
                <w:szCs w:val="20"/>
              </w:rPr>
              <m:t>2</m:t>
            </m:r>
          </m:sup>
        </m:sSubSup>
      </m:oMath>
      <w:r w:rsidRPr="003E7C8C">
        <w:rPr>
          <w:sz w:val="20"/>
          <w:szCs w:val="20"/>
        </w:rPr>
        <w:t xml:space="preserve"> is based on equation </w:t>
      </w:r>
      <w:r w:rsidR="003B42E5">
        <w:rPr>
          <w:sz w:val="20"/>
          <w:szCs w:val="20"/>
        </w:rPr>
        <w:t>(</w:t>
      </w:r>
      <w:r w:rsidRPr="003E7C8C">
        <w:rPr>
          <w:sz w:val="20"/>
          <w:szCs w:val="20"/>
        </w:rPr>
        <w:t>2</w:t>
      </w:r>
      <w:r w:rsidR="003B42E5">
        <w:rPr>
          <w:sz w:val="20"/>
          <w:szCs w:val="20"/>
        </w:rPr>
        <w:t>)</w:t>
      </w:r>
      <w:r w:rsidRPr="003E7C8C">
        <w:rPr>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g</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m:t>
            </m:r>
          </m:sub>
          <m:sup>
            <m:r>
              <w:rPr>
                <w:rFonts w:ascii="Cambria Math" w:hAnsi="Cambria Math"/>
                <w:sz w:val="20"/>
                <w:szCs w:val="20"/>
              </w:rPr>
              <m:t>2</m:t>
            </m:r>
          </m:sup>
        </m:sSubSup>
      </m:oMath>
      <w:r w:rsidRPr="003E7C8C">
        <w:rPr>
          <w:sz w:val="20"/>
          <w:szCs w:val="20"/>
        </w:rPr>
        <w:t xml:space="preserve"> is based on equation </w:t>
      </w:r>
      <w:r w:rsidR="003B42E5">
        <w:rPr>
          <w:sz w:val="20"/>
          <w:szCs w:val="20"/>
        </w:rPr>
        <w:t>(</w:t>
      </w:r>
      <w:r w:rsidRPr="003E7C8C">
        <w:rPr>
          <w:sz w:val="20"/>
          <w:szCs w:val="20"/>
        </w:rPr>
        <w:t>3</w:t>
      </w:r>
      <w:r w:rsidR="003B42E5">
        <w:rPr>
          <w:sz w:val="20"/>
          <w:szCs w:val="20"/>
        </w:rPr>
        <w:t>)</w:t>
      </w:r>
      <w:r w:rsidRPr="003E7C8C">
        <w:rPr>
          <w:sz w:val="20"/>
          <w:szCs w:val="20"/>
        </w:rPr>
        <w:t xml:space="preserve">, and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g</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xx</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m:t>
            </m:r>
          </m:sub>
          <m:sup>
            <m:r>
              <w:rPr>
                <w:rFonts w:ascii="Cambria Math" w:hAnsi="Cambria Math"/>
                <w:sz w:val="20"/>
                <w:szCs w:val="20"/>
              </w:rPr>
              <m:t>2</m:t>
            </m:r>
          </m:sup>
        </m:sSubSup>
      </m:oMath>
      <w:r w:rsidRPr="003E7C8C">
        <w:rPr>
          <w:sz w:val="20"/>
          <w:szCs w:val="20"/>
        </w:rPr>
        <w:t xml:space="preserve"> is based on equation </w:t>
      </w:r>
      <w:r w:rsidR="003B42E5">
        <w:rPr>
          <w:sz w:val="20"/>
          <w:szCs w:val="20"/>
        </w:rPr>
        <w:t>(</w:t>
      </w:r>
      <w:r w:rsidRPr="003E7C8C">
        <w:rPr>
          <w:sz w:val="20"/>
          <w:szCs w:val="20"/>
        </w:rPr>
        <w:t>4</w:t>
      </w:r>
      <w:r w:rsidR="003B42E5">
        <w:rPr>
          <w:sz w:val="20"/>
          <w:szCs w:val="20"/>
        </w:rPr>
        <w:t>)</w:t>
      </w:r>
      <w:r w:rsidRPr="003E7C8C">
        <w:rPr>
          <w:sz w:val="20"/>
          <w:szCs w:val="20"/>
        </w:rPr>
        <w:t xml:space="preserve">. Clone mean narrow-sense heritability was estimated as  </w:t>
      </w:r>
      <m:oMath>
        <m:sSubSup>
          <m:sSubSupPr>
            <m:ctrlPr>
              <w:rPr>
                <w:rFonts w:ascii="Cambria Math" w:hAnsi="Cambria Math"/>
                <w:i/>
                <w:sz w:val="20"/>
                <w:szCs w:val="20"/>
              </w:rPr>
            </m:ctrlPr>
          </m:sSubSupPr>
          <m:e>
            <m:r>
              <w:rPr>
                <w:rFonts w:ascii="Cambria Math" w:hAnsi="Cambria Math"/>
                <w:sz w:val="20"/>
                <w:szCs w:val="20"/>
              </w:rPr>
              <m:t>h</m:t>
            </m:r>
          </m:e>
          <m:sub>
            <m:r>
              <w:rPr>
                <w:rFonts w:ascii="Cambria Math" w:hAnsi="Cambria Math"/>
                <w:sz w:val="20"/>
                <w:szCs w:val="20"/>
              </w:rPr>
              <m:t>c</m:t>
            </m:r>
          </m:sub>
          <m:sup>
            <m:r>
              <w:rPr>
                <w:rFonts w:ascii="Cambria Math" w:hAnsi="Cambria Math"/>
                <w:sz w:val="20"/>
                <w:szCs w:val="20"/>
              </w:rPr>
              <m:t>2</m:t>
            </m:r>
          </m:sup>
        </m:sSubSup>
        <m:r>
          <m:rPr>
            <m:sty m:val="p"/>
          </m:rPr>
          <w:rPr>
            <w:rFonts w:ascii="Cambria Math" w:hAnsi="Cambria Math"/>
            <w:sz w:val="20"/>
            <w:szCs w:val="20"/>
          </w:rPr>
          <m:t xml:space="preserve"> </m:t>
        </m:r>
        <m:r>
          <w:rPr>
            <w:rFonts w:ascii="Cambria Math" w:hAnsi="Cambria Math"/>
            <w:sz w:val="20"/>
            <w:szCs w:val="20"/>
          </w:rPr>
          <m:t>=</m:t>
        </m:r>
        <m:f>
          <m:fPr>
            <m:type m:val="lin"/>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num>
          <m:den>
            <m:sSubSup>
              <m:sSubSupPr>
                <m:ctrlPr>
                  <w:rPr>
                    <w:rFonts w:ascii="Cambria Math" w:hAnsi="Cambria Math"/>
                    <w:i/>
                    <w:sz w:val="20"/>
                    <w:szCs w:val="20"/>
                  </w:rPr>
                </m:ctrlPr>
              </m:sSubSupPr>
              <m:e>
                <m:r>
                  <w:rPr>
                    <w:rFonts w:ascii="Cambria Math" w:hAnsi="Cambria Math"/>
                    <w:sz w:val="20"/>
                    <w:szCs w:val="20"/>
                  </w:rPr>
                  <m:t>σ</m:t>
                </m:r>
              </m:e>
              <m:sub>
                <m:acc>
                  <m:accPr>
                    <m:chr m:val="̅"/>
                    <m:ctrlPr>
                      <w:rPr>
                        <w:rFonts w:ascii="Cambria Math" w:hAnsi="Cambria Math"/>
                        <w:i/>
                        <w:sz w:val="20"/>
                        <w:szCs w:val="20"/>
                      </w:rPr>
                    </m:ctrlPr>
                  </m:accPr>
                  <m:e>
                    <m:r>
                      <w:rPr>
                        <w:rFonts w:ascii="Cambria Math" w:hAnsi="Cambria Math"/>
                        <w:sz w:val="20"/>
                        <w:szCs w:val="20"/>
                      </w:rPr>
                      <m:t>p</m:t>
                    </m:r>
                  </m:e>
                </m:acc>
              </m:sub>
              <m:sup>
                <m:r>
                  <w:rPr>
                    <w:rFonts w:ascii="Cambria Math" w:hAnsi="Cambria Math"/>
                    <w:sz w:val="20"/>
                    <w:szCs w:val="20"/>
                  </w:rPr>
                  <m:t>2</m:t>
                </m:r>
              </m:sup>
            </m:sSubSup>
          </m:den>
        </m:f>
      </m:oMath>
      <w:r w:rsidRPr="003E7C8C">
        <w:rPr>
          <w:sz w:val="20"/>
          <w:szCs w:val="20"/>
        </w:rPr>
        <w:t xml:space="preserve">, where </w:t>
      </w:r>
      <m:oMath>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acc>
                  <m:accPr>
                    <m:chr m:val="̅"/>
                    <m:ctrlPr>
                      <w:rPr>
                        <w:rFonts w:ascii="Cambria Math" w:hAnsi="Cambria Math"/>
                        <w:i/>
                        <w:sz w:val="20"/>
                        <w:szCs w:val="20"/>
                      </w:rPr>
                    </m:ctrlPr>
                  </m:accPr>
                  <m:e>
                    <m:r>
                      <w:rPr>
                        <w:rFonts w:ascii="Cambria Math" w:hAnsi="Cambria Math"/>
                        <w:sz w:val="20"/>
                        <w:szCs w:val="20"/>
                      </w:rPr>
                      <m:t>p</m:t>
                    </m:r>
                  </m:e>
                </m:acc>
              </m:sub>
              <m:sup>
                <m:r>
                  <w:rPr>
                    <w:rFonts w:ascii="Cambria Math" w:hAnsi="Cambria Math"/>
                    <w:sz w:val="20"/>
                    <w:szCs w:val="20"/>
                  </w:rPr>
                  <m:t>2</m:t>
                </m:r>
              </m:sup>
            </m:sSubSup>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r>
          <w:rPr>
            <w:rFonts w:ascii="Cambria Math" w:hAnsi="Cambria Math"/>
            <w:sz w:val="20"/>
            <w:szCs w:val="20"/>
          </w:rPr>
          <m:t>+</m:t>
        </m:r>
        <m:f>
          <m:fPr>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as</m:t>
                </m:r>
              </m:sub>
              <m:sup>
                <m:r>
                  <w:rPr>
                    <w:rFonts w:ascii="Cambria Math" w:hAnsi="Cambria Math"/>
                    <w:sz w:val="20"/>
                    <w:szCs w:val="20"/>
                  </w:rPr>
                  <m:t>2</m:t>
                </m:r>
              </m:sup>
            </m:sSubSup>
          </m:num>
          <m:den>
            <m:r>
              <w:rPr>
                <w:rFonts w:ascii="Cambria Math" w:hAnsi="Cambria Math"/>
                <w:sz w:val="20"/>
                <w:szCs w:val="20"/>
              </w:rPr>
              <m:t>s</m:t>
            </m:r>
          </m:den>
        </m:f>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m:t>
            </m:r>
          </m:sub>
          <m:sup>
            <m:r>
              <w:rPr>
                <w:rFonts w:ascii="Cambria Math" w:hAnsi="Cambria Math"/>
                <w:sz w:val="20"/>
                <w:szCs w:val="20"/>
              </w:rPr>
              <m:t>2</m:t>
            </m:r>
          </m:sup>
        </m:sSubSup>
        <m:r>
          <w:rPr>
            <w:rFonts w:ascii="Cambria Math" w:hAnsi="Cambria Math"/>
            <w:sz w:val="20"/>
            <w:szCs w:val="20"/>
          </w:rPr>
          <m:t>+</m:t>
        </m:r>
        <m:f>
          <m:fPr>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ds</m:t>
                </m:r>
              </m:sub>
              <m:sup>
                <m:r>
                  <w:rPr>
                    <w:rFonts w:ascii="Cambria Math" w:hAnsi="Cambria Math"/>
                    <w:sz w:val="20"/>
                    <w:szCs w:val="20"/>
                  </w:rPr>
                  <m:t>2</m:t>
                </m:r>
              </m:sup>
            </m:sSubSup>
          </m:num>
          <m:den>
            <m:r>
              <w:rPr>
                <w:rFonts w:ascii="Cambria Math" w:hAnsi="Cambria Math"/>
                <w:sz w:val="20"/>
                <w:szCs w:val="20"/>
              </w:rPr>
              <m:t>s</m:t>
            </m:r>
          </m:den>
        </m:f>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m:t>
            </m:r>
          </m:sub>
          <m:sup>
            <m:r>
              <w:rPr>
                <w:rFonts w:ascii="Cambria Math" w:hAnsi="Cambria Math"/>
                <w:sz w:val="20"/>
                <w:szCs w:val="20"/>
              </w:rPr>
              <m:t>2</m:t>
            </m:r>
          </m:sup>
        </m:sSubSup>
        <m:r>
          <w:rPr>
            <w:rFonts w:ascii="Cambria Math" w:hAnsi="Cambria Math"/>
            <w:sz w:val="20"/>
            <w:szCs w:val="20"/>
          </w:rPr>
          <m:t>+</m:t>
        </m:r>
        <m:f>
          <m:fPr>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rs</m:t>
                </m:r>
              </m:sub>
              <m:sup>
                <m:r>
                  <w:rPr>
                    <w:rFonts w:ascii="Cambria Math" w:hAnsi="Cambria Math"/>
                    <w:sz w:val="20"/>
                    <w:szCs w:val="20"/>
                  </w:rPr>
                  <m:t>2</m:t>
                </m:r>
              </m:sup>
            </m:sSubSup>
          </m:num>
          <m:den>
            <m:r>
              <w:rPr>
                <w:rFonts w:ascii="Cambria Math" w:hAnsi="Cambria Math"/>
                <w:sz w:val="20"/>
                <w:szCs w:val="20"/>
              </w:rPr>
              <m:t>s</m:t>
            </m:r>
          </m:den>
        </m:f>
        <m:r>
          <w:rPr>
            <w:rFonts w:ascii="Cambria Math" w:hAnsi="Cambria Math"/>
            <w:sz w:val="20"/>
            <w:szCs w:val="20"/>
          </w:rPr>
          <m:t>+</m:t>
        </m:r>
        <m:f>
          <m:fPr>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e</m:t>
                </m:r>
              </m:sub>
              <m:sup>
                <m:r>
                  <w:rPr>
                    <w:rFonts w:ascii="Cambria Math" w:hAnsi="Cambria Math"/>
                    <w:sz w:val="20"/>
                    <w:szCs w:val="20"/>
                  </w:rPr>
                  <m:t>2</m:t>
                </m:r>
              </m:sup>
            </m:sSubSup>
          </m:num>
          <m:den>
            <m:r>
              <w:rPr>
                <w:rFonts w:ascii="Cambria Math" w:hAnsi="Cambria Math"/>
                <w:sz w:val="20"/>
                <w:szCs w:val="20"/>
              </w:rPr>
              <m:t>n</m:t>
            </m:r>
          </m:den>
        </m:f>
      </m:oMath>
      <w:r w:rsidRPr="003E7C8C">
        <w:rPr>
          <w:sz w:val="20"/>
          <w:szCs w:val="20"/>
        </w:rPr>
        <w:t xml:space="preserve"> based on equation </w:t>
      </w:r>
      <w:r w:rsidR="003B42E5">
        <w:rPr>
          <w:sz w:val="20"/>
          <w:szCs w:val="20"/>
        </w:rPr>
        <w:t>(</w:t>
      </w:r>
      <w:r w:rsidRPr="003E7C8C">
        <w:rPr>
          <w:sz w:val="20"/>
          <w:szCs w:val="20"/>
        </w:rPr>
        <w:t>3</w:t>
      </w:r>
      <w:r w:rsidR="003B42E5">
        <w:rPr>
          <w:sz w:val="20"/>
          <w:szCs w:val="20"/>
        </w:rPr>
        <w:t>)</w:t>
      </w:r>
      <w:r w:rsidRPr="003E7C8C">
        <w:rPr>
          <w:sz w:val="20"/>
          <w:szCs w:val="20"/>
        </w:rPr>
        <w:t xml:space="preserve">, </w:t>
      </w:r>
      <w:r w:rsidRPr="003E7C8C">
        <w:rPr>
          <w:i/>
          <w:iCs/>
          <w:sz w:val="20"/>
          <w:szCs w:val="20"/>
        </w:rPr>
        <w:t>n</w:t>
      </w:r>
      <w:r w:rsidRPr="003E7C8C">
        <w:rPr>
          <w:sz w:val="20"/>
          <w:szCs w:val="20"/>
        </w:rPr>
        <w:t xml:space="preserve"> is the harmonic mean of the total number of ramets per clone and </w:t>
      </w:r>
      <w:r w:rsidRPr="003E7C8C">
        <w:rPr>
          <w:i/>
          <w:iCs/>
          <w:sz w:val="20"/>
          <w:szCs w:val="20"/>
        </w:rPr>
        <w:t xml:space="preserve">s </w:t>
      </w:r>
      <w:r w:rsidRPr="003E7C8C">
        <w:rPr>
          <w:sz w:val="20"/>
          <w:szCs w:val="20"/>
        </w:rPr>
        <w:t>is the harmonic mean number of sites in which each clone was represented by one or more ramets.</w:t>
      </w:r>
    </w:p>
    <w:p w14:paraId="7F1C34D3" w14:textId="5F567770" w:rsidR="00444831" w:rsidRDefault="00444831" w:rsidP="006B4CCB">
      <w:pPr>
        <w:spacing w:line="480" w:lineRule="auto"/>
        <w:jc w:val="both"/>
        <w:rPr>
          <w:b/>
          <w:bCs/>
          <w:i/>
          <w:iCs/>
          <w:sz w:val="20"/>
          <w:szCs w:val="20"/>
        </w:rPr>
      </w:pPr>
    </w:p>
    <w:p w14:paraId="1330EE3D" w14:textId="57285E12" w:rsidR="001A2CDB" w:rsidRDefault="001A2CDB" w:rsidP="006B4CCB">
      <w:pPr>
        <w:spacing w:line="480" w:lineRule="auto"/>
        <w:jc w:val="both"/>
        <w:rPr>
          <w:b/>
          <w:bCs/>
          <w:i/>
          <w:iCs/>
          <w:sz w:val="20"/>
          <w:szCs w:val="20"/>
        </w:rPr>
      </w:pPr>
      <w:r>
        <w:rPr>
          <w:b/>
          <w:bCs/>
          <w:i/>
          <w:iCs/>
          <w:sz w:val="20"/>
          <w:szCs w:val="20"/>
        </w:rPr>
        <w:t>Supplementary methods S4</w:t>
      </w:r>
    </w:p>
    <w:p w14:paraId="01BB4B29" w14:textId="633EE676" w:rsidR="00444831" w:rsidRPr="003E7C8C" w:rsidRDefault="00444831" w:rsidP="006B4CCB">
      <w:pPr>
        <w:spacing w:line="480" w:lineRule="auto"/>
        <w:jc w:val="both"/>
        <w:rPr>
          <w:b/>
          <w:bCs/>
          <w:i/>
          <w:iCs/>
          <w:sz w:val="20"/>
          <w:szCs w:val="20"/>
        </w:rPr>
      </w:pPr>
      <w:r w:rsidRPr="003E7C8C">
        <w:rPr>
          <w:b/>
          <w:bCs/>
          <w:i/>
          <w:iCs/>
          <w:sz w:val="20"/>
          <w:szCs w:val="20"/>
        </w:rPr>
        <w:t>Simulated genomic architecture</w:t>
      </w:r>
    </w:p>
    <w:p w14:paraId="0D16D6A4" w14:textId="1346F176" w:rsidR="00A53C20" w:rsidRDefault="00A53C20" w:rsidP="006B4CCB">
      <w:pPr>
        <w:spacing w:line="480" w:lineRule="auto"/>
        <w:jc w:val="both"/>
        <w:rPr>
          <w:sz w:val="20"/>
          <w:szCs w:val="20"/>
        </w:rPr>
      </w:pPr>
      <w:r w:rsidRPr="003E7C8C">
        <w:rPr>
          <w:sz w:val="20"/>
          <w:szCs w:val="20"/>
        </w:rPr>
        <w:t xml:space="preserve">To verify whether the inclusion of a major-effect locus as a fixed effect in the model would improve </w:t>
      </w:r>
      <w:r>
        <w:rPr>
          <w:sz w:val="20"/>
          <w:szCs w:val="20"/>
        </w:rPr>
        <w:t>PA</w:t>
      </w:r>
      <w:r w:rsidRPr="003E7C8C">
        <w:rPr>
          <w:sz w:val="20"/>
          <w:szCs w:val="20"/>
        </w:rPr>
        <w:t xml:space="preserve">, we conducted finite-locus model simulations of a simplified </w:t>
      </w:r>
      <w:r>
        <w:rPr>
          <w:sz w:val="20"/>
          <w:szCs w:val="20"/>
        </w:rPr>
        <w:t xml:space="preserve">Norway spruce </w:t>
      </w:r>
      <w:r w:rsidRPr="003E7C8C">
        <w:rPr>
          <w:sz w:val="20"/>
          <w:szCs w:val="20"/>
        </w:rPr>
        <w:t xml:space="preserve">breeding population undergoing one generation of directional selection. We would thereby demonstrate the value of identifying major-effect loci e.g. by GWAS in a context of genomic selection and breeding. We used the simulation software Metagene </w:t>
      </w:r>
      <w:r w:rsidR="003B42E5">
        <w:rPr>
          <w:sz w:val="20"/>
          <w:szCs w:val="20"/>
        </w:rPr>
        <w:fldChar w:fldCharType="begin"/>
      </w:r>
      <w:r w:rsidR="003B42E5">
        <w:rPr>
          <w:sz w:val="20"/>
          <w:szCs w:val="20"/>
        </w:rPr>
        <w:instrText xml:space="preserve"> ADDIN EN.CITE &lt;EndNote&gt;&lt;Cite&gt;&lt;Author&gt;Sanchez&lt;/Author&gt;&lt;Year&gt;2008&lt;/Year&gt;&lt;RecNum&gt;4246&lt;/RecNum&gt;&lt;DisplayText&gt;[6]&lt;/DisplayText&gt;&lt;record&gt;&lt;rec-number&gt;4246&lt;/rec-number&gt;&lt;foreign-keys&gt;&lt;key app="EN" db-id="pfeddp5e0adersewxf5pxwafzr5zdze9prr2" timestamp="1493726977"&gt;4246&lt;/key&gt;&lt;/foreign-keys&gt;&lt;ref-type name="Journal Article"&gt;17&lt;/ref-type&gt;&lt;contributors&gt;&lt;authors&gt;&lt;author&gt;Sanchez, Leopoldo&lt;/author&gt;&lt;author&gt;Yanchuk, Alvin A.&lt;/author&gt;&lt;author&gt;King, John N.&lt;/author&gt;&lt;/authors&gt;&lt;/contributors&gt;&lt;titles&gt;&lt;title&gt;Gametic models for multitrait selection schemes to study variance of response and drift under adverse genetic correlations&lt;/title&gt;&lt;secondary-title&gt;Tree Genetics &amp;amp; Genomes&lt;/secondary-title&gt;&lt;/titles&gt;&lt;periodical&gt;&lt;full-title&gt;Tree Genetics &amp;amp; Genomes&lt;/full-title&gt;&lt;abbr-1&gt;Tree Genet. Genomes&lt;/abbr-1&gt;&lt;abbr-2&gt;Tree Genet Genomes&lt;/abbr-2&gt;&lt;/periodical&gt;&lt;pages&gt;201-212&lt;/pages&gt;&lt;volume&gt;4&lt;/volume&gt;&lt;number&gt;2&lt;/number&gt;&lt;dates&gt;&lt;year&gt;2008&lt;/year&gt;&lt;pub-dates&gt;&lt;date&gt;Apr&lt;/date&gt;&lt;/pub-dates&gt;&lt;/dates&gt;&lt;isbn&gt;1614-2942&lt;/isbn&gt;&lt;accession-num&gt;WOS:000253091100007&lt;/accession-num&gt;&lt;urls&gt;&lt;related-urls&gt;&lt;url&gt;&amp;lt;Go to ISI&amp;gt;://WOS:000253091100007&lt;/url&gt;&lt;url&gt;http://download.springer.com/static/pdf/17/art%253A10.1007%252Fs11295-007-0101-5.pdf?originUrl=http%3A%2F%2Flink.springer.com%2Farticle%2F10.1007%2Fs11295-007-0101-5&amp;amp;token2=exp=1493728541~acl=%2Fstatic%2Fpdf%2F17%2Fart%25253A10.1007%25252Fs11295-007-0101-5.pdf%3ForiginUrl%3Dhttp%253A%252F%252Flink.springer.com%252Farticle%252F10.1007%252Fs11295-007-0101-5*~hmac=4814dd73c92d74cf454925a7fa9fc8a51a4b4addffaaef4bc2439740fa9d6d36&lt;/url&gt;&lt;/related-urls&gt;&lt;/urls&gt;&lt;electronic-resource-num&gt;10.1007/s11295-007-0101-5&lt;/electronic-resource-num&gt;&lt;/record&gt;&lt;/Cite&gt;&lt;/EndNote&gt;</w:instrText>
      </w:r>
      <w:r w:rsidR="003B42E5">
        <w:rPr>
          <w:sz w:val="20"/>
          <w:szCs w:val="20"/>
        </w:rPr>
        <w:fldChar w:fldCharType="separate"/>
      </w:r>
      <w:r w:rsidR="003B42E5">
        <w:rPr>
          <w:noProof/>
          <w:sz w:val="20"/>
          <w:szCs w:val="20"/>
        </w:rPr>
        <w:t>[6]</w:t>
      </w:r>
      <w:r w:rsidR="003B42E5">
        <w:rPr>
          <w:sz w:val="20"/>
          <w:szCs w:val="20"/>
        </w:rPr>
        <w:fldChar w:fldCharType="end"/>
      </w:r>
      <w:r w:rsidRPr="003E7C8C">
        <w:rPr>
          <w:sz w:val="20"/>
          <w:szCs w:val="20"/>
        </w:rPr>
        <w:t xml:space="preserve"> to simulate one generation of genomic selection and breeding.</w:t>
      </w:r>
    </w:p>
    <w:p w14:paraId="093F1640" w14:textId="10867273" w:rsidR="00444831" w:rsidRPr="003E7C8C" w:rsidRDefault="00444831" w:rsidP="006B4CCB">
      <w:pPr>
        <w:spacing w:line="480" w:lineRule="auto"/>
        <w:jc w:val="both"/>
        <w:rPr>
          <w:sz w:val="20"/>
          <w:szCs w:val="20"/>
        </w:rPr>
      </w:pPr>
      <w:r w:rsidRPr="003E7C8C">
        <w:rPr>
          <w:sz w:val="20"/>
          <w:szCs w:val="20"/>
        </w:rPr>
        <w:t xml:space="preserve">A simplified genomic architecture setup comprising 15,000 biallelic loci, uniformly distributed along 12 chromosomes, each with a genetic length of 250 cM, and thus similar to the architecture of Norway spruce  </w:t>
      </w:r>
      <w:r w:rsidR="003B42E5">
        <w:rPr>
          <w:sz w:val="20"/>
          <w:szCs w:val="20"/>
        </w:rPr>
        <w:fldChar w:fldCharType="begin"/>
      </w:r>
      <w:r w:rsidR="003B42E5">
        <w:rPr>
          <w:sz w:val="20"/>
          <w:szCs w:val="20"/>
        </w:rPr>
        <w:instrText xml:space="preserve"> ADDIN EN.CITE &lt;EndNote&gt;&lt;Cite&gt;&lt;Author&gt;Bernhardsson&lt;/Author&gt;&lt;Year&gt;2021&lt;/Year&gt;&lt;RecNum&gt;5834&lt;/RecNum&gt;&lt;DisplayText&gt;[7]&lt;/DisplayText&gt;&lt;record&gt;&lt;rec-number&gt;5834&lt;/rec-number&gt;&lt;foreign-keys&gt;&lt;key app="EN" db-id="pfeddp5e0adersewxf5pxwafzr5zdze9prr2" timestamp="1607093319"&gt;5834&lt;/key&gt;&lt;/foreign-keys&gt;&lt;ref-type name="Journal Article"&gt;17&lt;/ref-type&gt;&lt;contributors&gt;&lt;authors&gt;&lt;author&gt;Bernhardsson, Carolina&lt;/author&gt;&lt;author&gt;Zan, Yanjun&lt;/author&gt;&lt;author&gt;Chen, Zhiqiang&lt;/author&gt;&lt;author&gt;Ingvarsson, Pär K&lt;/author&gt;&lt;author&gt;Wu, Harry X&lt;/author&gt;&lt;/authors&gt;&lt;/contributors&gt;&lt;titles&gt;&lt;title&gt;&lt;style face="normal" font="default" size="100%"&gt;Development of a highly efficient 50K SNP genotyping array for the large and complex genome of Norway spruce (&lt;/style&gt;&lt;style face="italic" font="default" size="100%"&gt;Picea abies&lt;/style&gt;&lt;style face="normal" font="default" size="100%"&gt; L. Karst) by whole genome re‐sequencing and its transferability to other spruce species&lt;/style&gt;&lt;/title&gt;&lt;secondary-title&gt;Molecular Ecology Resources&lt;/secondary-title&gt;&lt;/titles&gt;&lt;periodical&gt;&lt;full-title&gt;Molecular Ecology Resources&lt;/full-title&gt;&lt;abbr-1&gt;Mol. Ecol. Resour. &lt;/abbr-1&gt;&lt;abbr-2&gt;Mol Ecol Resour&lt;/abbr-2&gt;&lt;/periodical&gt;&lt;pages&gt;880–896&lt;/pages&gt;&lt;volume&gt;21&lt;/volume&gt;&lt;number&gt;3&lt;/number&gt;&lt;dates&gt;&lt;year&gt;2021&lt;/year&gt;&lt;/dates&gt;&lt;isbn&gt;1755-098X&lt;/isbn&gt;&lt;urls&gt;&lt;/urls&gt;&lt;electronic-resource-num&gt;10.1111/1755-0998.13292&lt;/electronic-resource-num&gt;&lt;/record&gt;&lt;/Cite&gt;&lt;/EndNote&gt;</w:instrText>
      </w:r>
      <w:r w:rsidR="003B42E5">
        <w:rPr>
          <w:sz w:val="20"/>
          <w:szCs w:val="20"/>
        </w:rPr>
        <w:fldChar w:fldCharType="separate"/>
      </w:r>
      <w:r w:rsidR="003B42E5">
        <w:rPr>
          <w:noProof/>
          <w:sz w:val="20"/>
          <w:szCs w:val="20"/>
        </w:rPr>
        <w:t>[7]</w:t>
      </w:r>
      <w:r w:rsidR="003B42E5">
        <w:rPr>
          <w:sz w:val="20"/>
          <w:szCs w:val="20"/>
        </w:rPr>
        <w:fldChar w:fldCharType="end"/>
      </w:r>
      <w:r w:rsidRPr="003E7C8C">
        <w:rPr>
          <w:sz w:val="20"/>
          <w:szCs w:val="20"/>
        </w:rPr>
        <w:t xml:space="preserve">, was used. Metagene regulated the genetic length of the genome by allowing completely random recombination between chromosomes at meiosis and thereafter randomly assigning 30 additional crossovers uniformly throughout the genome for each simulated meiosis event. Thus, a total genome length of 3,000 cM was achieved </w:t>
      </w:r>
      <w:r w:rsidRPr="003E7C8C">
        <w:rPr>
          <w:sz w:val="20"/>
          <w:szCs w:val="20"/>
        </w:rPr>
        <w:lastRenderedPageBreak/>
        <w:t>(0.2 cM between each neighbouring pair of intrachromosomal loci). In order to emulate the highly skewed allele frequency distributions observed in many populations, allele frequencies for all loci (</w:t>
      </w:r>
      <w:r w:rsidRPr="003E7C8C">
        <w:rPr>
          <w:i/>
          <w:iCs/>
          <w:sz w:val="20"/>
          <w:szCs w:val="20"/>
        </w:rPr>
        <w:t>p</w:t>
      </w:r>
      <w:r w:rsidRPr="003E7C8C">
        <w:rPr>
          <w:sz w:val="20"/>
          <w:szCs w:val="20"/>
        </w:rPr>
        <w:t xml:space="preserve">) were drawn from a U-shaped probability distribution </w:t>
      </w:r>
      <w:r w:rsidR="003B42E5">
        <w:rPr>
          <w:sz w:val="20"/>
          <w:szCs w:val="20"/>
        </w:rPr>
        <w:fldChar w:fldCharType="begin"/>
      </w:r>
      <w:r w:rsidR="003B42E5">
        <w:rPr>
          <w:sz w:val="20"/>
          <w:szCs w:val="20"/>
        </w:rPr>
        <w:instrText xml:space="preserve"> ADDIN EN.CITE &lt;EndNote&gt;&lt;Cite&gt;&lt;Author&gt;Hill&lt;/Author&gt;&lt;Year&gt;2008&lt;/Year&gt;&lt;RecNum&gt;4632&lt;/RecNum&gt;&lt;DisplayText&gt;[8]&lt;/DisplayText&gt;&lt;record&gt;&lt;rec-number&gt;4632&lt;/rec-number&gt;&lt;foreign-keys&gt;&lt;key app="EN" db-id="pfeddp5e0adersewxf5pxwafzr5zdze9prr2" timestamp="1520932581"&gt;4632&lt;/key&gt;&lt;/foreign-keys&gt;&lt;ref-type name="Journal Article"&gt;17&lt;/ref-type&gt;&lt;contributors&gt;&lt;authors&gt;&lt;author&gt;Hill, William G&lt;/author&gt;&lt;author&gt;Goddard, Michael E&lt;/author&gt;&lt;author&gt;Visscher, Peter M&lt;/author&gt;&lt;/authors&gt;&lt;/contributors&gt;&lt;titles&gt;&lt;title&gt;Data and theory point to mainly additive genetic variance for complex traits&lt;/title&gt;&lt;secondary-title&gt;PLoS genetics&lt;/secondary-title&gt;&lt;/titles&gt;&lt;periodical&gt;&lt;full-title&gt;PLOS Genetics&lt;/full-title&gt;&lt;abbr-1&gt;PLOS Genet.&lt;/abbr-1&gt;&lt;abbr-2&gt;PLOS Genet&lt;/abbr-2&gt;&lt;/periodical&gt;&lt;pages&gt;e1000008&lt;/pages&gt;&lt;volume&gt;4&lt;/volume&gt;&lt;number&gt;2&lt;/number&gt;&lt;dates&gt;&lt;year&gt;2008&lt;/year&gt;&lt;/dates&gt;&lt;isbn&gt;1553-7404&lt;/isbn&gt;&lt;urls&gt;&lt;/urls&gt;&lt;/record&gt;&lt;/Cite&gt;&lt;/EndNote&gt;</w:instrText>
      </w:r>
      <w:r w:rsidR="003B42E5">
        <w:rPr>
          <w:sz w:val="20"/>
          <w:szCs w:val="20"/>
        </w:rPr>
        <w:fldChar w:fldCharType="separate"/>
      </w:r>
      <w:r w:rsidR="003B42E5">
        <w:rPr>
          <w:noProof/>
          <w:sz w:val="20"/>
          <w:szCs w:val="20"/>
        </w:rPr>
        <w:t>[8]</w:t>
      </w:r>
      <w:r w:rsidR="003B42E5">
        <w:rPr>
          <w:sz w:val="20"/>
          <w:szCs w:val="20"/>
        </w:rPr>
        <w:fldChar w:fldCharType="end"/>
      </w:r>
      <w:r w:rsidRPr="003E7C8C">
        <w:rPr>
          <w:sz w:val="20"/>
          <w:szCs w:val="20"/>
        </w:rPr>
        <w:t xml:space="preserve"> while setting the effective population size parameter (</w:t>
      </w:r>
      <w:r w:rsidRPr="003E7C8C">
        <w:rPr>
          <w:i/>
          <w:iCs/>
          <w:sz w:val="20"/>
          <w:szCs w:val="20"/>
        </w:rPr>
        <w:t>N</w:t>
      </w:r>
      <w:r w:rsidRPr="003E7C8C">
        <w:rPr>
          <w:i/>
          <w:iCs/>
          <w:sz w:val="20"/>
          <w:szCs w:val="20"/>
          <w:vertAlign w:val="subscript"/>
        </w:rPr>
        <w:t>e</w:t>
      </w:r>
      <w:r w:rsidRPr="003E7C8C">
        <w:rPr>
          <w:sz w:val="20"/>
          <w:szCs w:val="20"/>
        </w:rPr>
        <w:t>) equal to the number of simulated founders (100). For simplification, the founder haplotypes were sampled according to these specifications without the presence of any “historical” linkage disequilibrium (LD) thus implying that alleles would roughly adhere to Hardy-Weinberg equilibrium (HW-eq) and that the founder population would be devoid of any systematic substructures. Out of the 15,000 available loci, 500 loci were randomly designed to have minor additive effects (</w:t>
      </w:r>
      <w:r w:rsidRPr="003E7C8C">
        <w:rPr>
          <w:i/>
          <w:iCs/>
          <w:sz w:val="20"/>
          <w:szCs w:val="20"/>
        </w:rPr>
        <w:t>α</w:t>
      </w:r>
      <w:r w:rsidRPr="003E7C8C">
        <w:rPr>
          <w:i/>
          <w:iCs/>
          <w:sz w:val="20"/>
          <w:szCs w:val="20"/>
          <w:vertAlign w:val="subscript"/>
        </w:rPr>
        <w:t>i</w:t>
      </w:r>
      <w:r w:rsidRPr="003E7C8C">
        <w:rPr>
          <w:i/>
          <w:iCs/>
          <w:sz w:val="20"/>
          <w:szCs w:val="20"/>
        </w:rPr>
        <w:t xml:space="preserve"> </w:t>
      </w:r>
      <w:r w:rsidRPr="003E7C8C">
        <w:rPr>
          <w:sz w:val="20"/>
          <w:szCs w:val="20"/>
        </w:rPr>
        <w:t xml:space="preserve">for effective loci </w:t>
      </w:r>
      <w:r w:rsidRPr="003E7C8C">
        <w:rPr>
          <w:i/>
          <w:iCs/>
          <w:sz w:val="20"/>
          <w:szCs w:val="20"/>
        </w:rPr>
        <w:t xml:space="preserve">I </w:t>
      </w:r>
      <w:r w:rsidRPr="003E7C8C">
        <w:rPr>
          <w:sz w:val="20"/>
          <w:szCs w:val="20"/>
        </w:rPr>
        <w:t>= 1…500) on a virtual quantitative trait of interest in accordance to the results of previous meta-analyses</w:t>
      </w:r>
      <w:r w:rsidR="003B42E5">
        <w:rPr>
          <w:sz w:val="20"/>
          <w:szCs w:val="20"/>
        </w:rPr>
        <w:t xml:space="preserve"> </w:t>
      </w:r>
      <w:r w:rsidR="003B42E5">
        <w:rPr>
          <w:sz w:val="20"/>
          <w:szCs w:val="20"/>
        </w:rPr>
        <w:fldChar w:fldCharType="begin"/>
      </w:r>
      <w:r w:rsidR="003B42E5">
        <w:rPr>
          <w:sz w:val="20"/>
          <w:szCs w:val="20"/>
        </w:rPr>
        <w:instrText xml:space="preserve"> ADDIN EN.CITE &lt;EndNote&gt;&lt;Cite&gt;&lt;Author&gt;Hall&lt;/Author&gt;&lt;Year&gt;2016&lt;/Year&gt;&lt;RecNum&gt;3880&lt;/RecNum&gt;&lt;DisplayText&gt;[9]&lt;/DisplayText&gt;&lt;record&gt;&lt;rec-number&gt;3880&lt;/rec-number&gt;&lt;foreign-keys&gt;&lt;key app="EN" db-id="pfeddp5e0adersewxf5pxwafzr5zdze9prr2" timestamp="1497268213"&gt;3880&lt;/key&gt;&lt;/foreign-keys&gt;&lt;ref-type name="Journal Article"&gt;17&lt;/ref-type&gt;&lt;contributors&gt;&lt;authors&gt;&lt;author&gt;Hall, David&lt;/author&gt;&lt;author&gt;Hallingbäck, Henrik R.&lt;/author&gt;&lt;author&gt;Wu, Harry X.&lt;/author&gt;&lt;/authors&gt;&lt;/contributors&gt;&lt;titles&gt;&lt;title&gt;Estimation of number and size of QTL effects in forest tree traits&lt;/title&gt;&lt;secondary-title&gt;Tree Genetics &amp;amp; Genomes&lt;/secondary-title&gt;&lt;/titles&gt;&lt;periodical&gt;&lt;full-title&gt;Tree Genetics &amp;amp; Genomes&lt;/full-title&gt;&lt;abbr-1&gt;Tree Genet. Genomes&lt;/abbr-1&gt;&lt;abbr-2&gt;Tree Genet Genomes&lt;/abbr-2&gt;&lt;/periodical&gt;&lt;pages&gt;110&lt;/pages&gt;&lt;volume&gt;12&lt;/volume&gt;&lt;number&gt;6&lt;/number&gt;&lt;dates&gt;&lt;year&gt;2016&lt;/year&gt;&lt;/dates&gt;&lt;isbn&gt;1614–2950&lt;/isbn&gt;&lt;label&gt;Hall2016&lt;/label&gt;&lt;work-type&gt;journal article&lt;/work-type&gt;&lt;urls&gt;&lt;related-urls&gt;&lt;url&gt;http://dx.doi.org/10.1007/s11295-016-1073-0&lt;/url&gt;&lt;/related-urls&gt;&lt;/urls&gt;&lt;electronic-resource-num&gt;10.1007/s11295-016-1073-0&lt;/electronic-resource-num&gt;&lt;/record&gt;&lt;/Cite&gt;&lt;/EndNote&gt;</w:instrText>
      </w:r>
      <w:r w:rsidR="003B42E5">
        <w:rPr>
          <w:sz w:val="20"/>
          <w:szCs w:val="20"/>
        </w:rPr>
        <w:fldChar w:fldCharType="separate"/>
      </w:r>
      <w:r w:rsidR="003B42E5">
        <w:rPr>
          <w:noProof/>
          <w:sz w:val="20"/>
          <w:szCs w:val="20"/>
        </w:rPr>
        <w:t>[9]</w:t>
      </w:r>
      <w:r w:rsidR="003B42E5">
        <w:rPr>
          <w:sz w:val="20"/>
          <w:szCs w:val="20"/>
        </w:rPr>
        <w:fldChar w:fldCharType="end"/>
      </w:r>
      <w:r w:rsidRPr="003E7C8C">
        <w:rPr>
          <w:sz w:val="20"/>
          <w:szCs w:val="20"/>
        </w:rPr>
        <w:t xml:space="preserve">. To emulate the usually observed distribution of a few loci with slightly larger effects and many loci with very small effects, the sizes of the 500 additive allelic effects were randomly drawn from a negative exponential distribution </w:t>
      </w:r>
      <w:r w:rsidRPr="003E7C8C">
        <w:rPr>
          <w:noProof/>
          <w:sz w:val="20"/>
          <w:szCs w:val="20"/>
        </w:rPr>
        <w:t>(Otto and Jones, 2000)</w:t>
      </w:r>
      <w:r w:rsidRPr="003E7C8C">
        <w:rPr>
          <w:sz w:val="20"/>
          <w:szCs w:val="20"/>
        </w:rPr>
        <w:t xml:space="preserve"> with the rate parameter (λ) set at 1. To regulate the heritability of the virtual trait, the total additive genetic variance of the founder population was first estimated </w:t>
      </w:r>
      <w:r w:rsidR="003B42E5">
        <w:rPr>
          <w:sz w:val="20"/>
          <w:szCs w:val="20"/>
        </w:rPr>
        <w:fldChar w:fldCharType="begin"/>
      </w:r>
      <w:r w:rsidR="003B42E5">
        <w:rPr>
          <w:sz w:val="20"/>
          <w:szCs w:val="20"/>
        </w:rPr>
        <w:instrText xml:space="preserve"> ADDIN EN.CITE &lt;EndNote&gt;&lt;Cite&gt;&lt;Author&gt;Lynch&lt;/Author&gt;&lt;Year&gt;1998&lt;/Year&gt;&lt;RecNum&gt;2188&lt;/RecNum&gt;&lt;DisplayText&gt;[10]&lt;/DisplayText&gt;&lt;record&gt;&lt;rec-number&gt;2188&lt;/rec-number&gt;&lt;foreign-keys&gt;&lt;key app="EN" db-id="pfeddp5e0adersewxf5pxwafzr5zdze9prr2" timestamp="1388085440"&gt;2188&lt;/key&gt;&lt;/foreign-keys&gt;&lt;ref-type name="Journal Article"&gt;17&lt;/ref-type&gt;&lt;contributors&gt;&lt;authors&gt;&lt;author&gt;Lynch, Michael&lt;/author&gt;&lt;author&gt;Walsh, Bruce&lt;/author&gt;&lt;/authors&gt;&lt;/contributors&gt;&lt;titles&gt;&lt;title&gt;Genetics and analysis of quantitative traits&lt;/title&gt;&lt;/titles&gt;&lt;dates&gt;&lt;year&gt;1998&lt;/year&gt;&lt;/dates&gt;&lt;urls&gt;&lt;/urls&gt;&lt;/record&gt;&lt;/Cite&gt;&lt;/EndNote&gt;</w:instrText>
      </w:r>
      <w:r w:rsidR="003B42E5">
        <w:rPr>
          <w:sz w:val="20"/>
          <w:szCs w:val="20"/>
        </w:rPr>
        <w:fldChar w:fldCharType="separate"/>
      </w:r>
      <w:r w:rsidR="003B42E5">
        <w:rPr>
          <w:noProof/>
          <w:sz w:val="20"/>
          <w:szCs w:val="20"/>
        </w:rPr>
        <w:t>[10]</w:t>
      </w:r>
      <w:r w:rsidR="003B42E5">
        <w:rPr>
          <w:sz w:val="20"/>
          <w:szCs w:val="20"/>
        </w:rPr>
        <w:fldChar w:fldCharType="end"/>
      </w:r>
      <w:r w:rsidRPr="003E7C8C">
        <w:rPr>
          <w:sz w:val="20"/>
          <w:szCs w:val="20"/>
        </w:rPr>
        <w:t xml:space="preserve"> as:</w:t>
      </w:r>
    </w:p>
    <w:p w14:paraId="54454B20" w14:textId="4B0BA7A4" w:rsidR="00444831" w:rsidRPr="003E7C8C" w:rsidRDefault="00000000" w:rsidP="006B4CCB">
      <w:pPr>
        <w:tabs>
          <w:tab w:val="left" w:pos="9072"/>
        </w:tabs>
        <w:spacing w:line="480" w:lineRule="auto"/>
        <w:jc w:val="both"/>
        <w:rPr>
          <w:sz w:val="20"/>
          <w:szCs w:val="20"/>
        </w:rPr>
      </w:pP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r>
          <w:rPr>
            <w:rFonts w:ascii="Cambria Math" w:hAnsi="Cambria Math"/>
            <w:sz w:val="20"/>
            <w:szCs w:val="20"/>
          </w:rPr>
          <m:t>=2</m:t>
        </m:r>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500</m:t>
            </m:r>
          </m:sup>
          <m:e>
            <m:sSubSup>
              <m:sSubSupPr>
                <m:ctrlPr>
                  <w:rPr>
                    <w:rFonts w:ascii="Cambria Math" w:hAnsi="Cambria Math"/>
                    <w:i/>
                    <w:sz w:val="20"/>
                    <w:szCs w:val="20"/>
                  </w:rPr>
                </m:ctrlPr>
              </m:sSubSupPr>
              <m:e>
                <m:r>
                  <w:rPr>
                    <w:rFonts w:ascii="Cambria Math" w:hAnsi="Cambria Math"/>
                    <w:sz w:val="20"/>
                    <w:szCs w:val="20"/>
                  </w:rPr>
                  <m:t>α</m:t>
                </m:r>
              </m:e>
              <m:sub>
                <m:r>
                  <w:rPr>
                    <w:rFonts w:ascii="Cambria Math" w:hAnsi="Cambria Math"/>
                    <w:sz w:val="20"/>
                    <w:szCs w:val="20"/>
                  </w:rPr>
                  <m:t>i</m:t>
                </m:r>
              </m:sub>
              <m:sup>
                <m:r>
                  <w:rPr>
                    <w:rFonts w:ascii="Cambria Math" w:hAnsi="Cambria Math"/>
                    <w:sz w:val="20"/>
                    <w:szCs w:val="20"/>
                  </w:rPr>
                  <m:t>2</m:t>
                </m:r>
              </m:sup>
            </m:sSubSup>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d>
              <m:dPr>
                <m:ctrlPr>
                  <w:rPr>
                    <w:rFonts w:ascii="Cambria Math" w:hAnsi="Cambria Math"/>
                    <w:i/>
                    <w:sz w:val="20"/>
                    <w:szCs w:val="20"/>
                  </w:rPr>
                </m:ctrlPr>
              </m:dPr>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e>
            </m:d>
          </m:e>
        </m:nary>
      </m:oMath>
      <w:r w:rsidR="00444831" w:rsidRPr="003E7C8C">
        <w:rPr>
          <w:sz w:val="20"/>
          <w:szCs w:val="20"/>
        </w:rPr>
        <w:t xml:space="preserve"> </w:t>
      </w:r>
      <w:r w:rsidR="001A2CDB">
        <w:rPr>
          <w:sz w:val="20"/>
          <w:szCs w:val="20"/>
        </w:rPr>
        <w:t xml:space="preserve">     </w:t>
      </w:r>
      <w:r w:rsidR="003B42E5">
        <w:rPr>
          <w:sz w:val="20"/>
          <w:szCs w:val="20"/>
        </w:rPr>
        <w:t>(</w:t>
      </w:r>
      <w:r w:rsidR="00444831" w:rsidRPr="003E7C8C">
        <w:rPr>
          <w:sz w:val="20"/>
          <w:szCs w:val="20"/>
        </w:rPr>
        <w:t>6</w:t>
      </w:r>
      <w:r w:rsidR="003B42E5">
        <w:rPr>
          <w:sz w:val="20"/>
          <w:szCs w:val="20"/>
        </w:rPr>
        <w:t>)</w:t>
      </w:r>
    </w:p>
    <w:p w14:paraId="015FEC1A" w14:textId="0E43A4C2" w:rsidR="00444831" w:rsidRPr="003E7C8C" w:rsidRDefault="00444831" w:rsidP="006B4CCB">
      <w:pPr>
        <w:spacing w:line="480" w:lineRule="auto"/>
        <w:jc w:val="both"/>
        <w:rPr>
          <w:sz w:val="20"/>
          <w:szCs w:val="20"/>
        </w:rPr>
      </w:pPr>
      <w:r w:rsidRPr="003E7C8C">
        <w:rPr>
          <w:sz w:val="20"/>
          <w:szCs w:val="20"/>
        </w:rPr>
        <w:t>Since the founder population adheres to HW-eq</w:t>
      </w:r>
      <w:r w:rsidRPr="003E7C8C" w:rsidDel="00DA67AC">
        <w:rPr>
          <w:sz w:val="20"/>
          <w:szCs w:val="20"/>
        </w:rPr>
        <w:t xml:space="preserve"> </w:t>
      </w:r>
      <w:r w:rsidRPr="003E7C8C">
        <w:rPr>
          <w:sz w:val="20"/>
          <w:szCs w:val="20"/>
        </w:rPr>
        <w:t xml:space="preserve">and the founder population exhibited no population structure (no systematic LD), this simplified equation should be adequate for estimating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oMath>
      <w:r w:rsidRPr="003E7C8C">
        <w:rPr>
          <w:sz w:val="20"/>
          <w:szCs w:val="20"/>
        </w:rPr>
        <w:t xml:space="preserve">. Thereafter the virtual phenotypic trait was constructed by adding random environmental noise effects from a normal distribution with a mean of 0 and a standard deviation of </w:t>
      </w:r>
      <m:oMath>
        <m:rad>
          <m:radPr>
            <m:degHide m:val="1"/>
            <m:ctrlPr>
              <w:rPr>
                <w:rFonts w:ascii="Cambria Math" w:hAnsi="Cambria Math"/>
                <w:i/>
                <w:sz w:val="20"/>
                <w:szCs w:val="20"/>
              </w:rPr>
            </m:ctrlPr>
          </m:radPr>
          <m:deg/>
          <m:e>
            <m:r>
              <w:rPr>
                <w:rFonts w:ascii="Cambria Math" w:hAnsi="Cambria Math"/>
                <w:sz w:val="20"/>
                <w:szCs w:val="20"/>
              </w:rPr>
              <m:t>3</m:t>
            </m:r>
          </m:e>
        </m:rad>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a</m:t>
            </m:r>
          </m:sub>
        </m:sSub>
      </m:oMath>
      <w:r w:rsidRPr="003E7C8C">
        <w:rPr>
          <w:sz w:val="20"/>
          <w:szCs w:val="20"/>
        </w:rPr>
        <w:t xml:space="preserve"> to the additive genetic effects (</w:t>
      </w:r>
      <m:oMath>
        <m:r>
          <w:rPr>
            <w:rFonts w:ascii="Cambria Math" w:hAnsi="Cambria Math"/>
            <w:sz w:val="20"/>
            <w:szCs w:val="20"/>
          </w:rPr>
          <m:t>2</m:t>
        </m:r>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500</m:t>
            </m:r>
          </m:sup>
          <m:e>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ij</m:t>
                </m:r>
              </m:sub>
            </m:sSub>
          </m:e>
        </m:nary>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ij</m:t>
            </m:r>
          </m:sub>
        </m:sSub>
        <m:r>
          <w:rPr>
            <w:rFonts w:ascii="Cambria Math" w:hAnsi="Cambria Math"/>
            <w:sz w:val="20"/>
            <w:szCs w:val="20"/>
          </w:rPr>
          <m:t>)</m:t>
        </m:r>
      </m:oMath>
      <w:r w:rsidRPr="003E7C8C">
        <w:rPr>
          <w:sz w:val="20"/>
          <w:szCs w:val="20"/>
        </w:rPr>
        <w:t xml:space="preserve">  of each individual </w:t>
      </w:r>
      <w:r w:rsidRPr="003E7C8C">
        <w:rPr>
          <w:i/>
          <w:iCs/>
          <w:sz w:val="20"/>
          <w:szCs w:val="20"/>
        </w:rPr>
        <w:t>j</w:t>
      </w:r>
      <w:r w:rsidRPr="003E7C8C">
        <w:rPr>
          <w:sz w:val="20"/>
          <w:szCs w:val="20"/>
        </w:rPr>
        <w:t>. Thus, a virtual</w:t>
      </w:r>
      <w:r w:rsidR="006B4CCB">
        <w:rPr>
          <w:sz w:val="20"/>
          <w:szCs w:val="20"/>
        </w:rPr>
        <w:t xml:space="preserve"> </w:t>
      </w:r>
      <w:r w:rsidRPr="003E7C8C">
        <w:rPr>
          <w:sz w:val="20"/>
          <w:szCs w:val="20"/>
        </w:rPr>
        <w:t>quantitative trait showing a narrow-sense heritability (</w:t>
      </w:r>
      <m:oMath>
        <m:sSup>
          <m:sSupPr>
            <m:ctrlPr>
              <w:rPr>
                <w:rFonts w:ascii="Cambria Math" w:hAnsi="Cambria Math"/>
                <w:sz w:val="20"/>
                <w:szCs w:val="20"/>
              </w:rPr>
            </m:ctrlPr>
          </m:sSupPr>
          <m:e>
            <m:r>
              <w:rPr>
                <w:rFonts w:ascii="Cambria Math" w:hAnsi="Cambria Math"/>
                <w:sz w:val="20"/>
                <w:szCs w:val="20"/>
              </w:rPr>
              <m:t>h</m:t>
            </m:r>
          </m:e>
          <m:sup>
            <m:r>
              <m:rPr>
                <m:sty m:val="p"/>
              </m:rPr>
              <w:rPr>
                <w:rFonts w:ascii="Cambria Math" w:hAnsi="Cambria Math"/>
                <w:sz w:val="20"/>
                <w:szCs w:val="20"/>
              </w:rPr>
              <m:t>2</m:t>
            </m:r>
          </m:sup>
        </m:sSup>
      </m:oMath>
      <w:r w:rsidRPr="003E7C8C">
        <w:rPr>
          <w:sz w:val="20"/>
          <w:szCs w:val="20"/>
        </w:rPr>
        <w:t>) of ~0.25 at the founder level was achieved. It should be noted that the additive genetic variance in subsequent simulated generations was allowed to be influenced by any simulated events that could occur (selection effects, deviations from HW-eq and accumulation of LD) whereas the environmental noise variance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e</m:t>
            </m:r>
          </m:sub>
          <m:sup>
            <m:r>
              <w:rPr>
                <w:rFonts w:ascii="Cambria Math" w:hAnsi="Cambria Math"/>
                <w:sz w:val="20"/>
                <w:szCs w:val="20"/>
              </w:rPr>
              <m:t>2</m:t>
            </m:r>
          </m:sup>
        </m:sSubSup>
      </m:oMath>
      <w:r w:rsidRPr="003E7C8C">
        <w:rPr>
          <w:sz w:val="20"/>
          <w:szCs w:val="20"/>
        </w:rPr>
        <w:t>) was fixated at the level determined at the founder level (G</w:t>
      </w:r>
      <w:r w:rsidRPr="003E7C8C">
        <w:rPr>
          <w:sz w:val="20"/>
          <w:szCs w:val="20"/>
          <w:vertAlign w:val="subscript"/>
        </w:rPr>
        <w:t>0</w:t>
      </w:r>
      <w:r w:rsidRPr="003E7C8C">
        <w:rPr>
          <w:sz w:val="20"/>
          <w:szCs w:val="20"/>
        </w:rPr>
        <w:t>).</w:t>
      </w:r>
      <w:r w:rsidRPr="003E7C8C">
        <w:rPr>
          <w:i/>
          <w:iCs/>
          <w:sz w:val="20"/>
          <w:szCs w:val="20"/>
        </w:rPr>
        <w:t xml:space="preserve"> </w:t>
      </w:r>
    </w:p>
    <w:p w14:paraId="57F151B3" w14:textId="77777777" w:rsidR="00444831" w:rsidRPr="003E7C8C" w:rsidRDefault="00444831" w:rsidP="006B4CCB">
      <w:pPr>
        <w:spacing w:line="480" w:lineRule="auto"/>
        <w:jc w:val="both"/>
        <w:rPr>
          <w:b/>
          <w:bCs/>
          <w:i/>
          <w:iCs/>
          <w:sz w:val="20"/>
          <w:szCs w:val="20"/>
        </w:rPr>
      </w:pPr>
      <w:r w:rsidRPr="003E7C8C">
        <w:rPr>
          <w:b/>
          <w:bCs/>
          <w:i/>
          <w:iCs/>
          <w:sz w:val="20"/>
          <w:szCs w:val="20"/>
        </w:rPr>
        <w:t>Simulation of a single-population breeding program</w:t>
      </w:r>
    </w:p>
    <w:p w14:paraId="5FD818F7" w14:textId="36518A29" w:rsidR="00444831" w:rsidRPr="003E7C8C" w:rsidRDefault="00444831" w:rsidP="006B4CCB">
      <w:pPr>
        <w:spacing w:line="480" w:lineRule="auto"/>
        <w:jc w:val="both"/>
        <w:rPr>
          <w:sz w:val="20"/>
          <w:szCs w:val="20"/>
        </w:rPr>
      </w:pPr>
      <w:r w:rsidRPr="003E7C8C">
        <w:rPr>
          <w:sz w:val="20"/>
          <w:szCs w:val="20"/>
        </w:rPr>
        <w:t xml:space="preserve">The 100 founders were crossed 50 times according to a randomly allocated single-pair mating design (SPM) yielding 40 offspring per cross and in total 2000 individuals distributed within 50 full-sib families in a segregation population. For the study of conventional genomic selection, 1500 loci, randomly selected among the total 15,000 loci, were “genotyped” and were subsequently subjected to the same type of GBLUP-analysis and cross-validation procedure as described previously for the real-life data (see equation </w:t>
      </w:r>
      <w:r w:rsidR="003B42E5">
        <w:rPr>
          <w:sz w:val="20"/>
          <w:szCs w:val="20"/>
        </w:rPr>
        <w:t>(</w:t>
      </w:r>
      <w:r w:rsidRPr="003E7C8C">
        <w:rPr>
          <w:sz w:val="20"/>
          <w:szCs w:val="20"/>
        </w:rPr>
        <w:t>5</w:t>
      </w:r>
      <w:r w:rsidR="003B42E5">
        <w:rPr>
          <w:sz w:val="20"/>
          <w:szCs w:val="20"/>
        </w:rPr>
        <w:t>)</w:t>
      </w:r>
      <w:r w:rsidRPr="003E7C8C">
        <w:rPr>
          <w:sz w:val="20"/>
          <w:szCs w:val="20"/>
        </w:rPr>
        <w:t xml:space="preserve">). However, for the simulated data, </w:t>
      </w:r>
      <w:r w:rsidRPr="003E7C8C">
        <w:rPr>
          <w:sz w:val="20"/>
          <w:szCs w:val="20"/>
        </w:rPr>
        <w:lastRenderedPageBreak/>
        <w:t xml:space="preserve">phenotypic data was used directly for training and as a validation benchmark because the simulations did not include clonal replicates. </w:t>
      </w:r>
    </w:p>
    <w:p w14:paraId="0042B857" w14:textId="5A03AF5F" w:rsidR="00444831" w:rsidRDefault="00444831" w:rsidP="006B4CCB">
      <w:pPr>
        <w:spacing w:line="480" w:lineRule="auto"/>
        <w:jc w:val="both"/>
        <w:rPr>
          <w:sz w:val="20"/>
          <w:szCs w:val="20"/>
        </w:rPr>
      </w:pPr>
      <w:r w:rsidRPr="003E7C8C">
        <w:rPr>
          <w:sz w:val="20"/>
          <w:szCs w:val="20"/>
        </w:rPr>
        <w:t>The evaluation of genomic prediction PA was done as previously described for the real-life data whereas prediction accuracy was calculated as the Pearson-correlation between predicted breeding values and true breeding values as the latter is reported by Metagene. Within-family prediction accuracy was also estimated as the Pearson-correlation between predicted breeding value</w:t>
      </w:r>
      <w:r w:rsidR="005A4D30">
        <w:rPr>
          <w:sz w:val="20"/>
          <w:szCs w:val="20"/>
        </w:rPr>
        <w:t xml:space="preserve"> </w:t>
      </w:r>
      <w:r w:rsidR="006B4CCB">
        <w:rPr>
          <w:sz w:val="20"/>
          <w:szCs w:val="20"/>
        </w:rPr>
        <w:t xml:space="preserve">deviations from the family mean of estimated breeding values (EBVs) </w:t>
      </w:r>
      <w:r w:rsidRPr="003E7C8C">
        <w:rPr>
          <w:sz w:val="20"/>
          <w:szCs w:val="20"/>
        </w:rPr>
        <w:t xml:space="preserve">and the true EBVs – true family EBV mean as the validation benchmark. For a conventional GP, 10 repeated simulations were performed completely resampling genomic architecture and founder population makeup according to previously reported specifications and for each such simulation, one set of 10-fold cross-validations was performed.  </w:t>
      </w:r>
    </w:p>
    <w:p w14:paraId="1DA12DA6" w14:textId="77777777" w:rsidR="006B4CCB" w:rsidRPr="003E7C8C" w:rsidRDefault="006B4CCB" w:rsidP="006B4CCB">
      <w:pPr>
        <w:spacing w:line="480" w:lineRule="auto"/>
        <w:jc w:val="both"/>
        <w:rPr>
          <w:sz w:val="20"/>
          <w:szCs w:val="20"/>
        </w:rPr>
      </w:pPr>
    </w:p>
    <w:p w14:paraId="1AA697B5" w14:textId="77777777" w:rsidR="00444831" w:rsidRPr="003E7C8C" w:rsidRDefault="00444831" w:rsidP="006B4CCB">
      <w:pPr>
        <w:spacing w:line="480" w:lineRule="auto"/>
        <w:jc w:val="both"/>
        <w:rPr>
          <w:b/>
          <w:bCs/>
          <w:i/>
          <w:iCs/>
          <w:sz w:val="20"/>
          <w:szCs w:val="20"/>
        </w:rPr>
      </w:pPr>
      <w:r w:rsidRPr="003E7C8C">
        <w:rPr>
          <w:b/>
          <w:bCs/>
          <w:i/>
          <w:iCs/>
          <w:sz w:val="20"/>
          <w:szCs w:val="20"/>
        </w:rPr>
        <w:t>Simulations of major-effect loci</w:t>
      </w:r>
    </w:p>
    <w:p w14:paraId="0416B3C8" w14:textId="77777777" w:rsidR="00444831" w:rsidRPr="003E7C8C" w:rsidRDefault="00444831" w:rsidP="006B4CCB">
      <w:pPr>
        <w:spacing w:line="480" w:lineRule="auto"/>
        <w:jc w:val="both"/>
        <w:rPr>
          <w:sz w:val="20"/>
          <w:szCs w:val="20"/>
        </w:rPr>
      </w:pPr>
      <w:r w:rsidRPr="003E7C8C">
        <w:rPr>
          <w:sz w:val="20"/>
          <w:szCs w:val="20"/>
        </w:rPr>
        <w:t xml:space="preserve">Apart from conventional GP, simulation scenarios were designed in which the presence of a “major-effect” locus was added. To produce such a locus, the previously designed set of genomic architectures was modified so that a major locus was chosen within the existing genomic architectures. The major- effect locus for each architecture was arbitrarily selected within chromosome 1 but the choice of the locus was nonetheless done according to a number of requirements. The major effect locus was required to: 1) not exhibit any causal effect in the original genomic architecture; 2) exhibit a close-to-intermediate allele frequency (0.45 &lt; </w:t>
      </w:r>
      <w:r w:rsidRPr="003E7C8C">
        <w:rPr>
          <w:i/>
          <w:iCs/>
          <w:sz w:val="20"/>
          <w:szCs w:val="20"/>
        </w:rPr>
        <w:t>p</w:t>
      </w:r>
      <w:r w:rsidRPr="003E7C8C">
        <w:rPr>
          <w:i/>
          <w:iCs/>
          <w:sz w:val="20"/>
          <w:szCs w:val="20"/>
          <w:vertAlign w:val="subscript"/>
        </w:rPr>
        <w:t xml:space="preserve">maj </w:t>
      </w:r>
      <w:r w:rsidRPr="003E7C8C">
        <w:rPr>
          <w:sz w:val="20"/>
          <w:szCs w:val="20"/>
        </w:rPr>
        <w:t>&lt; 0.55); 3) be situated at least 10 positions (2 cM) away from any other effective locus in order to avoid the development of overly tight linkage with these; and 4) not be previously assigned as a “genotyped locus” in the original setup. When added, the number of effective loci for the modified scenario thus became 501 rather than 500 for the conventional scenario. The effect size of the major locus (</w:t>
      </w:r>
      <w:r w:rsidRPr="003E7C8C">
        <w:rPr>
          <w:i/>
          <w:iCs/>
          <w:sz w:val="20"/>
          <w:szCs w:val="20"/>
        </w:rPr>
        <w:t>α</w:t>
      </w:r>
      <w:r w:rsidRPr="003E7C8C">
        <w:rPr>
          <w:i/>
          <w:iCs/>
          <w:sz w:val="20"/>
          <w:szCs w:val="20"/>
          <w:vertAlign w:val="subscript"/>
        </w:rPr>
        <w:t>maj</w:t>
      </w:r>
      <w:r w:rsidRPr="003E7C8C">
        <w:rPr>
          <w:sz w:val="20"/>
          <w:szCs w:val="20"/>
        </w:rPr>
        <w:t>) was regulated in terms of the percentage of the genetic variance that it could explain (PGVE) thus being calculated as:</w:t>
      </w:r>
    </w:p>
    <w:p w14:paraId="75FBA3E6" w14:textId="0E72BE83" w:rsidR="00444831" w:rsidRPr="003E7C8C" w:rsidRDefault="00000000" w:rsidP="006B4CCB">
      <w:pPr>
        <w:tabs>
          <w:tab w:val="left" w:pos="9072"/>
        </w:tabs>
        <w:spacing w:line="480" w:lineRule="auto"/>
        <w:jc w:val="both"/>
        <w:rPr>
          <w:sz w:val="20"/>
          <w:szCs w:val="20"/>
        </w:rPr>
      </w:pP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maj</m:t>
            </m:r>
          </m:sub>
        </m:sSub>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PGVE</m:t>
                </m:r>
              </m:num>
              <m:den>
                <m:r>
                  <w:rPr>
                    <w:rFonts w:ascii="Cambria Math" w:hAnsi="Cambria Math"/>
                    <w:sz w:val="20"/>
                    <w:szCs w:val="20"/>
                  </w:rPr>
                  <m:t>100</m:t>
                </m:r>
              </m:den>
            </m:f>
            <m:r>
              <w:rPr>
                <w:rFonts w:ascii="Cambria Math" w:hAnsi="Cambria Math"/>
                <w:sz w:val="20"/>
                <w:szCs w:val="20"/>
              </w:rPr>
              <m:t>∙</m:t>
            </m:r>
            <m:f>
              <m:fPr>
                <m:ctrlPr>
                  <w:rPr>
                    <w:rFonts w:ascii="Cambria Math" w:hAnsi="Cambria Math"/>
                    <w:i/>
                    <w:sz w:val="20"/>
                    <w:szCs w:val="20"/>
                  </w:rPr>
                </m:ctrlPr>
              </m:fPr>
              <m:num>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num>
              <m:den>
                <m:r>
                  <w:rPr>
                    <w:rFonts w:ascii="Cambria Math" w:hAnsi="Cambria Math"/>
                    <w:sz w:val="20"/>
                    <w:szCs w:val="20"/>
                  </w:rPr>
                  <m:t>2∙</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maj</m:t>
                    </m:r>
                  </m:sub>
                </m:sSub>
                <m:d>
                  <m:dPr>
                    <m:ctrlPr>
                      <w:rPr>
                        <w:rFonts w:ascii="Cambria Math" w:hAnsi="Cambria Math"/>
                        <w:i/>
                        <w:sz w:val="20"/>
                        <w:szCs w:val="20"/>
                      </w:rPr>
                    </m:ctrlPr>
                  </m:dPr>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maj</m:t>
                        </m:r>
                      </m:sub>
                    </m:sSub>
                  </m:e>
                </m:d>
              </m:den>
            </m:f>
          </m:e>
        </m:rad>
      </m:oMath>
      <w:r w:rsidR="001A2CDB">
        <w:rPr>
          <w:sz w:val="20"/>
          <w:szCs w:val="20"/>
        </w:rPr>
        <w:t xml:space="preserve">      </w:t>
      </w:r>
      <w:r w:rsidR="00444831" w:rsidRPr="003E7C8C">
        <w:rPr>
          <w:sz w:val="20"/>
          <w:szCs w:val="20"/>
        </w:rPr>
        <w:t>[7]</w:t>
      </w:r>
    </w:p>
    <w:p w14:paraId="51CBB34F" w14:textId="77777777" w:rsidR="00444831" w:rsidRPr="003E7C8C" w:rsidRDefault="00444831" w:rsidP="006B4CCB">
      <w:pPr>
        <w:spacing w:line="480" w:lineRule="auto"/>
        <w:jc w:val="both"/>
        <w:rPr>
          <w:sz w:val="20"/>
          <w:szCs w:val="20"/>
        </w:rPr>
      </w:pPr>
      <w:r w:rsidRPr="003E7C8C">
        <w:rPr>
          <w:sz w:val="20"/>
          <w:szCs w:val="20"/>
        </w:rPr>
        <w:t xml:space="preserve">Then, the effect size of all other effective loci was adjusted (rescaled) as: </w:t>
      </w:r>
    </w:p>
    <w:p w14:paraId="0EAABA64" w14:textId="77777777" w:rsidR="00444831" w:rsidRPr="003E7C8C" w:rsidRDefault="00000000" w:rsidP="006B4CCB">
      <w:pPr>
        <w:spacing w:line="480" w:lineRule="auto"/>
        <w:jc w:val="both"/>
        <w:rPr>
          <w:sz w:val="20"/>
          <w:szCs w:val="20"/>
        </w:rPr>
      </w:pP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i,adj</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t>
            </m:r>
          </m:sub>
        </m:sSub>
        <m:rad>
          <m:radPr>
            <m:degHide m:val="1"/>
            <m:ctrlPr>
              <w:rPr>
                <w:rFonts w:ascii="Cambria Math" w:hAnsi="Cambria Math"/>
                <w:i/>
                <w:sz w:val="20"/>
                <w:szCs w:val="20"/>
              </w:rPr>
            </m:ctrlPr>
          </m:radPr>
          <m:deg/>
          <m:e>
            <m:r>
              <w:rPr>
                <w:rFonts w:ascii="Cambria Math" w:hAnsi="Cambria Math"/>
                <w:sz w:val="20"/>
                <w:szCs w:val="20"/>
              </w:rPr>
              <m:t>1-</m:t>
            </m:r>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PGVE</m:t>
                    </m:r>
                  </m:num>
                  <m:den>
                    <m:r>
                      <w:rPr>
                        <w:rFonts w:ascii="Cambria Math" w:hAnsi="Cambria Math"/>
                        <w:sz w:val="20"/>
                        <w:szCs w:val="20"/>
                      </w:rPr>
                      <m:t>100</m:t>
                    </m:r>
                  </m:den>
                </m:f>
              </m:e>
            </m:box>
          </m:e>
        </m:rad>
      </m:oMath>
      <w:r w:rsidR="00444831" w:rsidRPr="003E7C8C">
        <w:rPr>
          <w:sz w:val="20"/>
          <w:szCs w:val="20"/>
        </w:rPr>
        <w:t xml:space="preserve"> </w:t>
      </w:r>
    </w:p>
    <w:p w14:paraId="46BD35E4" w14:textId="77777777" w:rsidR="00444831" w:rsidRPr="003E7C8C" w:rsidRDefault="00444831" w:rsidP="006B4CCB">
      <w:pPr>
        <w:spacing w:line="480" w:lineRule="auto"/>
        <w:jc w:val="both"/>
        <w:rPr>
          <w:sz w:val="20"/>
          <w:szCs w:val="20"/>
        </w:rPr>
      </w:pPr>
      <w:r w:rsidRPr="003E7C8C">
        <w:rPr>
          <w:sz w:val="20"/>
          <w:szCs w:val="20"/>
        </w:rPr>
        <w:t xml:space="preserve">so that overall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a</m:t>
            </m:r>
          </m:sub>
          <m:sup>
            <m:r>
              <w:rPr>
                <w:rFonts w:ascii="Cambria Math" w:hAnsi="Cambria Math"/>
                <w:sz w:val="20"/>
                <w:szCs w:val="20"/>
              </w:rPr>
              <m:t>2</m:t>
            </m:r>
          </m:sup>
        </m:sSubSup>
      </m:oMath>
      <w:r w:rsidRPr="003E7C8C">
        <w:rPr>
          <w:sz w:val="20"/>
          <w:szCs w:val="20"/>
        </w:rPr>
        <w:t xml:space="preserve"> remained constant. Environmental variance and heritability were regulated as previously stated. Different PGVE-values for the major locus were tested in different scenarios (0%, 1%, 5%, 10% and 20%). Because the previously used heritability of 0.25 was retained, this translates to 0%, 0.25%, 1.25%, 2.5%, and 5% </w:t>
      </w:r>
      <w:r w:rsidRPr="003E7C8C">
        <w:rPr>
          <w:sz w:val="20"/>
          <w:szCs w:val="20"/>
        </w:rPr>
        <w:lastRenderedPageBreak/>
        <w:t xml:space="preserve">in terms of PVE. It should be noted that PVE = 0% (no major locus effect) would be equivalent to the conventional genomic architecture and a PVE at 0.25% would only imply that the locus would mainly fall within the conventional range of the negative exponential sampling distribution (i.e. a minor effect locus). However, a major locus with a PVE at 1.25% would equal the very strongest QTL that sampling of 500 effects from a negative exponential distribution could produce and major loci with PVE-values at 2.5% and 5% would be considerably stronger than what could be thus sampled with any reasonable likelihood (i.e. a true major QTL).     </w:t>
      </w:r>
    </w:p>
    <w:p w14:paraId="63C94212" w14:textId="77777777" w:rsidR="00444831" w:rsidRPr="003E7C8C" w:rsidRDefault="00444831" w:rsidP="006B4CCB">
      <w:pPr>
        <w:spacing w:line="480" w:lineRule="auto"/>
        <w:jc w:val="both"/>
        <w:rPr>
          <w:sz w:val="20"/>
          <w:szCs w:val="20"/>
        </w:rPr>
      </w:pPr>
      <w:r w:rsidRPr="003E7C8C">
        <w:rPr>
          <w:sz w:val="20"/>
          <w:szCs w:val="20"/>
        </w:rPr>
        <w:t xml:space="preserve">Using all these genomic architecture setups, with the PVE of the major locus varying from 0% (fake) to 5% (true major QTL), the conventional genomic prediction procedure was first simulated. As the major locus was not assigned as being genotyped in the conventional cross-validation procedure, these analyses represent the situation where a major locus (of various strengths) is present in the genome but is missed in genotyping and thus not directly utilized by the GP models. But in addition to this, a second set of cross-validation analyses were made where the major QTL was indeed genotyped and directly used as a fixed regression term in model training and application. This would represent the situation where the QTL was indeed observed and subsequently utilized in GP model training. It should be noted that the context of this strategy varies according to the relative strength (PVE) of the major locus, ranging from the attempted use of a locus that is not truly causal or major (PVE 0-0.25%) to the utilization of a true major-effect locus (PGVE 2.5-5%). Consequently, no GWAS analysis was performed to determine which locus would be used for model training and cross-validation in contrast to the real-data analysis. </w:t>
      </w:r>
    </w:p>
    <w:p w14:paraId="5E1CC9DB" w14:textId="77777777" w:rsidR="003B42E5" w:rsidRDefault="003B42E5" w:rsidP="006B4CCB">
      <w:pPr>
        <w:spacing w:line="480" w:lineRule="auto"/>
      </w:pPr>
    </w:p>
    <w:p w14:paraId="62135CAF" w14:textId="7FB19553" w:rsidR="003B42E5" w:rsidRPr="00BA0583" w:rsidRDefault="005675C7" w:rsidP="006B4CCB">
      <w:pPr>
        <w:spacing w:line="480" w:lineRule="auto"/>
        <w:rPr>
          <w:sz w:val="20"/>
          <w:szCs w:val="20"/>
        </w:rPr>
      </w:pPr>
      <w:r w:rsidRPr="00BA0583">
        <w:rPr>
          <w:sz w:val="20"/>
          <w:szCs w:val="20"/>
        </w:rPr>
        <w:t>References</w:t>
      </w:r>
    </w:p>
    <w:p w14:paraId="6A1254A3" w14:textId="77777777" w:rsidR="003B42E5" w:rsidRPr="00BA0583" w:rsidRDefault="003B42E5" w:rsidP="003B42E5">
      <w:pPr>
        <w:pStyle w:val="EndNoteBibliography"/>
        <w:ind w:left="720" w:hanging="720"/>
        <w:rPr>
          <w:sz w:val="20"/>
          <w:szCs w:val="20"/>
        </w:rPr>
      </w:pPr>
      <w:r w:rsidRPr="00BA0583">
        <w:rPr>
          <w:sz w:val="20"/>
          <w:szCs w:val="20"/>
        </w:rPr>
        <w:fldChar w:fldCharType="begin"/>
      </w:r>
      <w:r w:rsidRPr="00BA0583">
        <w:rPr>
          <w:sz w:val="20"/>
          <w:szCs w:val="20"/>
        </w:rPr>
        <w:instrText xml:space="preserve"> ADDIN EN.REFLIST </w:instrText>
      </w:r>
      <w:r w:rsidRPr="00BA0583">
        <w:rPr>
          <w:sz w:val="20"/>
          <w:szCs w:val="20"/>
        </w:rPr>
        <w:fldChar w:fldCharType="separate"/>
      </w:r>
      <w:r w:rsidRPr="00BA0583">
        <w:rPr>
          <w:sz w:val="20"/>
          <w:szCs w:val="20"/>
        </w:rPr>
        <w:t>1.</w:t>
      </w:r>
      <w:r w:rsidRPr="00BA0583">
        <w:rPr>
          <w:sz w:val="20"/>
          <w:szCs w:val="20"/>
        </w:rPr>
        <w:tab/>
        <w:t xml:space="preserve">Mrode RA, Thompson R: </w:t>
      </w:r>
      <w:r w:rsidRPr="00BA0583">
        <w:rPr>
          <w:b/>
          <w:sz w:val="20"/>
          <w:szCs w:val="20"/>
        </w:rPr>
        <w:t>Linear models for the prediction of animal breeding values</w:t>
      </w:r>
      <w:r w:rsidRPr="00BA0583">
        <w:rPr>
          <w:sz w:val="20"/>
          <w:szCs w:val="20"/>
        </w:rPr>
        <w:t>. UK: CABI; 2005.</w:t>
      </w:r>
    </w:p>
    <w:p w14:paraId="7DB69C4E" w14:textId="77777777" w:rsidR="003B42E5" w:rsidRPr="00BA0583" w:rsidRDefault="003B42E5" w:rsidP="003B42E5">
      <w:pPr>
        <w:pStyle w:val="EndNoteBibliography"/>
        <w:ind w:left="720" w:hanging="720"/>
        <w:rPr>
          <w:sz w:val="20"/>
          <w:szCs w:val="20"/>
        </w:rPr>
      </w:pPr>
      <w:r w:rsidRPr="00BA0583">
        <w:rPr>
          <w:sz w:val="20"/>
          <w:szCs w:val="20"/>
        </w:rPr>
        <w:t>2.</w:t>
      </w:r>
      <w:r w:rsidRPr="00BA0583">
        <w:rPr>
          <w:sz w:val="20"/>
          <w:szCs w:val="20"/>
        </w:rPr>
        <w:tab/>
        <w:t xml:space="preserve">Amadeu R: </w:t>
      </w:r>
      <w:r w:rsidRPr="00BA0583">
        <w:rPr>
          <w:b/>
          <w:sz w:val="20"/>
          <w:szCs w:val="20"/>
        </w:rPr>
        <w:t>AGHmatrix: An R package to compute relationship matrices for diploid and autopolyploid species</w:t>
      </w:r>
      <w:r w:rsidRPr="00BA0583">
        <w:rPr>
          <w:sz w:val="20"/>
          <w:szCs w:val="20"/>
        </w:rPr>
        <w:t>. 2021.</w:t>
      </w:r>
    </w:p>
    <w:p w14:paraId="741C155F" w14:textId="77777777" w:rsidR="003B42E5" w:rsidRPr="00BA0583" w:rsidRDefault="003B42E5" w:rsidP="003B42E5">
      <w:pPr>
        <w:pStyle w:val="EndNoteBibliography"/>
        <w:ind w:left="720" w:hanging="720"/>
        <w:rPr>
          <w:sz w:val="20"/>
          <w:szCs w:val="20"/>
        </w:rPr>
      </w:pPr>
      <w:r w:rsidRPr="00BA0583">
        <w:rPr>
          <w:sz w:val="20"/>
          <w:szCs w:val="20"/>
        </w:rPr>
        <w:t>3.</w:t>
      </w:r>
      <w:r w:rsidRPr="00BA0583">
        <w:rPr>
          <w:sz w:val="20"/>
          <w:szCs w:val="20"/>
        </w:rPr>
        <w:tab/>
        <w:t xml:space="preserve">VanRaden PM: </w:t>
      </w:r>
      <w:r w:rsidRPr="00BA0583">
        <w:rPr>
          <w:b/>
          <w:sz w:val="20"/>
          <w:szCs w:val="20"/>
        </w:rPr>
        <w:t>Efficient methods to compute genomic predictions</w:t>
      </w:r>
      <w:r w:rsidRPr="00BA0583">
        <w:rPr>
          <w:sz w:val="20"/>
          <w:szCs w:val="20"/>
        </w:rPr>
        <w:t xml:space="preserve">. </w:t>
      </w:r>
      <w:r w:rsidRPr="00BA0583">
        <w:rPr>
          <w:i/>
          <w:sz w:val="20"/>
          <w:szCs w:val="20"/>
        </w:rPr>
        <w:t xml:space="preserve">J Dairy Sci </w:t>
      </w:r>
      <w:r w:rsidRPr="00BA0583">
        <w:rPr>
          <w:sz w:val="20"/>
          <w:szCs w:val="20"/>
        </w:rPr>
        <w:t xml:space="preserve">2008, </w:t>
      </w:r>
      <w:r w:rsidRPr="00BA0583">
        <w:rPr>
          <w:b/>
          <w:sz w:val="20"/>
          <w:szCs w:val="20"/>
        </w:rPr>
        <w:t>91</w:t>
      </w:r>
      <w:r w:rsidRPr="00BA0583">
        <w:rPr>
          <w:sz w:val="20"/>
          <w:szCs w:val="20"/>
        </w:rPr>
        <w:t>(11):4414−4423.</w:t>
      </w:r>
    </w:p>
    <w:p w14:paraId="0D9F9CF5" w14:textId="77777777" w:rsidR="003B42E5" w:rsidRPr="00BA0583" w:rsidRDefault="003B42E5" w:rsidP="003B42E5">
      <w:pPr>
        <w:pStyle w:val="EndNoteBibliography"/>
        <w:ind w:left="720" w:hanging="720"/>
        <w:rPr>
          <w:sz w:val="20"/>
          <w:szCs w:val="20"/>
        </w:rPr>
      </w:pPr>
      <w:r w:rsidRPr="00BA0583">
        <w:rPr>
          <w:sz w:val="20"/>
          <w:szCs w:val="20"/>
        </w:rPr>
        <w:t>4.</w:t>
      </w:r>
      <w:r w:rsidRPr="00BA0583">
        <w:rPr>
          <w:sz w:val="20"/>
          <w:szCs w:val="20"/>
        </w:rPr>
        <w:tab/>
        <w:t xml:space="preserve">Vitezica ZG, Varona L, Legarra A: </w:t>
      </w:r>
      <w:r w:rsidRPr="00BA0583">
        <w:rPr>
          <w:b/>
          <w:sz w:val="20"/>
          <w:szCs w:val="20"/>
        </w:rPr>
        <w:t>On the additive and dominant variance and covariance of individuals within the genomic selection scope</w:t>
      </w:r>
      <w:r w:rsidRPr="00BA0583">
        <w:rPr>
          <w:sz w:val="20"/>
          <w:szCs w:val="20"/>
        </w:rPr>
        <w:t xml:space="preserve">. </w:t>
      </w:r>
      <w:r w:rsidRPr="00BA0583">
        <w:rPr>
          <w:i/>
          <w:sz w:val="20"/>
          <w:szCs w:val="20"/>
        </w:rPr>
        <w:t xml:space="preserve">Genetics </w:t>
      </w:r>
      <w:r w:rsidRPr="00BA0583">
        <w:rPr>
          <w:sz w:val="20"/>
          <w:szCs w:val="20"/>
        </w:rPr>
        <w:t xml:space="preserve">2013, </w:t>
      </w:r>
      <w:r w:rsidRPr="00BA0583">
        <w:rPr>
          <w:b/>
          <w:sz w:val="20"/>
          <w:szCs w:val="20"/>
        </w:rPr>
        <w:t>195</w:t>
      </w:r>
      <w:r w:rsidRPr="00BA0583">
        <w:rPr>
          <w:sz w:val="20"/>
          <w:szCs w:val="20"/>
        </w:rPr>
        <w:t>(4):1223−1230.</w:t>
      </w:r>
    </w:p>
    <w:p w14:paraId="4CCF5634" w14:textId="77777777" w:rsidR="003B42E5" w:rsidRPr="00BA0583" w:rsidRDefault="003B42E5" w:rsidP="003B42E5">
      <w:pPr>
        <w:pStyle w:val="EndNoteBibliography"/>
        <w:ind w:left="720" w:hanging="720"/>
        <w:rPr>
          <w:sz w:val="20"/>
          <w:szCs w:val="20"/>
        </w:rPr>
      </w:pPr>
      <w:r w:rsidRPr="00BA0583">
        <w:rPr>
          <w:sz w:val="20"/>
          <w:szCs w:val="20"/>
        </w:rPr>
        <w:t>5.</w:t>
      </w:r>
      <w:r w:rsidRPr="00BA0583">
        <w:rPr>
          <w:sz w:val="20"/>
          <w:szCs w:val="20"/>
        </w:rPr>
        <w:tab/>
        <w:t xml:space="preserve">Vitezica ZG, Reverter A, Herring W, Legarra A: </w:t>
      </w:r>
      <w:r w:rsidRPr="00BA0583">
        <w:rPr>
          <w:b/>
          <w:sz w:val="20"/>
          <w:szCs w:val="20"/>
        </w:rPr>
        <w:t>Dominance and epistatic genetic variances for litter size in pigs using genomic models</w:t>
      </w:r>
      <w:r w:rsidRPr="00BA0583">
        <w:rPr>
          <w:sz w:val="20"/>
          <w:szCs w:val="20"/>
        </w:rPr>
        <w:t xml:space="preserve">. </w:t>
      </w:r>
      <w:r w:rsidRPr="00BA0583">
        <w:rPr>
          <w:i/>
          <w:sz w:val="20"/>
          <w:szCs w:val="20"/>
        </w:rPr>
        <w:t xml:space="preserve">Genet Sel Evol </w:t>
      </w:r>
      <w:r w:rsidRPr="00BA0583">
        <w:rPr>
          <w:sz w:val="20"/>
          <w:szCs w:val="20"/>
        </w:rPr>
        <w:t xml:space="preserve">2018, </w:t>
      </w:r>
      <w:r w:rsidRPr="00BA0583">
        <w:rPr>
          <w:b/>
          <w:sz w:val="20"/>
          <w:szCs w:val="20"/>
        </w:rPr>
        <w:t>50</w:t>
      </w:r>
      <w:r w:rsidRPr="00BA0583">
        <w:rPr>
          <w:sz w:val="20"/>
          <w:szCs w:val="20"/>
        </w:rPr>
        <w:t>(1):71.</w:t>
      </w:r>
    </w:p>
    <w:p w14:paraId="2AFB5E66" w14:textId="77777777" w:rsidR="003B42E5" w:rsidRPr="00BA0583" w:rsidRDefault="003B42E5" w:rsidP="003B42E5">
      <w:pPr>
        <w:pStyle w:val="EndNoteBibliography"/>
        <w:ind w:left="720" w:hanging="720"/>
        <w:rPr>
          <w:sz w:val="20"/>
          <w:szCs w:val="20"/>
        </w:rPr>
      </w:pPr>
      <w:r w:rsidRPr="00BA0583">
        <w:rPr>
          <w:sz w:val="20"/>
          <w:szCs w:val="20"/>
        </w:rPr>
        <w:t>6.</w:t>
      </w:r>
      <w:r w:rsidRPr="00BA0583">
        <w:rPr>
          <w:sz w:val="20"/>
          <w:szCs w:val="20"/>
        </w:rPr>
        <w:tab/>
        <w:t xml:space="preserve">Sanchez L, Yanchuk AA, King JN: </w:t>
      </w:r>
      <w:r w:rsidRPr="00BA0583">
        <w:rPr>
          <w:b/>
          <w:sz w:val="20"/>
          <w:szCs w:val="20"/>
        </w:rPr>
        <w:t>Gametic models for multitrait selection schemes to study variance of response and drift under adverse genetic correlations</w:t>
      </w:r>
      <w:r w:rsidRPr="00BA0583">
        <w:rPr>
          <w:sz w:val="20"/>
          <w:szCs w:val="20"/>
        </w:rPr>
        <w:t xml:space="preserve">. </w:t>
      </w:r>
      <w:r w:rsidRPr="00BA0583">
        <w:rPr>
          <w:i/>
          <w:sz w:val="20"/>
          <w:szCs w:val="20"/>
        </w:rPr>
        <w:t xml:space="preserve">Tree Genet Genomes </w:t>
      </w:r>
      <w:r w:rsidRPr="00BA0583">
        <w:rPr>
          <w:sz w:val="20"/>
          <w:szCs w:val="20"/>
        </w:rPr>
        <w:t xml:space="preserve">2008, </w:t>
      </w:r>
      <w:r w:rsidRPr="00BA0583">
        <w:rPr>
          <w:b/>
          <w:sz w:val="20"/>
          <w:szCs w:val="20"/>
        </w:rPr>
        <w:t>4</w:t>
      </w:r>
      <w:r w:rsidRPr="00BA0583">
        <w:rPr>
          <w:sz w:val="20"/>
          <w:szCs w:val="20"/>
        </w:rPr>
        <w:t>(2):201-212.</w:t>
      </w:r>
    </w:p>
    <w:p w14:paraId="6BED3922" w14:textId="77777777" w:rsidR="003B42E5" w:rsidRPr="00BA0583" w:rsidRDefault="003B42E5" w:rsidP="003B42E5">
      <w:pPr>
        <w:pStyle w:val="EndNoteBibliography"/>
        <w:ind w:left="720" w:hanging="720"/>
        <w:rPr>
          <w:sz w:val="20"/>
          <w:szCs w:val="20"/>
        </w:rPr>
      </w:pPr>
      <w:r w:rsidRPr="00BA0583">
        <w:rPr>
          <w:sz w:val="20"/>
          <w:szCs w:val="20"/>
        </w:rPr>
        <w:t>7.</w:t>
      </w:r>
      <w:r w:rsidRPr="00BA0583">
        <w:rPr>
          <w:sz w:val="20"/>
          <w:szCs w:val="20"/>
        </w:rPr>
        <w:tab/>
        <w:t xml:space="preserve">Bernhardsson C, Zan Y, Chen Z, Ingvarsson PK, Wu HX: </w:t>
      </w:r>
      <w:r w:rsidRPr="00BA0583">
        <w:rPr>
          <w:b/>
          <w:sz w:val="20"/>
          <w:szCs w:val="20"/>
        </w:rPr>
        <w:t>Development of a highly efficient 50K SNP genotyping array for the large and complex genome of Norway spruce (</w:t>
      </w:r>
      <w:r w:rsidRPr="00BA0583">
        <w:rPr>
          <w:b/>
          <w:i/>
          <w:sz w:val="20"/>
          <w:szCs w:val="20"/>
        </w:rPr>
        <w:t>Picea abies</w:t>
      </w:r>
      <w:r w:rsidRPr="00BA0583">
        <w:rPr>
          <w:b/>
          <w:sz w:val="20"/>
          <w:szCs w:val="20"/>
        </w:rPr>
        <w:t xml:space="preserve"> L. Karst) by whole genome re‐sequencing and its transferability to other spruce species</w:t>
      </w:r>
      <w:r w:rsidRPr="00BA0583">
        <w:rPr>
          <w:sz w:val="20"/>
          <w:szCs w:val="20"/>
        </w:rPr>
        <w:t xml:space="preserve">. </w:t>
      </w:r>
      <w:r w:rsidRPr="00BA0583">
        <w:rPr>
          <w:i/>
          <w:sz w:val="20"/>
          <w:szCs w:val="20"/>
        </w:rPr>
        <w:t xml:space="preserve">Mol Ecol Resour </w:t>
      </w:r>
      <w:r w:rsidRPr="00BA0583">
        <w:rPr>
          <w:sz w:val="20"/>
          <w:szCs w:val="20"/>
        </w:rPr>
        <w:t xml:space="preserve">2021, </w:t>
      </w:r>
      <w:r w:rsidRPr="00BA0583">
        <w:rPr>
          <w:b/>
          <w:sz w:val="20"/>
          <w:szCs w:val="20"/>
        </w:rPr>
        <w:t>21</w:t>
      </w:r>
      <w:r w:rsidRPr="00BA0583">
        <w:rPr>
          <w:sz w:val="20"/>
          <w:szCs w:val="20"/>
        </w:rPr>
        <w:t>(3):880–896.</w:t>
      </w:r>
    </w:p>
    <w:p w14:paraId="6A85D767" w14:textId="77777777" w:rsidR="003B42E5" w:rsidRPr="00BA0583" w:rsidRDefault="003B42E5" w:rsidP="003B42E5">
      <w:pPr>
        <w:pStyle w:val="EndNoteBibliography"/>
        <w:ind w:left="720" w:hanging="720"/>
        <w:rPr>
          <w:sz w:val="20"/>
          <w:szCs w:val="20"/>
        </w:rPr>
      </w:pPr>
      <w:r w:rsidRPr="00BA0583">
        <w:rPr>
          <w:sz w:val="20"/>
          <w:szCs w:val="20"/>
        </w:rPr>
        <w:t>8.</w:t>
      </w:r>
      <w:r w:rsidRPr="00BA0583">
        <w:rPr>
          <w:sz w:val="20"/>
          <w:szCs w:val="20"/>
        </w:rPr>
        <w:tab/>
        <w:t xml:space="preserve">Hill WG, Goddard ME, Visscher PM: </w:t>
      </w:r>
      <w:r w:rsidRPr="00BA0583">
        <w:rPr>
          <w:b/>
          <w:sz w:val="20"/>
          <w:szCs w:val="20"/>
        </w:rPr>
        <w:t>Data and theory point to mainly additive genetic variance for complex traits</w:t>
      </w:r>
      <w:r w:rsidRPr="00BA0583">
        <w:rPr>
          <w:sz w:val="20"/>
          <w:szCs w:val="20"/>
        </w:rPr>
        <w:t xml:space="preserve">. </w:t>
      </w:r>
      <w:r w:rsidRPr="00BA0583">
        <w:rPr>
          <w:i/>
          <w:sz w:val="20"/>
          <w:szCs w:val="20"/>
        </w:rPr>
        <w:t xml:space="preserve">PLOS Genet </w:t>
      </w:r>
      <w:r w:rsidRPr="00BA0583">
        <w:rPr>
          <w:sz w:val="20"/>
          <w:szCs w:val="20"/>
        </w:rPr>
        <w:t xml:space="preserve">2008, </w:t>
      </w:r>
      <w:r w:rsidRPr="00BA0583">
        <w:rPr>
          <w:b/>
          <w:sz w:val="20"/>
          <w:szCs w:val="20"/>
        </w:rPr>
        <w:t>4</w:t>
      </w:r>
      <w:r w:rsidRPr="00BA0583">
        <w:rPr>
          <w:sz w:val="20"/>
          <w:szCs w:val="20"/>
        </w:rPr>
        <w:t>(2):e1000008.</w:t>
      </w:r>
    </w:p>
    <w:p w14:paraId="049C374A" w14:textId="77777777" w:rsidR="003B42E5" w:rsidRPr="00BA0583" w:rsidRDefault="003B42E5" w:rsidP="003B42E5">
      <w:pPr>
        <w:pStyle w:val="EndNoteBibliography"/>
        <w:ind w:left="720" w:hanging="720"/>
        <w:rPr>
          <w:sz w:val="20"/>
          <w:szCs w:val="20"/>
        </w:rPr>
      </w:pPr>
      <w:r w:rsidRPr="00BA0583">
        <w:rPr>
          <w:sz w:val="20"/>
          <w:szCs w:val="20"/>
        </w:rPr>
        <w:lastRenderedPageBreak/>
        <w:t>9.</w:t>
      </w:r>
      <w:r w:rsidRPr="00BA0583">
        <w:rPr>
          <w:sz w:val="20"/>
          <w:szCs w:val="20"/>
        </w:rPr>
        <w:tab/>
        <w:t xml:space="preserve">Hall D, Hallingbäck HR, Wu HX: </w:t>
      </w:r>
      <w:r w:rsidRPr="00BA0583">
        <w:rPr>
          <w:b/>
          <w:sz w:val="20"/>
          <w:szCs w:val="20"/>
        </w:rPr>
        <w:t>Estimation of number and size of QTL effects in forest tree traits</w:t>
      </w:r>
      <w:r w:rsidRPr="00BA0583">
        <w:rPr>
          <w:sz w:val="20"/>
          <w:szCs w:val="20"/>
        </w:rPr>
        <w:t xml:space="preserve">. </w:t>
      </w:r>
      <w:r w:rsidRPr="00BA0583">
        <w:rPr>
          <w:i/>
          <w:sz w:val="20"/>
          <w:szCs w:val="20"/>
        </w:rPr>
        <w:t xml:space="preserve">Tree Genet Genomes </w:t>
      </w:r>
      <w:r w:rsidRPr="00BA0583">
        <w:rPr>
          <w:sz w:val="20"/>
          <w:szCs w:val="20"/>
        </w:rPr>
        <w:t xml:space="preserve">2016, </w:t>
      </w:r>
      <w:r w:rsidRPr="00BA0583">
        <w:rPr>
          <w:b/>
          <w:sz w:val="20"/>
          <w:szCs w:val="20"/>
        </w:rPr>
        <w:t>12</w:t>
      </w:r>
      <w:r w:rsidRPr="00BA0583">
        <w:rPr>
          <w:sz w:val="20"/>
          <w:szCs w:val="20"/>
        </w:rPr>
        <w:t>(6):110.</w:t>
      </w:r>
    </w:p>
    <w:p w14:paraId="75763DAE" w14:textId="77777777" w:rsidR="003B42E5" w:rsidRPr="00BA0583" w:rsidRDefault="003B42E5" w:rsidP="003B42E5">
      <w:pPr>
        <w:pStyle w:val="EndNoteBibliography"/>
        <w:ind w:left="720" w:hanging="720"/>
        <w:rPr>
          <w:sz w:val="20"/>
          <w:szCs w:val="20"/>
        </w:rPr>
      </w:pPr>
      <w:r w:rsidRPr="00BA0583">
        <w:rPr>
          <w:sz w:val="20"/>
          <w:szCs w:val="20"/>
        </w:rPr>
        <w:t>10.</w:t>
      </w:r>
      <w:r w:rsidRPr="00BA0583">
        <w:rPr>
          <w:sz w:val="20"/>
          <w:szCs w:val="20"/>
        </w:rPr>
        <w:tab/>
        <w:t xml:space="preserve">Lynch M, Walsh B: </w:t>
      </w:r>
      <w:r w:rsidRPr="00BA0583">
        <w:rPr>
          <w:b/>
          <w:sz w:val="20"/>
          <w:szCs w:val="20"/>
        </w:rPr>
        <w:t>Genetics and analysis of quantitative traits</w:t>
      </w:r>
      <w:r w:rsidRPr="00BA0583">
        <w:rPr>
          <w:sz w:val="20"/>
          <w:szCs w:val="20"/>
        </w:rPr>
        <w:t>. 1998.</w:t>
      </w:r>
    </w:p>
    <w:p w14:paraId="52F855A7" w14:textId="7801BB2A" w:rsidR="00444831" w:rsidRDefault="003B42E5" w:rsidP="006B4CCB">
      <w:pPr>
        <w:spacing w:line="480" w:lineRule="auto"/>
      </w:pPr>
      <w:r w:rsidRPr="00BA0583">
        <w:rPr>
          <w:sz w:val="20"/>
          <w:szCs w:val="20"/>
        </w:rPr>
        <w:fldChar w:fldCharType="end"/>
      </w:r>
    </w:p>
    <w:sectPr w:rsidR="00444831" w:rsidSect="00E955C5">
      <w:footerReference w:type="even" r:id="rId7"/>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DA14" w14:textId="77777777" w:rsidR="0048009F" w:rsidRDefault="0048009F" w:rsidP="00E955C5">
      <w:r>
        <w:separator/>
      </w:r>
    </w:p>
  </w:endnote>
  <w:endnote w:type="continuationSeparator" w:id="0">
    <w:p w14:paraId="67301EFF" w14:textId="77777777" w:rsidR="0048009F" w:rsidRDefault="0048009F" w:rsidP="00E95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8973800"/>
      <w:docPartObj>
        <w:docPartGallery w:val="Page Numbers (Bottom of Page)"/>
        <w:docPartUnique/>
      </w:docPartObj>
    </w:sdtPr>
    <w:sdtContent>
      <w:p w14:paraId="7955C36D" w14:textId="5EADC999" w:rsidR="00E955C5" w:rsidRDefault="00E955C5" w:rsidP="006B16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478F6A" w14:textId="77777777" w:rsidR="00E955C5" w:rsidRDefault="00E95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185174"/>
      <w:docPartObj>
        <w:docPartGallery w:val="Page Numbers (Bottom of Page)"/>
        <w:docPartUnique/>
      </w:docPartObj>
    </w:sdtPr>
    <w:sdtContent>
      <w:p w14:paraId="5D3173AC" w14:textId="3F0FE4D7" w:rsidR="00E955C5" w:rsidRDefault="00E955C5" w:rsidP="006B16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AA815C" w14:textId="77777777" w:rsidR="00E955C5" w:rsidRDefault="00E95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332E6" w14:textId="77777777" w:rsidR="0048009F" w:rsidRDefault="0048009F" w:rsidP="00E955C5">
      <w:r>
        <w:separator/>
      </w:r>
    </w:p>
  </w:footnote>
  <w:footnote w:type="continuationSeparator" w:id="0">
    <w:p w14:paraId="73A0ACAE" w14:textId="77777777" w:rsidR="0048009F" w:rsidRDefault="0048009F" w:rsidP="00E955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twRiQ0NLQwsDYyUdpeDU4uLM/DyQAsNaAIWWitMsAAAA"/>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eddp5e0adersewxf5pxwafzr5zdze9prr2&quot;&gt;research_paper Copy_2021_05_12-Converted&lt;record-ids&gt;&lt;item&gt;2188&lt;/item&gt;&lt;item&gt;2226&lt;/item&gt;&lt;item&gt;3845&lt;/item&gt;&lt;item&gt;3880&lt;/item&gt;&lt;item&gt;4246&lt;/item&gt;&lt;item&gt;4629&lt;/item&gt;&lt;item&gt;4632&lt;/item&gt;&lt;item&gt;5392&lt;/item&gt;&lt;item&gt;5834&lt;/item&gt;&lt;item&gt;5928&lt;/item&gt;&lt;/record-ids&gt;&lt;/item&gt;&lt;/Libraries&gt;"/>
  </w:docVars>
  <w:rsids>
    <w:rsidRoot w:val="00444831"/>
    <w:rsid w:val="001A2CDB"/>
    <w:rsid w:val="003B42E5"/>
    <w:rsid w:val="00444831"/>
    <w:rsid w:val="0048009F"/>
    <w:rsid w:val="005675C7"/>
    <w:rsid w:val="005A4D30"/>
    <w:rsid w:val="006B4CCB"/>
    <w:rsid w:val="006E3B95"/>
    <w:rsid w:val="00A53C20"/>
    <w:rsid w:val="00A90663"/>
    <w:rsid w:val="00B22C18"/>
    <w:rsid w:val="00BA0583"/>
    <w:rsid w:val="00BF7051"/>
    <w:rsid w:val="00E6368D"/>
    <w:rsid w:val="00E955C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7E74F"/>
  <w15:chartTrackingRefBased/>
  <w15:docId w15:val="{6B21297D-F180-1145-9C04-B760418A2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831"/>
    <w:rPr>
      <w:rFonts w:ascii="Times New Roman" w:eastAsia="Times New Roman" w:hAnsi="Times New Roman"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955C5"/>
  </w:style>
  <w:style w:type="paragraph" w:styleId="Footer">
    <w:name w:val="footer"/>
    <w:basedOn w:val="Normal"/>
    <w:link w:val="FooterChar"/>
    <w:uiPriority w:val="99"/>
    <w:unhideWhenUsed/>
    <w:rsid w:val="00E955C5"/>
    <w:pPr>
      <w:tabs>
        <w:tab w:val="center" w:pos="4513"/>
        <w:tab w:val="right" w:pos="9026"/>
      </w:tabs>
    </w:pPr>
  </w:style>
  <w:style w:type="character" w:customStyle="1" w:styleId="FooterChar">
    <w:name w:val="Footer Char"/>
    <w:basedOn w:val="DefaultParagraphFont"/>
    <w:link w:val="Footer"/>
    <w:uiPriority w:val="99"/>
    <w:rsid w:val="00E955C5"/>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E955C5"/>
  </w:style>
  <w:style w:type="character" w:styleId="CommentReference">
    <w:name w:val="annotation reference"/>
    <w:basedOn w:val="DefaultParagraphFont"/>
    <w:uiPriority w:val="99"/>
    <w:semiHidden/>
    <w:unhideWhenUsed/>
    <w:rsid w:val="00E6368D"/>
    <w:rPr>
      <w:sz w:val="16"/>
      <w:szCs w:val="16"/>
    </w:rPr>
  </w:style>
  <w:style w:type="paragraph" w:styleId="CommentText">
    <w:name w:val="annotation text"/>
    <w:basedOn w:val="Normal"/>
    <w:link w:val="CommentTextChar"/>
    <w:uiPriority w:val="99"/>
    <w:semiHidden/>
    <w:unhideWhenUsed/>
    <w:rsid w:val="00E6368D"/>
    <w:rPr>
      <w:sz w:val="20"/>
      <w:szCs w:val="20"/>
    </w:rPr>
  </w:style>
  <w:style w:type="character" w:customStyle="1" w:styleId="CommentTextChar">
    <w:name w:val="Comment Text Char"/>
    <w:basedOn w:val="DefaultParagraphFont"/>
    <w:link w:val="CommentText"/>
    <w:uiPriority w:val="99"/>
    <w:semiHidden/>
    <w:rsid w:val="00E6368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368D"/>
    <w:rPr>
      <w:b/>
      <w:bCs/>
    </w:rPr>
  </w:style>
  <w:style w:type="character" w:customStyle="1" w:styleId="CommentSubjectChar">
    <w:name w:val="Comment Subject Char"/>
    <w:basedOn w:val="CommentTextChar"/>
    <w:link w:val="CommentSubject"/>
    <w:uiPriority w:val="99"/>
    <w:semiHidden/>
    <w:rsid w:val="00E6368D"/>
    <w:rPr>
      <w:rFonts w:ascii="Times New Roman" w:eastAsia="Times New Roman" w:hAnsi="Times New Roman" w:cs="Times New Roman"/>
      <w:b/>
      <w:bCs/>
      <w:kern w:val="0"/>
      <w:sz w:val="20"/>
      <w:szCs w:val="20"/>
      <w14:ligatures w14:val="none"/>
    </w:rPr>
  </w:style>
  <w:style w:type="paragraph" w:customStyle="1" w:styleId="EndNoteBibliographyTitle">
    <w:name w:val="EndNote Bibliography Title"/>
    <w:basedOn w:val="Normal"/>
    <w:link w:val="EndNoteBibliographyTitleChar"/>
    <w:rsid w:val="003B42E5"/>
    <w:pPr>
      <w:jc w:val="center"/>
    </w:pPr>
    <w:rPr>
      <w:noProof/>
    </w:rPr>
  </w:style>
  <w:style w:type="character" w:customStyle="1" w:styleId="EndNoteBibliographyTitleChar">
    <w:name w:val="EndNote Bibliography Title Char"/>
    <w:basedOn w:val="DefaultParagraphFont"/>
    <w:link w:val="EndNoteBibliographyTitle"/>
    <w:rsid w:val="003B42E5"/>
    <w:rPr>
      <w:rFonts w:ascii="Times New Roman" w:eastAsia="Times New Roman" w:hAnsi="Times New Roman" w:cs="Times New Roman"/>
      <w:noProof/>
      <w:kern w:val="0"/>
      <w14:ligatures w14:val="none"/>
    </w:rPr>
  </w:style>
  <w:style w:type="paragraph" w:customStyle="1" w:styleId="EndNoteBibliography">
    <w:name w:val="EndNote Bibliography"/>
    <w:basedOn w:val="Normal"/>
    <w:link w:val="EndNoteBibliographyChar"/>
    <w:rsid w:val="003B42E5"/>
    <w:rPr>
      <w:noProof/>
    </w:rPr>
  </w:style>
  <w:style w:type="character" w:customStyle="1" w:styleId="EndNoteBibliographyChar">
    <w:name w:val="EndNote Bibliography Char"/>
    <w:basedOn w:val="DefaultParagraphFont"/>
    <w:link w:val="EndNoteBibliography"/>
    <w:rsid w:val="003B42E5"/>
    <w:rPr>
      <w:rFonts w:ascii="Times New Roman" w:eastAsia="Times New Roman" w:hAnsi="Times New Roman" w:cs="Times New Roman"/>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E10F0-C2E9-7446-A62C-F39EA3447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4343</Words>
  <Characters>24761</Characters>
  <Application>Microsoft Office Word</Application>
  <DocSecurity>0</DocSecurity>
  <Lines>206</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Zhiqiang Chen</dc:creator>
  <cp:keywords/>
  <dc:description/>
  <cp:lastModifiedBy>Zhiqiang Chen</cp:lastModifiedBy>
  <cp:revision>9</cp:revision>
  <dcterms:created xsi:type="dcterms:W3CDTF">2022-11-15T16:52:00Z</dcterms:created>
  <dcterms:modified xsi:type="dcterms:W3CDTF">2022-12-02T18:41:00Z</dcterms:modified>
</cp:coreProperties>
</file>