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32"/>
          <w:szCs w:val="40"/>
          <w:lang w:val="en-US" w:eastAsia="zh-CN"/>
        </w:rPr>
        <w:t xml:space="preserve">Supplementary material </w:t>
      </w:r>
    </w:p>
    <w:p>
      <w:pPr>
        <w:bidi w:val="0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Table 1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experimental animal feed formulations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84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tandard diet</w:t>
            </w:r>
          </w:p>
        </w:tc>
        <w:tc>
          <w:tcPr>
            <w:tcW w:w="284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igh-fat diet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Composition of energy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67.4% carbohydrate, 20.6% protein, 12% fat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40% carbohydrate, 15.5% protein, 30% fat, 3% fiber, 4% ash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Calorie content (kcal/g)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3.53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4.76</w:t>
            </w:r>
          </w:p>
        </w:tc>
      </w:tr>
    </w:tbl>
    <w:p>
      <w:pPr>
        <w:bidi w:val="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br w:type="page"/>
      </w:r>
    </w:p>
    <w:p>
      <w:pPr>
        <w:bidi w:val="0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Information on the use of primary antibodie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1180"/>
        <w:gridCol w:w="1320"/>
        <w:gridCol w:w="28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Antibody </w:t>
            </w:r>
          </w:p>
        </w:tc>
        <w:tc>
          <w:tcPr>
            <w:tcW w:w="11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Species </w:t>
            </w:r>
          </w:p>
        </w:tc>
        <w:tc>
          <w:tcPr>
            <w:tcW w:w="13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Dilution </w:t>
            </w:r>
          </w:p>
        </w:tc>
        <w:tc>
          <w:tcPr>
            <w:tcW w:w="28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Source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Transient receptor potential vanilloid 1 (TRPV1)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Abcam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Protein gene product 9.5 (PGP9.5)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Abcam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Calcitonin gene–related peptide (CGRP)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Abcam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Nerve growth factor (NGF)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Glial fibrillary acidic protein (GFAP)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F4/80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1:500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Interleukin 1β (IL-1β)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1:5000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Interleukin 10（IL-10）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1:5000</w:t>
            </w:r>
          </w:p>
        </w:tc>
        <w:tc>
          <w:tcPr>
            <w:tcW w:w="2817" w:type="dxa"/>
            <w:noWrap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Insulin receptors (InsR)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1:2000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Insulin (INS)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1:2000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Fatty acid-binding protein 4 (FABP4)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Monocyte chemoattractant protein 1 (MCP-1)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Signalway Antibody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Peroxisome proliferator-activated receptor γ  (PPAR-γ)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1:500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Vascular endothelial growth factor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VEGF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Mouse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1:500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Choline acetyltransferase (ChAT)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Mouse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Tyrosine hydroxylase protein(TH）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Mouse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500</w:t>
            </w:r>
          </w:p>
        </w:tc>
        <w:tc>
          <w:tcPr>
            <w:tcW w:w="2817" w:type="dxa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Santa Cruz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GAPDH</w:t>
            </w:r>
          </w:p>
        </w:tc>
        <w:tc>
          <w:tcPr>
            <w:tcW w:w="118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1:10000</w:t>
            </w:r>
          </w:p>
        </w:tc>
        <w:tc>
          <w:tcPr>
            <w:tcW w:w="2817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Cell Signaling Technology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05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Vinculin</w:t>
            </w:r>
          </w:p>
        </w:tc>
        <w:tc>
          <w:tcPr>
            <w:tcW w:w="118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Rabbit</w:t>
            </w:r>
          </w:p>
        </w:tc>
        <w:tc>
          <w:tcPr>
            <w:tcW w:w="1320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1:2000</w:t>
            </w:r>
          </w:p>
        </w:tc>
        <w:tc>
          <w:tcPr>
            <w:tcW w:w="2817" w:type="dxa"/>
            <w:vAlign w:val="top"/>
          </w:tcPr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Abcam</w:t>
            </w:r>
          </w:p>
        </w:tc>
      </w:tr>
    </w:tbl>
    <w:p>
      <w:pPr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br w:type="page"/>
      </w:r>
    </w:p>
    <w:p>
      <w:pPr>
        <w:bidi w:val="0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drawing>
          <wp:inline distT="0" distB="0" distL="114300" distR="114300">
            <wp:extent cx="5266055" cy="1604645"/>
            <wp:effectExtent l="0" t="0" r="6985" b="10795"/>
            <wp:docPr id="2" name="图片 2" descr="Supplementary Fig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.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Fig.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Position diagram of the pancreatic bile duct.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)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Diagram of pancreas intreductral injection.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)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 pancreatic duct and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)</w:t>
      </w:r>
      <w:r>
        <w:rPr>
          <w:rFonts w:hint="default" w:ascii="Times New Roman" w:hAnsi="Times New Roman" w:cs="Times New Roman"/>
          <w:sz w:val="28"/>
          <w:szCs w:val="28"/>
        </w:rPr>
        <w:t xml:space="preserve"> its branches are marked by Pontamine Sky Blue 6BX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28"/>
        </w:rPr>
        <w:br w:type="page"/>
      </w:r>
    </w:p>
    <w:p>
      <w:pPr>
        <w:bidi w:val="0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5264150" cy="2667000"/>
            <wp:effectExtent l="0" t="0" r="8890" b="0"/>
            <wp:docPr id="1" name="图片 1" descr="Supplementary Fig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Fig. 2: </w:t>
      </w:r>
      <w:r>
        <w:rPr>
          <w:rFonts w:hint="default" w:ascii="Times New Roman" w:hAnsi="Times New Roman" w:cs="Times New Roman"/>
          <w:sz w:val="28"/>
          <w:szCs w:val="28"/>
        </w:rPr>
        <w:t xml:space="preserve">Representative HE images of the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subcutaneous adipose tissue </w:t>
      </w:r>
      <w:r>
        <w:rPr>
          <w:rFonts w:hint="default" w:ascii="Times New Roman" w:hAnsi="Times New Roman" w:cs="Times New Roman"/>
          <w:sz w:val="28"/>
          <w:szCs w:val="28"/>
        </w:rPr>
        <w:t xml:space="preserve"> among groups.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A) </w:t>
      </w:r>
      <w:r>
        <w:rPr>
          <w:rFonts w:hint="default" w:ascii="Times New Roman" w:hAnsi="Times New Roman" w:cs="Times New Roman"/>
          <w:sz w:val="28"/>
          <w:szCs w:val="28"/>
        </w:rPr>
        <w:t>Normal control grou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p</w:t>
      </w:r>
      <w:r>
        <w:rPr>
          <w:rFonts w:hint="default" w:ascii="Times New Roman" w:hAnsi="Times New Roman" w:cs="Times New Roman"/>
          <w:sz w:val="28"/>
          <w:szCs w:val="28"/>
        </w:rPr>
        <w:t>,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B) </w:t>
      </w:r>
      <w:r>
        <w:rPr>
          <w:rFonts w:hint="default" w:ascii="Times New Roman" w:hAnsi="Times New Roman" w:cs="Times New Roman"/>
          <w:sz w:val="28"/>
          <w:szCs w:val="28"/>
        </w:rPr>
        <w:t>model group,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C) </w:t>
      </w:r>
      <w:r>
        <w:rPr>
          <w:rFonts w:hint="default" w:ascii="Times New Roman" w:hAnsi="Times New Roman" w:cs="Times New Roman"/>
          <w:sz w:val="28"/>
          <w:szCs w:val="28"/>
        </w:rPr>
        <w:t>EA at ST25 group,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D)</w:t>
      </w:r>
      <w:r>
        <w:rPr>
          <w:rFonts w:hint="default" w:ascii="Times New Roman" w:hAnsi="Times New Roman" w:cs="Times New Roman"/>
          <w:sz w:val="28"/>
          <w:szCs w:val="28"/>
        </w:rPr>
        <w:t xml:space="preserve"> EA at LI11 group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E) </w:t>
      </w:r>
      <w:r>
        <w:rPr>
          <w:rFonts w:hint="default" w:ascii="Times New Roman" w:hAnsi="Times New Roman" w:cs="Times New Roman"/>
          <w:sz w:val="28"/>
          <w:szCs w:val="28"/>
        </w:rPr>
        <w:t>EA at ST37 group. Observed under a microscope (×400 magnification). Scale bar = 50 μm. Five groups share the same scale bar</w:t>
      </w:r>
      <w:r>
        <w:rPr>
          <w:rFonts w:hint="default" w:ascii="Times New Roman" w:hAnsi="Times New Roman" w:cs="Times New Roman"/>
          <w:sz w:val="28"/>
          <w:szCs w:val="28"/>
        </w:rPr>
        <w:br w:type="page"/>
      </w:r>
    </w:p>
    <w:p>
      <w:pPr>
        <w:bidi w:val="0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5266690" cy="3293745"/>
            <wp:effectExtent l="0" t="0" r="6350" b="13335"/>
            <wp:docPr id="4" name="图片 4" descr="Supplementary Fig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.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Fig. 3: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Effects of electroacupuncture (EA) on the microcirculation of pancreas and peripancreatic adipose tissue (PAT).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A)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The difference of pancreatic blood perfusion between the normal group and the model group. Changes in pancreatic blood flow during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(B)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ST25 (Tianshu acupoint)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,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(C)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LI11 (Quchi acupoint), and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D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ST37 (Zusanli acupoint)stimulation in normal rats.</w:t>
      </w:r>
      <w:r>
        <w:rPr>
          <w:rFonts w:hint="eastAsia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Changes in pancreatic blood flow during (Dur)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E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ST25, 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(F)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LI11 and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G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ST37 stimulation in model rats. Changes in PAT blood flow during (Dur)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H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ST25 ,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I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LI11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,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and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J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ST37 stimulation in normal rats. Changes in pancreatic blood flow during</w:t>
      </w:r>
      <w:r>
        <w:rPr>
          <w:rFonts w:hint="eastAsia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K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ST25 ,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L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LI11, and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(M)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ST37 stimulation in model rats.</w:t>
      </w:r>
      <w:r>
        <w:rPr>
          <w:rFonts w:hint="eastAsia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The differences in pancreatic blood perfusion between normal group and model group 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N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)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. PU is the perfusion unit.</w:t>
      </w:r>
    </w:p>
    <w:p>
      <w:pPr>
        <w:bidi w:val="0"/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drawing>
          <wp:inline distT="0" distB="0" distL="114300" distR="114300">
            <wp:extent cx="5267960" cy="2966720"/>
            <wp:effectExtent l="0" t="0" r="5080" b="5080"/>
            <wp:docPr id="8" name="图片 8" descr="Supplementary Fig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.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Fig. 4:</w:t>
      </w:r>
      <w:r>
        <w:rPr>
          <w:rFonts w:hint="eastAsia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TRPV1 mediates electroacupuncture to regulate glucose homeostasis. </w:t>
      </w:r>
      <w:r>
        <w:rPr>
          <w:rFonts w:hint="eastAsia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 xml:space="preserve">(A-B)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Glucose solution (</w:t>
      </w:r>
      <w:r>
        <w:rPr>
          <w:rFonts w:hint="eastAsia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10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g/kg) intraperitoneal injection of blood glucose changes in wild-type (WT) mice and </w:t>
      </w:r>
      <w:r>
        <w:rPr>
          <w:rFonts w:hint="default" w:ascii="Times New Roman" w:hAnsi="Times New Roman" w:eastAsia="华文细黑" w:cs="Times New Roman"/>
          <w:i/>
          <w:iCs/>
          <w:color w:val="000000"/>
          <w:kern w:val="2"/>
          <w:sz w:val="28"/>
          <w:szCs w:val="28"/>
          <w:lang w:val="en-US" w:eastAsia="zh-CN" w:bidi="ar"/>
        </w:rPr>
        <w:t>Trpv1</w:t>
      </w:r>
      <w:r>
        <w:rPr>
          <w:rFonts w:hint="default" w:ascii="Times New Roman" w:hAnsi="Times New Roman" w:eastAsia="华文细黑" w:cs="Times New Roman"/>
          <w:i/>
          <w:iCs/>
          <w:color w:val="000000"/>
          <w:kern w:val="2"/>
          <w:sz w:val="28"/>
          <w:szCs w:val="28"/>
          <w:vertAlign w:val="superscript"/>
          <w:lang w:val="en-US" w:eastAsia="zh-CN" w:bidi="ar"/>
        </w:rPr>
        <w:t>-/-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mice</w:t>
      </w:r>
      <w:r>
        <w:rPr>
          <w:rFonts w:hint="default" w:ascii="Times New Roman" w:hAnsi="Times New Roman" w:eastAsia="华文细黑" w:cs="Times New Roman"/>
          <w:b/>
          <w:bCs/>
          <w:color w:val="000000"/>
          <w:kern w:val="2"/>
          <w:sz w:val="28"/>
          <w:szCs w:val="28"/>
          <w:lang w:val="en-US" w:eastAsia="zh-CN" w:bidi="ar"/>
        </w:rPr>
        <w:t>.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Blood glucose changes after injection of glucose solution (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10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g/kg) in different groups 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 xml:space="preserve">),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with EA at ST25 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 w:bidi="ar"/>
        </w:rPr>
        <w:t xml:space="preserve">).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Results were expressed as the mean ± SEM (n = 6). TRPV1, transient receptor potential vanilloid 1; EA, electroacupuncture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  <w:br w:type="page"/>
      </w:r>
    </w:p>
    <w:p>
      <w:pPr>
        <w:bidi w:val="0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5271770" cy="2087880"/>
            <wp:effectExtent l="0" t="0" r="1270" b="0"/>
            <wp:docPr id="9" name="图片 9" descr="Supplementary Fig.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.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F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ig.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5: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Silencing of </w:t>
      </w:r>
      <w:r>
        <w:rPr>
          <w:rFonts w:hint="default" w:ascii="Times New Roman" w:hAnsi="Times New Roman" w:eastAsia="华文细黑" w:cs="Times New Roman"/>
          <w:i/>
          <w:iCs/>
          <w:color w:val="000000"/>
          <w:kern w:val="2"/>
          <w:sz w:val="28"/>
          <w:szCs w:val="28"/>
          <w:lang w:val="en-US" w:eastAsia="zh-CN" w:bidi="ar"/>
        </w:rPr>
        <w:t>Trpv1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helps prevent lipid deposition.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(A) </w:t>
      </w:r>
      <w:r>
        <w:rPr>
          <w:rFonts w:hint="default" w:ascii="Times New Roman" w:hAnsi="Times New Roman" w:cs="Times New Roman"/>
          <w:sz w:val="28"/>
          <w:szCs w:val="28"/>
        </w:rPr>
        <w:t xml:space="preserve">Wet weight comparison of various adipose tissue after </w:t>
      </w:r>
      <w:r>
        <w:rPr>
          <w:rFonts w:hint="default" w:ascii="Times New Roman" w:hAnsi="Times New Roman" w:eastAsia="华文细黑" w:cs="Times New Roman"/>
          <w:i/>
          <w:iCs/>
          <w:color w:val="000000"/>
          <w:kern w:val="2"/>
          <w:sz w:val="28"/>
          <w:szCs w:val="28"/>
          <w:lang w:val="en-US" w:eastAsia="zh-CN" w:bidi="ar"/>
        </w:rPr>
        <w:t>Trpv1</w:t>
      </w:r>
      <w:r>
        <w:rPr>
          <w:rFonts w:hint="default" w:ascii="Times New Roman" w:hAnsi="Times New Roman" w:cs="Times New Roman"/>
          <w:sz w:val="28"/>
          <w:szCs w:val="28"/>
          <w:vertAlign w:val="superscript"/>
        </w:rPr>
        <w:t>-/-</w:t>
      </w:r>
      <w:r>
        <w:rPr>
          <w:rFonts w:hint="default" w:ascii="Times New Roman" w:hAnsi="Times New Roman" w:cs="Times New Roman"/>
          <w:sz w:val="28"/>
          <w:szCs w:val="28"/>
        </w:rPr>
        <w:t xml:space="preserve"> or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(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)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local chemical ablations of pancreas  Results were expressed as mean ± SEM (n = 7).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eastAsia="华文细黑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P&lt;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0.05 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vs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华文细黑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WT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control, 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eastAsia="华文细黑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P&lt;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0.05 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vs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Trpv1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-/-</w:t>
      </w:r>
      <w:r>
        <w:rPr>
          <w:rFonts w:hint="default" w:ascii="Times New Roman" w:hAnsi="Times New Roma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capsazepine</w:t>
      </w:r>
      <w:r>
        <w:rPr>
          <w:rFonts w:hint="default" w:ascii="Times New Roman" w:hAnsi="Times New Roman" w:cs="Times New Roman"/>
          <w:sz w:val="28"/>
          <w:szCs w:val="28"/>
        </w:rPr>
        <w:t xml:space="preserve"> group. WT, w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il</w:t>
      </w:r>
      <w:r>
        <w:rPr>
          <w:rFonts w:hint="default" w:ascii="Times New Roman" w:hAnsi="Times New Roman" w:cs="Times New Roman"/>
          <w:sz w:val="28"/>
          <w:szCs w:val="28"/>
        </w:rPr>
        <w:t>d type; TRPV1, transient receptor potential vanilloid 1; EA, electroacupuncture at ST25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; iWAT, subcutaneous adipose tissue; eWAT, visceral adipose tissue; PAT,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peripancreatic adipose tissue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br w:type="page"/>
      </w:r>
    </w:p>
    <w:p>
      <w:pPr>
        <w:bidi w:val="0"/>
        <w:rPr>
          <w:rFonts w:hint="eastAsia" w:ascii="Times New Roman" w:hAnsi="Times New Roman" w:eastAsia="华文细黑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drawing>
          <wp:inline distT="0" distB="0" distL="114300" distR="114300">
            <wp:extent cx="5266690" cy="1325880"/>
            <wp:effectExtent l="0" t="0" r="6350" b="0"/>
            <wp:docPr id="10" name="图片 10" descr="Supplementary Fig.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.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Fig.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6: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Effects of electroacupuncture at different acupoints on components of the pancreatic intrinsic nervous system.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(A, B)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Effect of EA on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choline acetyltransferase (ChAT)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,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(A, C) </w:t>
      </w:r>
      <w:r>
        <w:rPr>
          <w:rFonts w:hint="default" w:ascii="Times New Roman" w:hAnsi="Times New Roman" w:cs="Times New Roman"/>
          <w:sz w:val="28"/>
          <w:szCs w:val="28"/>
        </w:rPr>
        <w:t>tyrosine hydroxylase protein (TH)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and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(A, D) </w:t>
      </w:r>
      <w:r>
        <w:rPr>
          <w:rFonts w:hint="default" w:ascii="Times New Roman" w:hAnsi="Times New Roman" w:cs="Times New Roman"/>
          <w:sz w:val="28"/>
          <w:szCs w:val="28"/>
        </w:rPr>
        <w:t xml:space="preserve">pan-neuronal marker protein gene product 9.5 (PGP9.5) expression. Vinculin were used as an internal reference protein, 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eastAsia="华文细黑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P&lt;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0.05 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vs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the normal control, 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eastAsia="华文细黑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P&lt;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0.05 </w:t>
      </w:r>
      <w:r>
        <w:rPr>
          <w:rFonts w:ascii="Times New Roman" w:hAnsi="Times New Roman" w:eastAsia="华文细黑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vs</w:t>
      </w:r>
      <w:r>
        <w:rPr>
          <w:rFonts w:ascii="Times New Roman" w:hAnsi="Times New Roman" w:eastAsia="华文细黑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the model or another treatment group </w:t>
      </w:r>
      <w:r>
        <w:rPr>
          <w:rFonts w:hint="eastAsia" w:ascii="Times New Roman" w:hAnsi="Times New Roman" w:eastAsia="华文细黑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bidi w:val="0"/>
        <w:rPr>
          <w:rFonts w:hint="eastAsia" w:ascii="Times New Roman" w:hAnsi="Times New Roman" w:eastAsia="华文细黑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华文细黑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675" cy="2659380"/>
            <wp:effectExtent l="0" t="0" r="14605" b="7620"/>
            <wp:docPr id="11" name="图片 11" descr="Supplementary Fig.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 Fig.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华文细黑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华文细黑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Fig. 7: </w:t>
      </w:r>
      <w:r>
        <w:rPr>
          <w:rFonts w:hint="default" w:ascii="Times New Roman" w:hAnsi="Times New Roman" w:eastAsia="华文细黑" w:cs="Times New Roman"/>
          <w:color w:val="000000"/>
          <w:kern w:val="2"/>
          <w:sz w:val="28"/>
          <w:szCs w:val="28"/>
          <w:lang w:val="en-US" w:eastAsia="zh-CN" w:bidi="ar"/>
        </w:rPr>
        <w:t>Adaptive changes of pancreatic components in obesity combined with insulin resistance. In obesity combined with insulin resistance, increased inflammation resulting from increased expression of IL-1β could exacerbate damage to pancreatic β cells. The accumulation of lipids caused by HFD also occurred in the pancreas, with abnormal levels of FABP4, PPAR, and other adipose development-related factors. This further aggravated pancreatic endocrine and metabolic disorders. Excessive insulin secretion can lead to abnormal lipolysis, creating a vicious cycle. Following EA treatment, the aforementioned pathological manifestations could be corrected, and EA at ST25 upregulated the expression of IL-10 and regulated the inflammatory balance. TRPV1, transient receptor potential vanilloid 1; CGRP, calcitonin gene-related peptide;IL-1β, interleukin-1β; IL-10, interleukin-10; FABP4, fatty acid binding protein 4; PPAR, peroxisome proliferators-activated receptor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jNTEwYjE5N2RhODk0ZjRkZDMwNThkZDE5MjJjZmYifQ=="/>
  </w:docVars>
  <w:rsids>
    <w:rsidRoot w:val="3F7A43FC"/>
    <w:rsid w:val="044D6878"/>
    <w:rsid w:val="1018349E"/>
    <w:rsid w:val="13DF1AA7"/>
    <w:rsid w:val="216C4D24"/>
    <w:rsid w:val="2A522B7B"/>
    <w:rsid w:val="331B2A17"/>
    <w:rsid w:val="3F7A43FC"/>
    <w:rsid w:val="4BD0065B"/>
    <w:rsid w:val="4D381D3E"/>
    <w:rsid w:val="54F5115A"/>
    <w:rsid w:val="55205B03"/>
    <w:rsid w:val="563F6242"/>
    <w:rsid w:val="606523C7"/>
    <w:rsid w:val="61EE315A"/>
    <w:rsid w:val="664753B0"/>
    <w:rsid w:val="680829C1"/>
    <w:rsid w:val="6A162915"/>
    <w:rsid w:val="6C443BF7"/>
    <w:rsid w:val="6D112D30"/>
    <w:rsid w:val="79C61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styleId="8">
    <w:name w:val="annotation reference"/>
    <w:basedOn w:val="6"/>
    <w:semiHidden/>
    <w:unhideWhenUsed/>
    <w:qFormat/>
    <w:uiPriority w:val="0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727</Words>
  <Characters>4235</Characters>
  <Lines>0</Lines>
  <Paragraphs>0</Paragraphs>
  <TotalTime>6</TotalTime>
  <ScaleCrop>false</ScaleCrop>
  <LinksUpToDate>false</LinksUpToDate>
  <CharactersWithSpaces>4864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2022-10-25T01:06:00Z</dcterms:created>
  <dc:creator>Putin</dc:creator>
  <cp:lastModifiedBy>Putin</cp:lastModifiedBy>
  <dcterms:modified xsi:type="dcterms:W3CDTF">2022-12-06T06:28:17Z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BC67A3F011EE4D49A440260EC75FC4FD</vt:lpwstr>
  </property>
</Properties>
</file>