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91E546" w14:textId="77777777" w:rsidR="00532CD6" w:rsidRPr="006F5EED" w:rsidRDefault="00532CD6" w:rsidP="00532CD6">
      <w:pPr>
        <w:spacing w:line="480" w:lineRule="auto"/>
        <w:rPr>
          <w:rFonts w:ascii="Times New Roman" w:hAnsi="Times New Roman" w:cs="Times New Roman"/>
          <w:i/>
          <w:iCs/>
        </w:rPr>
      </w:pPr>
      <w:r>
        <w:rPr>
          <w:rFonts w:ascii="Times New Roman" w:hAnsi="Times New Roman" w:cs="Times New Roman"/>
          <w:i/>
          <w:iCs/>
        </w:rPr>
        <w:t xml:space="preserve">Correction of </w:t>
      </w:r>
      <w:proofErr w:type="spellStart"/>
      <w:r>
        <w:rPr>
          <w:rFonts w:ascii="Times New Roman" w:hAnsi="Times New Roman" w:cs="Times New Roman"/>
          <w:i/>
          <w:iCs/>
        </w:rPr>
        <w:t>py</w:t>
      </w:r>
      <w:proofErr w:type="spellEnd"/>
      <w:r>
        <w:rPr>
          <w:rFonts w:ascii="Times New Roman" w:hAnsi="Times New Roman" w:cs="Times New Roman"/>
          <w:i/>
          <w:iCs/>
        </w:rPr>
        <w:t>-MBMS instrumental drift (tray effect)</w:t>
      </w:r>
    </w:p>
    <w:p w14:paraId="4115A4F7" w14:textId="77777777" w:rsidR="00532CD6" w:rsidRDefault="00532CD6" w:rsidP="00532CD6">
      <w:pPr>
        <w:spacing w:line="480" w:lineRule="auto"/>
        <w:rPr>
          <w:rFonts w:ascii="Times New Roman" w:hAnsi="Times New Roman" w:cs="Times New Roman"/>
        </w:rPr>
      </w:pPr>
      <w:r>
        <w:rPr>
          <w:rFonts w:ascii="Times New Roman" w:hAnsi="Times New Roman" w:cs="Times New Roman"/>
        </w:rPr>
        <w:t>This uniquely large sample set from a population developed for quantitative genetic analyses required the development of a data analysis workflow that encompassed QC and comprehensive spectral analysis. To assess and correct for the batch effect due to tray, the following linear mixed model was run for every single ion for the six replicated standards:</w:t>
      </w:r>
    </w:p>
    <w:p w14:paraId="76667F34" w14:textId="77777777" w:rsidR="00532CD6" w:rsidRDefault="00532CD6" w:rsidP="00532CD6">
      <w:pPr>
        <w:spacing w:line="480" w:lineRule="auto"/>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i,t,s</m:t>
              </m:r>
            </m:sub>
          </m:sSub>
          <m:r>
            <w:rPr>
              <w:rFonts w:ascii="Cambria Math" w:hAnsi="Cambria Math" w:cs="Times New Roman"/>
            </w:rPr>
            <m:t>= μ+</m:t>
          </m:r>
          <m:sSub>
            <m:sSubPr>
              <m:ctrlPr>
                <w:rPr>
                  <w:rFonts w:ascii="Cambria Math" w:hAnsi="Cambria Math" w:cs="Times New Roman"/>
                  <w:i/>
                </w:rPr>
              </m:ctrlPr>
            </m:sSubPr>
            <m:e>
              <m:r>
                <w:rPr>
                  <w:rFonts w:ascii="Cambria Math" w:hAnsi="Cambria Math" w:cs="Times New Roman"/>
                </w:rPr>
                <m:t>Tray</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Standard</m:t>
              </m:r>
            </m:e>
            <m:sub>
              <m:r>
                <w:rPr>
                  <w:rFonts w:ascii="Cambria Math" w:hAnsi="Cambria Math" w:cs="Times New Roman"/>
                </w:rPr>
                <m:t>s</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Ɛ</m:t>
              </m:r>
            </m:e>
            <m:sub>
              <m:r>
                <w:rPr>
                  <w:rFonts w:ascii="Cambria Math" w:hAnsi="Cambria Math" w:cs="Times New Roman"/>
                </w:rPr>
                <m:t>i,t,s</m:t>
              </m:r>
            </m:sub>
          </m:sSub>
          <m:r>
            <w:rPr>
              <w:rFonts w:ascii="Cambria Math" w:hAnsi="Cambria Math" w:cs="Times New Roman"/>
            </w:rPr>
            <m:t xml:space="preserve"> </m:t>
          </m:r>
        </m:oMath>
      </m:oMathPara>
    </w:p>
    <w:p w14:paraId="552AE82C" w14:textId="77777777" w:rsidR="00532CD6" w:rsidRDefault="00532CD6" w:rsidP="00532CD6">
      <w:pPr>
        <w:spacing w:line="480" w:lineRule="auto"/>
        <w:rPr>
          <w:rFonts w:ascii="Times New Roman" w:hAnsi="Times New Roman" w:cs="Times New Roman"/>
        </w:rPr>
      </w:pPr>
      <w:r>
        <w:rPr>
          <w:rFonts w:ascii="Times New Roman" w:hAnsi="Times New Roman" w:cs="Times New Roman"/>
        </w:rPr>
        <w:t xml:space="preserve">where, </w:t>
      </w:r>
      <w:proofErr w:type="spellStart"/>
      <w:r w:rsidRPr="00075192">
        <w:rPr>
          <w:rFonts w:ascii="Times New Roman" w:hAnsi="Times New Roman" w:cs="Times New Roman"/>
          <w:i/>
        </w:rPr>
        <w:t>y</w:t>
      </w:r>
      <w:r w:rsidRPr="00075192">
        <w:rPr>
          <w:rFonts w:ascii="Times New Roman" w:hAnsi="Times New Roman" w:cs="Times New Roman"/>
          <w:i/>
          <w:vertAlign w:val="subscript"/>
        </w:rPr>
        <w:t>i</w:t>
      </w:r>
      <w:r>
        <w:rPr>
          <w:rFonts w:ascii="Times New Roman" w:hAnsi="Times New Roman" w:cs="Times New Roman"/>
          <w:i/>
          <w:vertAlign w:val="subscript"/>
        </w:rPr>
        <w:t>,s,t</w:t>
      </w:r>
      <w:proofErr w:type="spellEnd"/>
      <w:r>
        <w:rPr>
          <w:rFonts w:ascii="Times New Roman" w:hAnsi="Times New Roman" w:cs="Times New Roman"/>
        </w:rPr>
        <w:t xml:space="preserve"> is the TIC-normalized intensity of the ion </w:t>
      </w:r>
      <w:proofErr w:type="spellStart"/>
      <w:r>
        <w:rPr>
          <w:rFonts w:ascii="Times New Roman" w:hAnsi="Times New Roman" w:cs="Times New Roman"/>
          <w:i/>
        </w:rPr>
        <w:t>i</w:t>
      </w:r>
      <w:proofErr w:type="spellEnd"/>
      <w:r>
        <w:rPr>
          <w:rFonts w:ascii="Times New Roman" w:hAnsi="Times New Roman" w:cs="Times New Roman"/>
        </w:rPr>
        <w:t xml:space="preserve"> in the tray </w:t>
      </w:r>
      <w:r w:rsidRPr="00075192">
        <w:rPr>
          <w:rFonts w:ascii="Times New Roman" w:hAnsi="Times New Roman" w:cs="Times New Roman"/>
          <w:i/>
        </w:rPr>
        <w:t>t</w:t>
      </w:r>
      <w:r>
        <w:rPr>
          <w:rFonts w:ascii="Times New Roman" w:hAnsi="Times New Roman" w:cs="Times New Roman"/>
        </w:rPr>
        <w:t xml:space="preserve"> for the standard </w:t>
      </w:r>
      <w:r w:rsidRPr="00FC3F48">
        <w:rPr>
          <w:rFonts w:ascii="Times New Roman" w:hAnsi="Times New Roman" w:cs="Times New Roman"/>
          <w:i/>
        </w:rPr>
        <w:t>s</w:t>
      </w:r>
      <w:r>
        <w:rPr>
          <w:rFonts w:ascii="Times New Roman" w:hAnsi="Times New Roman" w:cs="Times New Roman"/>
        </w:rPr>
        <w:t xml:space="preserve">, </w:t>
      </w:r>
      <w:r w:rsidRPr="00BE7CEB">
        <w:rPr>
          <w:rFonts w:ascii="Times New Roman" w:hAnsi="Times New Roman" w:cs="Times New Roman"/>
          <w:i/>
        </w:rPr>
        <w:t>μ</w:t>
      </w:r>
      <w:r>
        <w:rPr>
          <w:rFonts w:ascii="Times New Roman" w:hAnsi="Times New Roman" w:cs="Times New Roman"/>
        </w:rPr>
        <w:t xml:space="preserve"> is the overall mean, </w:t>
      </w:r>
      <w:proofErr w:type="spellStart"/>
      <w:r w:rsidRPr="00FC3F48">
        <w:rPr>
          <w:rFonts w:ascii="Times New Roman" w:hAnsi="Times New Roman" w:cs="Times New Roman"/>
          <w:i/>
        </w:rPr>
        <w:t>Tray</w:t>
      </w:r>
      <w:r w:rsidRPr="00FC3F48">
        <w:rPr>
          <w:rFonts w:ascii="Times New Roman" w:hAnsi="Times New Roman" w:cs="Times New Roman"/>
          <w:i/>
          <w:vertAlign w:val="subscript"/>
        </w:rPr>
        <w:t>t</w:t>
      </w:r>
      <w:proofErr w:type="spellEnd"/>
      <w:r>
        <w:rPr>
          <w:rFonts w:ascii="Times New Roman" w:hAnsi="Times New Roman" w:cs="Times New Roman"/>
        </w:rPr>
        <w:t xml:space="preserve"> is the tray, </w:t>
      </w:r>
      <w:r w:rsidRPr="00FC3F48">
        <w:rPr>
          <w:rFonts w:ascii="Times New Roman" w:hAnsi="Times New Roman" w:cs="Times New Roman"/>
          <w:i/>
        </w:rPr>
        <w:t>Standard</w:t>
      </w:r>
      <w:r w:rsidRPr="00FC3F48">
        <w:rPr>
          <w:rFonts w:ascii="Times New Roman" w:hAnsi="Times New Roman" w:cs="Times New Roman"/>
          <w:i/>
          <w:vertAlign w:val="subscript"/>
        </w:rPr>
        <w:t>s</w:t>
      </w:r>
      <w:r>
        <w:rPr>
          <w:rFonts w:ascii="Times New Roman" w:hAnsi="Times New Roman" w:cs="Times New Roman"/>
        </w:rPr>
        <w:t xml:space="preserve"> is the </w:t>
      </w:r>
      <w:proofErr w:type="spellStart"/>
      <w:r>
        <w:rPr>
          <w:rFonts w:ascii="Times New Roman" w:hAnsi="Times New Roman" w:cs="Times New Roman"/>
        </w:rPr>
        <w:t>identitity</w:t>
      </w:r>
      <w:proofErr w:type="spellEnd"/>
      <w:r>
        <w:rPr>
          <w:rFonts w:ascii="Times New Roman" w:hAnsi="Times New Roman" w:cs="Times New Roman"/>
        </w:rPr>
        <w:t xml:space="preserve"> of the standard and </w:t>
      </w:r>
      <w:proofErr w:type="spellStart"/>
      <w:r>
        <w:rPr>
          <w:rFonts w:ascii="Times New Roman" w:hAnsi="Times New Roman" w:cs="Times New Roman"/>
        </w:rPr>
        <w:t>Ɛ</w:t>
      </w:r>
      <w:r w:rsidRPr="00FC3F48">
        <w:rPr>
          <w:rFonts w:ascii="Times New Roman" w:hAnsi="Times New Roman" w:cs="Times New Roman"/>
          <w:i/>
          <w:vertAlign w:val="subscript"/>
        </w:rPr>
        <w:t>i,t,s</w:t>
      </w:r>
      <w:proofErr w:type="spellEnd"/>
      <w:r>
        <w:rPr>
          <w:rFonts w:ascii="Times New Roman" w:hAnsi="Times New Roman" w:cs="Times New Roman"/>
        </w:rPr>
        <w:t xml:space="preserve"> is the error. Both tray and standards were treated as random effects. The effect of each tray was used to correct the spectrum reads of each ion in the whole dataset (henceforth tray-corrected dataset). For one tray that lacked standards, a model was run on the whole dataset just having tray as random effect. These models were solved with R package </w:t>
      </w:r>
      <w:r w:rsidRPr="003B4EF6">
        <w:rPr>
          <w:rFonts w:ascii="Times New Roman" w:hAnsi="Times New Roman" w:cs="Times New Roman"/>
          <w:i/>
        </w:rPr>
        <w:t>lme4</w:t>
      </w:r>
      <w:r>
        <w:rPr>
          <w:rFonts w:ascii="Times New Roman" w:hAnsi="Times New Roman" w:cs="Times New Roman"/>
        </w:rPr>
        <w:t>.</w:t>
      </w:r>
    </w:p>
    <w:p w14:paraId="6A19CA9B" w14:textId="77777777" w:rsidR="00532CD6" w:rsidRDefault="00532CD6" w:rsidP="00532CD6">
      <w:pPr>
        <w:spacing w:line="480" w:lineRule="auto"/>
        <w:rPr>
          <w:rFonts w:ascii="Times New Roman" w:hAnsi="Times New Roman" w:cs="Times New Roman"/>
        </w:rPr>
      </w:pPr>
    </w:p>
    <w:p w14:paraId="7A7E885A" w14:textId="77777777" w:rsidR="00532CD6" w:rsidRPr="003A1776" w:rsidRDefault="00532CD6" w:rsidP="00532CD6">
      <w:pPr>
        <w:spacing w:line="480" w:lineRule="auto"/>
        <w:rPr>
          <w:rFonts w:ascii="Times New Roman" w:hAnsi="Times New Roman" w:cs="Times New Roman"/>
          <w:i/>
        </w:rPr>
      </w:pPr>
      <w:r w:rsidRPr="003A1776">
        <w:rPr>
          <w:rFonts w:ascii="Times New Roman" w:hAnsi="Times New Roman" w:cs="Times New Roman"/>
          <w:i/>
        </w:rPr>
        <w:t>Thin</w:t>
      </w:r>
      <w:r>
        <w:rPr>
          <w:rFonts w:ascii="Times New Roman" w:hAnsi="Times New Roman" w:cs="Times New Roman"/>
          <w:i/>
        </w:rPr>
        <w:t xml:space="preserve"> </w:t>
      </w:r>
      <w:r w:rsidRPr="003A1776">
        <w:rPr>
          <w:rFonts w:ascii="Times New Roman" w:hAnsi="Times New Roman" w:cs="Times New Roman"/>
          <w:i/>
        </w:rPr>
        <w:t>plate spline model</w:t>
      </w:r>
      <w:r>
        <w:rPr>
          <w:rFonts w:ascii="Times New Roman" w:hAnsi="Times New Roman" w:cs="Times New Roman"/>
          <w:i/>
        </w:rPr>
        <w:t xml:space="preserve"> for microspatial variation analysis and correction of </w:t>
      </w:r>
      <w:proofErr w:type="spellStart"/>
      <w:r>
        <w:rPr>
          <w:rFonts w:ascii="Times New Roman" w:hAnsi="Times New Roman" w:cs="Times New Roman"/>
          <w:i/>
        </w:rPr>
        <w:t>py</w:t>
      </w:r>
      <w:proofErr w:type="spellEnd"/>
      <w:r>
        <w:rPr>
          <w:rFonts w:ascii="Times New Roman" w:hAnsi="Times New Roman" w:cs="Times New Roman"/>
          <w:i/>
        </w:rPr>
        <w:t>-MBMS spectra</w:t>
      </w:r>
    </w:p>
    <w:p w14:paraId="6341E20C" w14:textId="77777777" w:rsidR="00532CD6" w:rsidRDefault="00532CD6" w:rsidP="00532CD6">
      <w:pPr>
        <w:spacing w:line="480" w:lineRule="auto"/>
        <w:rPr>
          <w:rFonts w:ascii="Times New Roman" w:hAnsi="Times New Roman" w:cs="Times New Roman"/>
        </w:rPr>
      </w:pPr>
      <w:r>
        <w:rPr>
          <w:rFonts w:ascii="Times New Roman" w:hAnsi="Times New Roman" w:cs="Times New Roman"/>
        </w:rPr>
        <w:t xml:space="preserve">The means of each ramet of the spectral values for each ion were regressed to their spatial position in the field trial using a Thin plate spline model (TPS). This model estimates a smoothed surface, in our case matching with the two-dimensional spatial layout of the </w:t>
      </w:r>
      <w:proofErr w:type="gramStart"/>
      <w:r>
        <w:rPr>
          <w:rFonts w:ascii="Times New Roman" w:hAnsi="Times New Roman" w:cs="Times New Roman"/>
        </w:rPr>
        <w:t>trial, but</w:t>
      </w:r>
      <w:proofErr w:type="gramEnd"/>
      <w:r>
        <w:rPr>
          <w:rFonts w:ascii="Times New Roman" w:hAnsi="Times New Roman" w:cs="Times New Roman"/>
        </w:rPr>
        <w:t xml:space="preserve"> minimizing the variance of the residuals. Therefore, the predicted values of the model serve as an estimation of how the fine-scale environmental variation affects the ion intensity value, and the residuals quantify the variation that is attributed to other factors, such as genotype. Thus, we used the model to: (</w:t>
      </w:r>
      <w:proofErr w:type="spellStart"/>
      <w:r>
        <w:rPr>
          <w:rFonts w:ascii="Times New Roman" w:hAnsi="Times New Roman" w:cs="Times New Roman"/>
        </w:rPr>
        <w:t>i</w:t>
      </w:r>
      <w:proofErr w:type="spellEnd"/>
      <w:r>
        <w:rPr>
          <w:rFonts w:ascii="Times New Roman" w:hAnsi="Times New Roman" w:cs="Times New Roman"/>
        </w:rPr>
        <w:t xml:space="preserve">) pinpoint which ions were not affected by fine-scale environment; those ions could be putative noise (i.e., no biological significance), metabolites under very strong genetic control, or stochastic or hyperresponsive metabolites, (ii) cluster ions based on their response to the </w:t>
      </w:r>
      <w:r>
        <w:rPr>
          <w:rFonts w:ascii="Times New Roman" w:hAnsi="Times New Roman" w:cs="Times New Roman"/>
        </w:rPr>
        <w:lastRenderedPageBreak/>
        <w:t xml:space="preserve">environment and (iii) correct for the effects of fine-scale environmental variation. When the TPS model of an ion predicts a simple surface, it implies that the ion is not affected by fine-scale environmental variation (Fig. 1a). Complete lack of association between environment and phenotype is unlikely. Therefore, this criterion could be used as a line of evidence to identify noise. However, linkage between environment and phenotype could be obscured for metabolites that are hyper-responsive to the environment, or which vary stochastically. Finally, metabolites under strong genetic control would not be expected to vary spatially. The complexity of the TPS-fitted values was assessed with </w:t>
      </w:r>
      <w:proofErr w:type="spellStart"/>
      <w:proofErr w:type="gramStart"/>
      <w:r>
        <w:rPr>
          <w:rFonts w:ascii="Times New Roman" w:hAnsi="Times New Roman" w:cs="Times New Roman"/>
        </w:rPr>
        <w:t>a</w:t>
      </w:r>
      <w:proofErr w:type="spellEnd"/>
      <w:proofErr w:type="gramEnd"/>
      <w:r>
        <w:rPr>
          <w:rFonts w:ascii="Times New Roman" w:hAnsi="Times New Roman" w:cs="Times New Roman"/>
        </w:rPr>
        <w:t xml:space="preserve"> ad-hoc parameter, dubbed as Surface complexity (SC), employing the following formula:</w:t>
      </w:r>
    </w:p>
    <w:p w14:paraId="7189E237" w14:textId="77777777" w:rsidR="00532CD6" w:rsidRDefault="00532CD6" w:rsidP="00532CD6">
      <w:pPr>
        <w:spacing w:line="480" w:lineRule="auto"/>
        <w:rPr>
          <w:rFonts w:ascii="Times New Roman" w:hAnsi="Times New Roman" w:cs="Times New Roman"/>
        </w:rPr>
      </w:pPr>
      <m:oMathPara>
        <m:oMath>
          <m:r>
            <w:rPr>
              <w:rFonts w:ascii="Cambria Math" w:hAnsi="Cambria Math" w:cs="Times New Roman"/>
            </w:rPr>
            <m:t>SC= -</m:t>
          </m:r>
          <m:func>
            <m:funcPr>
              <m:ctrlPr>
                <w:rPr>
                  <w:rFonts w:ascii="Cambria Math" w:hAnsi="Cambria Math" w:cs="Times New Roman"/>
                  <w:i/>
                </w:rPr>
              </m:ctrlPr>
            </m:funcPr>
            <m:fName>
              <m:sSub>
                <m:sSubPr>
                  <m:ctrlPr>
                    <w:rPr>
                      <w:rFonts w:ascii="Cambria Math" w:hAnsi="Cambria Math" w:cs="Times New Roman"/>
                      <w:i/>
                    </w:rPr>
                  </m:ctrlPr>
                </m:sSubPr>
                <m:e>
                  <m:r>
                    <m:rPr>
                      <m:sty m:val="p"/>
                    </m:rPr>
                    <w:rPr>
                      <w:rFonts w:ascii="Cambria Math" w:hAnsi="Cambria Math" w:cs="Times New Roman"/>
                    </w:rPr>
                    <m:t>log</m:t>
                  </m:r>
                </m:e>
                <m:sub>
                  <m:r>
                    <w:rPr>
                      <w:rFonts w:ascii="Cambria Math" w:hAnsi="Cambria Math" w:cs="Times New Roman"/>
                    </w:rPr>
                    <m:t>10</m:t>
                  </m:r>
                </m:sub>
              </m:sSub>
            </m:fName>
            <m:e>
              <m:nary>
                <m:naryPr>
                  <m:chr m:val="∏"/>
                  <m:limLoc m:val="undOvr"/>
                  <m:ctrlPr>
                    <w:rPr>
                      <w:rFonts w:ascii="Cambria Math" w:hAnsi="Cambria Math" w:cs="Times New Roman"/>
                      <w:i/>
                    </w:rPr>
                  </m:ctrlPr>
                </m:naryPr>
                <m:sub>
                  <m:r>
                    <w:rPr>
                      <w:rFonts w:ascii="Cambria Math" w:hAnsi="Cambria Math" w:cs="Times New Roman"/>
                    </w:rPr>
                    <m:t>i</m:t>
                  </m:r>
                </m:sub>
                <m:sup>
                  <m:r>
                    <w:rPr>
                      <w:rFonts w:ascii="Cambria Math" w:hAnsi="Cambria Math" w:cs="Times New Roman"/>
                    </w:rPr>
                    <m:t>R</m:t>
                  </m:r>
                </m:sup>
                <m:e>
                  <m:d>
                    <m:dPr>
                      <m:begChr m:val="|"/>
                      <m:endChr m:val="|"/>
                      <m:ctrlPr>
                        <w:rPr>
                          <w:rFonts w:ascii="Cambria Math" w:hAnsi="Cambria Math" w:cs="Times New Roman"/>
                          <w:i/>
                        </w:rPr>
                      </m:ctrlPr>
                    </m:dPr>
                    <m:e>
                      <m:r>
                        <w:rPr>
                          <w:rFonts w:ascii="Cambria Math" w:hAnsi="Cambria Math" w:cs="Times New Roman"/>
                        </w:rPr>
                        <m:t>cor(</m:t>
                      </m:r>
                      <m:sSub>
                        <m:sSubPr>
                          <m:ctrlPr>
                            <w:rPr>
                              <w:rFonts w:ascii="Cambria Math" w:hAnsi="Cambria Math" w:cs="Times New Roman"/>
                              <w:i/>
                            </w:rPr>
                          </m:ctrlPr>
                        </m:sSubPr>
                        <m:e>
                          <m:acc>
                            <m:accPr>
                              <m:ctrlPr>
                                <w:rPr>
                                  <w:rFonts w:ascii="Cambria Math" w:hAnsi="Cambria Math" w:cs="Times New Roman"/>
                                  <w:i/>
                                </w:rPr>
                              </m:ctrlPr>
                            </m:accPr>
                            <m:e>
                              <m:r>
                                <w:rPr>
                                  <w:rFonts w:ascii="Cambria Math" w:hAnsi="Cambria Math" w:cs="Times New Roman"/>
                                </w:rPr>
                                <m:t>y</m:t>
                              </m:r>
                            </m:e>
                          </m:acc>
                        </m:e>
                        <m:sub>
                          <m:r>
                            <w:rPr>
                              <w:rFonts w:ascii="Cambria Math" w:hAnsi="Cambria Math" w:cs="Times New Roman"/>
                            </w:rPr>
                            <m:t>i</m:t>
                          </m:r>
                        </m:sub>
                      </m:sSub>
                      <m:r>
                        <w:rPr>
                          <w:rFonts w:ascii="Cambria Math" w:hAnsi="Cambria Math" w:cs="Times New Roman"/>
                        </w:rPr>
                        <m:t>,t)</m:t>
                      </m:r>
                    </m:e>
                  </m:d>
                </m:e>
              </m:nary>
            </m:e>
          </m:func>
          <m:r>
            <w:rPr>
              <w:rFonts w:ascii="Cambria Math" w:hAnsi="Cambria Math" w:cs="Times New Roman"/>
            </w:rPr>
            <m:t xml:space="preserve"> </m:t>
          </m:r>
        </m:oMath>
      </m:oMathPara>
    </w:p>
    <w:p w14:paraId="51B83B7C" w14:textId="77777777" w:rsidR="00532CD6" w:rsidRDefault="00532CD6" w:rsidP="00532CD6">
      <w:pPr>
        <w:spacing w:line="480" w:lineRule="auto"/>
        <w:rPr>
          <w:rFonts w:ascii="Times New Roman" w:hAnsi="Times New Roman" w:cs="Times New Roman"/>
        </w:rPr>
      </w:pPr>
      <w:r>
        <w:rPr>
          <w:rFonts w:ascii="Times New Roman" w:hAnsi="Times New Roman" w:cs="Times New Roman"/>
        </w:rPr>
        <w:t xml:space="preserve">where, </w:t>
      </w:r>
      <w:proofErr w:type="spellStart"/>
      <w:r w:rsidRPr="000C6C90">
        <w:rPr>
          <w:rFonts w:ascii="Times New Roman" w:hAnsi="Times New Roman" w:cs="Times New Roman"/>
          <w:i/>
        </w:rPr>
        <w:t>i</w:t>
      </w:r>
      <w:proofErr w:type="spellEnd"/>
      <w:r>
        <w:rPr>
          <w:rFonts w:ascii="Times New Roman" w:hAnsi="Times New Roman" w:cs="Times New Roman"/>
        </w:rPr>
        <w:t xml:space="preserve"> is the </w:t>
      </w:r>
      <w:proofErr w:type="spellStart"/>
      <w:r w:rsidRPr="000C6C90">
        <w:rPr>
          <w:rFonts w:ascii="Times New Roman" w:hAnsi="Times New Roman" w:cs="Times New Roman"/>
          <w:i/>
        </w:rPr>
        <w:t>i</w:t>
      </w:r>
      <w:r>
        <w:rPr>
          <w:rFonts w:ascii="Times New Roman" w:hAnsi="Times New Roman" w:cs="Times New Roman"/>
        </w:rPr>
        <w:t>-th</w:t>
      </w:r>
      <w:proofErr w:type="spellEnd"/>
      <w:r>
        <w:rPr>
          <w:rFonts w:ascii="Times New Roman" w:hAnsi="Times New Roman" w:cs="Times New Roman"/>
        </w:rPr>
        <w:t xml:space="preserve"> row, </w:t>
      </w:r>
      <w:r w:rsidRPr="000C6C90">
        <w:rPr>
          <w:rFonts w:ascii="Times New Roman" w:hAnsi="Times New Roman" w:cs="Times New Roman"/>
          <w:i/>
        </w:rPr>
        <w:t>R</w:t>
      </w:r>
      <w:r>
        <w:rPr>
          <w:rFonts w:ascii="Times New Roman" w:hAnsi="Times New Roman" w:cs="Times New Roman"/>
        </w:rPr>
        <w:t xml:space="preserve"> is the total number of rows, </w:t>
      </w:r>
      <m:oMath>
        <m:acc>
          <m:accPr>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m:t>
                </m:r>
              </m:sub>
            </m:sSub>
          </m:e>
        </m:acc>
      </m:oMath>
      <w:r>
        <w:rPr>
          <w:rFonts w:ascii="Times New Roman" w:hAnsi="Times New Roman" w:cs="Times New Roman"/>
        </w:rPr>
        <w:t xml:space="preserve"> is the vector of the fitted values for this row </w:t>
      </w:r>
      <w:r w:rsidRPr="000C6C90">
        <w:rPr>
          <w:rFonts w:ascii="Times New Roman" w:hAnsi="Times New Roman" w:cs="Times New Roman"/>
          <w:i/>
        </w:rPr>
        <w:t>t</w:t>
      </w:r>
      <w:r>
        <w:rPr>
          <w:rFonts w:ascii="Times New Roman" w:hAnsi="Times New Roman" w:cs="Times New Roman"/>
        </w:rPr>
        <w:t xml:space="preserve"> is the vector of the tree position in the row, and </w:t>
      </w:r>
      <w:proofErr w:type="spellStart"/>
      <w:r w:rsidRPr="00A03D05">
        <w:rPr>
          <w:rFonts w:ascii="Times New Roman" w:hAnsi="Times New Roman" w:cs="Times New Roman"/>
          <w:i/>
          <w:iCs/>
        </w:rPr>
        <w:t>cor</w:t>
      </w:r>
      <w:proofErr w:type="spellEnd"/>
      <w:r>
        <w:rPr>
          <w:rFonts w:ascii="Times New Roman" w:hAnsi="Times New Roman" w:cs="Times New Roman"/>
        </w:rPr>
        <w:t xml:space="preserve"> is the Pearson correlation coefficient. Predicted values in simple surfaces vary linearly within row, so the absolute value of the correlation between the predicted value and the tree position within row is almost one. The product of this correlation across all the rows should therefore be close to one, and the log of this value should approach zero. Conversely, the higher complexity the predicted surface has, the lower the correlations will be and the higher the parameter SC will be. The R package </w:t>
      </w:r>
      <w:r w:rsidRPr="00747AC9">
        <w:rPr>
          <w:rFonts w:ascii="Times New Roman" w:hAnsi="Times New Roman" w:cs="Times New Roman"/>
          <w:i/>
        </w:rPr>
        <w:t>fields</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ADDIN EN.CITE &lt;EndNote&gt;&lt;Cite&gt;&lt;Author&gt;Furrer&lt;/Author&gt;&lt;Year&gt;2017&lt;/Year&gt;&lt;RecNum&gt;566&lt;/RecNum&gt;&lt;DisplayText&gt;(61)&lt;/DisplayText&gt;&lt;record&gt;&lt;rec-number&gt;566&lt;/rec-number&gt;&lt;foreign-keys&gt;&lt;key app="EN" db-id="2prsezs9qrt9e4e5pzg5av5i2szaw2waszr2" timestamp="1571239500"&gt;566&lt;/key&gt;&lt;/foreign-keys&gt;&lt;ref-type name="Generic"&gt;13&lt;/ref-type&gt;&lt;contributors&gt;&lt;authors&gt;&lt;author&gt;Furrer, Reinhard&lt;/author&gt;&lt;author&gt;Nychka, Doug&lt;/author&gt;&lt;author&gt;Sain, Stephen&lt;/author&gt;&lt;/authors&gt;&lt;/contributors&gt;&lt;titles&gt;&lt;title&gt;Fields: Tools for spatial data&lt;/title&gt;&lt;/titles&gt;&lt;volume&gt;R Package Version 9.9&lt;/volume&gt;&lt;dates&gt;&lt;year&gt;2017&lt;/year&gt;&lt;/dates&gt;&lt;urls&gt;&lt;related-urls&gt;&lt;url&gt;https://github.com/NCAR/Fields&lt;/url&gt;&lt;/related-urls&gt;&lt;/urls&gt;&lt;electronic-resource-num&gt;doi: 10.5065/D6W957CT&lt;/electronic-resource-num&gt;&lt;/record&gt;&lt;/Cite&gt;&lt;/EndNote&gt;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(61)</w:t>
      </w:r>
      <w:r>
        <w:rPr>
          <w:rFonts w:ascii="Times New Roman" w:hAnsi="Times New Roman" w:cs="Times New Roman"/>
        </w:rPr>
        <w:fldChar w:fldCharType="end"/>
      </w:r>
      <w:r>
        <w:rPr>
          <w:rFonts w:ascii="Times New Roman" w:hAnsi="Times New Roman" w:cs="Times New Roman"/>
        </w:rPr>
        <w:t xml:space="preserve"> was used to fit the TPS models. </w:t>
      </w:r>
      <w:r>
        <w:rPr>
          <w:rFonts w:ascii="Times New Roman" w:hAnsi="Times New Roman" w:cs="Times New Roman"/>
        </w:rPr>
        <w:br/>
      </w:r>
    </w:p>
    <w:p w14:paraId="23CEE648" w14:textId="77777777" w:rsidR="00532CD6" w:rsidRDefault="00532CD6" w:rsidP="00532CD6">
      <w:pPr>
        <w:spacing w:line="480" w:lineRule="auto"/>
        <w:rPr>
          <w:rFonts w:ascii="Times New Roman" w:hAnsi="Times New Roman" w:cs="Times New Roman"/>
        </w:rPr>
      </w:pPr>
      <w:r>
        <w:rPr>
          <w:rFonts w:ascii="Times New Roman" w:hAnsi="Times New Roman" w:cs="Times New Roman"/>
        </w:rPr>
        <w:t xml:space="preserve">To group the ions based on response to the environment, the predicted values from the TPS model were submitted to a Principal Component Analysis (PCA) and to hierarchical clustering (HC) as described below. Finally, the residuals of the models were used as estimators of the </w:t>
      </w:r>
      <w:r>
        <w:rPr>
          <w:rFonts w:ascii="Times New Roman" w:hAnsi="Times New Roman" w:cs="Times New Roman"/>
        </w:rPr>
        <w:lastRenderedPageBreak/>
        <w:t>variation of the ions due to factors not spatially driven (e.g., genotype). The residuals for each were added to the ion mean value to project them to the original scale (henceforth TPS-corrected dataset). To study common non-</w:t>
      </w:r>
      <w:proofErr w:type="spellStart"/>
      <w:r>
        <w:rPr>
          <w:rFonts w:ascii="Times New Roman" w:hAnsi="Times New Roman" w:cs="Times New Roman"/>
        </w:rPr>
        <w:t>enviromental</w:t>
      </w:r>
      <w:proofErr w:type="spellEnd"/>
      <w:r>
        <w:rPr>
          <w:rFonts w:ascii="Times New Roman" w:hAnsi="Times New Roman" w:cs="Times New Roman"/>
        </w:rPr>
        <w:t xml:space="preserve"> trends among ions, PCA on standardized values and HC were carried out as described below. </w:t>
      </w:r>
    </w:p>
    <w:p w14:paraId="0F22E8BB"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CD6"/>
    <w:rsid w:val="00532CD6"/>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2E7B6"/>
  <w15:chartTrackingRefBased/>
  <w15:docId w15:val="{004EAE8F-7568-4985-9525-C0BB0BDC3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CD6"/>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735</Words>
  <Characters>4193</Characters>
  <Application>Microsoft Office Word</Application>
  <DocSecurity>0</DocSecurity>
  <Lines>34</Lines>
  <Paragraphs>9</Paragraphs>
  <ScaleCrop>false</ScaleCrop>
  <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2020-04-21T16:47:00Z</dcterms:created>
  <dcterms:modified xsi:type="dcterms:W3CDTF">2020-04-21T16:48:00Z</dcterms:modified>
</cp:coreProperties>
</file>