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4ED278" w14:textId="4637D151" w:rsidR="004443AE" w:rsidRDefault="004443AE" w:rsidP="004443AE">
      <w:pPr>
        <w:pStyle w:val="Heading2"/>
      </w:pPr>
      <w:r w:rsidRPr="004443AE">
        <w:rPr>
          <w:b/>
          <w:bCs/>
        </w:rPr>
        <w:t>Additional file 1:</w:t>
      </w:r>
      <w:r>
        <w:t xml:space="preserve"> Supplementary text</w:t>
      </w:r>
    </w:p>
    <w:p w14:paraId="6665E8D7" w14:textId="77777777" w:rsidR="004443AE" w:rsidRPr="004443AE" w:rsidRDefault="004443AE" w:rsidP="004443AE">
      <w:pPr>
        <w:pStyle w:val="Legends"/>
      </w:pPr>
    </w:p>
    <w:p w14:paraId="5BAF521E" w14:textId="72E5933F" w:rsidR="004443AE" w:rsidRPr="00DE1DF8" w:rsidRDefault="004443AE" w:rsidP="004443AE">
      <w:pPr>
        <w:pStyle w:val="Legends"/>
      </w:pPr>
      <w:r>
        <w:rPr>
          <w:b/>
          <w:bCs/>
        </w:rPr>
        <w:t>Text A</w:t>
      </w:r>
      <w:r w:rsidRPr="00DE1DF8">
        <w:rPr>
          <w:b/>
          <w:bCs/>
        </w:rPr>
        <w:t>1</w:t>
      </w:r>
      <w:r w:rsidRPr="00DE1DF8">
        <w:t>: Details of MapSan intervention facilities</w:t>
      </w:r>
    </w:p>
    <w:p w14:paraId="6FEE3FA8" w14:textId="77777777" w:rsidR="004443AE" w:rsidRDefault="004443AE" w:rsidP="004443AE">
      <w:pPr>
        <w:suppressLineNumbers/>
      </w:pPr>
      <w:r w:rsidRPr="00D43B50">
        <w:t xml:space="preserve">The MapSan </w:t>
      </w:r>
      <w:r>
        <w:t>t</w:t>
      </w:r>
      <w:r w:rsidRPr="00D43B50">
        <w:t xml:space="preserve">rial </w:t>
      </w:r>
      <w:r>
        <w:t xml:space="preserve">intervention </w:t>
      </w:r>
      <w:r w:rsidRPr="00D43B50">
        <w:t>consisted of improved, pour-flush toilets with a septic tank</w:t>
      </w:r>
      <w:r>
        <w:t>. Septic tank design, placement, and soakaway pits were custom-designed by WSUP based on site constraints and number of users. Communal sanitation blocks (</w:t>
      </w:r>
      <w:r w:rsidRPr="00D43B50">
        <w:t>CSBs</w:t>
      </w:r>
      <w:r>
        <w:t>), designed for more than 20 users,</w:t>
      </w:r>
      <w:r w:rsidRPr="00D43B50">
        <w:t xml:space="preserve"> </w:t>
      </w:r>
      <w:r>
        <w:t xml:space="preserve">also </w:t>
      </w:r>
      <w:r w:rsidRPr="00D43B50">
        <w:t>had an external water storage tank and tap, for which users had to independently arrange and pay for piped connection to the municipal water authority</w:t>
      </w:r>
      <w:r>
        <w:t>, a concrete laundry basin, rainwater harvesting tank, and a handwashing sink that drained to the septic tank</w:t>
      </w:r>
      <w:r w:rsidRPr="00D43B50">
        <w:t xml:space="preserve">. </w:t>
      </w:r>
      <w:r>
        <w:t>CSBs in co</w:t>
      </w:r>
      <w:r w:rsidRPr="00061160">
        <w:t>mpounds with over 60 residents had a urinal on an external wall that drained to the septic tank.</w:t>
      </w:r>
      <w:r>
        <w:rPr>
          <w:rFonts w:ascii="Helvetica" w:hAnsi="Helvetica" w:cs="Helvetica"/>
          <w:color w:val="000000"/>
          <w:sz w:val="16"/>
          <w:szCs w:val="16"/>
        </w:rPr>
        <w:t xml:space="preserve"> </w:t>
      </w:r>
    </w:p>
    <w:p w14:paraId="220D0C6A" w14:textId="77777777" w:rsidR="004443AE" w:rsidRDefault="004443AE" w:rsidP="004443AE">
      <w:pPr>
        <w:pStyle w:val="Legends"/>
        <w:suppressLineNumbers/>
      </w:pPr>
    </w:p>
    <w:p w14:paraId="69A20610" w14:textId="77777777" w:rsidR="004443AE" w:rsidRDefault="004443AE" w:rsidP="004443AE">
      <w:pPr>
        <w:pStyle w:val="Legends"/>
      </w:pPr>
      <w:r>
        <w:rPr>
          <w:b/>
          <w:bCs/>
        </w:rPr>
        <w:t>Text A2</w:t>
      </w:r>
      <w:r w:rsidRPr="00737338">
        <w:rPr>
          <w:b/>
          <w:bCs/>
        </w:rPr>
        <w:t>:</w:t>
      </w:r>
      <w:r>
        <w:t xml:space="preserve"> Sampling procedures</w:t>
      </w:r>
    </w:p>
    <w:p w14:paraId="07CF7F90" w14:textId="77777777" w:rsidR="004443AE" w:rsidRDefault="004443AE" w:rsidP="004443AE">
      <w:pPr>
        <w:suppressLineNumbers/>
      </w:pPr>
      <w:r>
        <w:t>The ‘MapSan trial participant’ was the primary caregiver of a child enrolled in the MapSan trial. Because these participants represented a relatively homogenous group, a ‘secondary respondent’ was identified as another</w:t>
      </w:r>
      <w:r w:rsidRPr="00D43B50">
        <w:t xml:space="preserve"> adult residing in the compound for more than 30 days, </w:t>
      </w:r>
      <w:r>
        <w:t>sampled from</w:t>
      </w:r>
      <w:r w:rsidRPr="00D43B50">
        <w:t xml:space="preserve"> the third household on the right of the </w:t>
      </w:r>
      <w:r>
        <w:t xml:space="preserve">compound </w:t>
      </w:r>
      <w:r w:rsidRPr="00D43B50">
        <w:t>entrance.</w:t>
      </w:r>
      <w:r w:rsidRPr="00510183">
        <w:t xml:space="preserve"> </w:t>
      </w:r>
      <w:r>
        <w:t>If no respondent was available, the next third house on the right was selected. In a random selection of half of all sampled compounds, we recruited t</w:t>
      </w:r>
      <w:r w:rsidRPr="00D43B50">
        <w:t xml:space="preserve">he </w:t>
      </w:r>
      <w:r>
        <w:t xml:space="preserve">compound </w:t>
      </w:r>
      <w:r w:rsidRPr="00D43B50">
        <w:rPr>
          <w:i/>
        </w:rPr>
        <w:t>chefe</w:t>
      </w:r>
      <w:r>
        <w:rPr>
          <w:iCs/>
        </w:rPr>
        <w:t xml:space="preserve">, identified </w:t>
      </w:r>
      <w:r>
        <w:t>by residents as</w:t>
      </w:r>
      <w:r w:rsidRPr="00D43B50">
        <w:t xml:space="preserve"> the person with the most knowledge about the compound’s sanitation management</w:t>
      </w:r>
      <w:r>
        <w:t xml:space="preserve"> (usually the person who had lived in the compound the longest). The </w:t>
      </w:r>
      <w:r>
        <w:rPr>
          <w:i/>
          <w:iCs/>
        </w:rPr>
        <w:t>chefe</w:t>
      </w:r>
      <w:r w:rsidRPr="00D43B50">
        <w:t xml:space="preserve"> survey was intended to provide reliable information on compound-level programmatic elements and did not include facility observations.</w:t>
      </w:r>
      <w:r>
        <w:t xml:space="preserve"> </w:t>
      </w:r>
    </w:p>
    <w:p w14:paraId="3E5D726E" w14:textId="77777777" w:rsidR="004443AE" w:rsidRDefault="004443AE" w:rsidP="004443AE">
      <w:pPr>
        <w:pStyle w:val="Legends"/>
        <w:suppressLineNumbers/>
      </w:pPr>
    </w:p>
    <w:p w14:paraId="21FBCBDE" w14:textId="77777777" w:rsidR="004443AE" w:rsidRPr="006F2CBC" w:rsidRDefault="004443AE" w:rsidP="004443AE">
      <w:pPr>
        <w:pStyle w:val="Legends"/>
      </w:pPr>
      <w:r>
        <w:rPr>
          <w:b/>
          <w:bCs/>
        </w:rPr>
        <w:t>Text A3</w:t>
      </w:r>
      <w:r w:rsidRPr="004F34ED">
        <w:rPr>
          <w:b/>
          <w:bCs/>
        </w:rPr>
        <w:t>:</w:t>
      </w:r>
      <w:r w:rsidRPr="006F2CBC">
        <w:t xml:space="preserve"> </w:t>
      </w:r>
      <w:r>
        <w:t>Further details on intervention reach</w:t>
      </w:r>
    </w:p>
    <w:p w14:paraId="53C8B852" w14:textId="77777777" w:rsidR="004443AE" w:rsidRPr="006F2CBC" w:rsidRDefault="004443AE" w:rsidP="004443AE">
      <w:pPr>
        <w:suppressLineNumbers/>
      </w:pPr>
      <w:r>
        <w:t>C</w:t>
      </w:r>
      <w:r w:rsidRPr="00D43B50">
        <w:t>ompounds that receive</w:t>
      </w:r>
      <w:r>
        <w:t>d</w:t>
      </w:r>
      <w:r w:rsidRPr="00D43B50">
        <w:t xml:space="preserve"> </w:t>
      </w:r>
      <w:r>
        <w:t>household-level behaviour change</w:t>
      </w:r>
      <w:r w:rsidRPr="00D43B50">
        <w:t xml:space="preserve"> </w:t>
      </w:r>
      <w:r>
        <w:t xml:space="preserve">visits </w:t>
      </w:r>
      <w:r w:rsidRPr="00D43B50">
        <w:t xml:space="preserve">were broadly similar </w:t>
      </w:r>
      <w:r>
        <w:t xml:space="preserve">to those that did not, </w:t>
      </w:r>
      <w:r w:rsidRPr="006F2CBC">
        <w:t xml:space="preserve">with respect to </w:t>
      </w:r>
      <w:r w:rsidRPr="006F2CBC">
        <w:rPr>
          <w:i/>
          <w:lang w:val="pt-PT"/>
        </w:rPr>
        <w:t>bairro</w:t>
      </w:r>
      <w:r w:rsidRPr="006F2CBC">
        <w:t xml:space="preserve"> (χ</w:t>
      </w:r>
      <w:r w:rsidRPr="006F2CBC">
        <w:rPr>
          <w:vertAlign w:val="superscript"/>
        </w:rPr>
        <w:t>2</w:t>
      </w:r>
      <w:r w:rsidRPr="006F2CBC">
        <w:t>(9)=9.8, p=0.363), compound size (&gt;20 members</w:t>
      </w:r>
      <w:r>
        <w:t xml:space="preserve"> vs. ≤20 members</w:t>
      </w:r>
      <w:r w:rsidRPr="006F2CBC">
        <w:t>; χ</w:t>
      </w:r>
      <w:r w:rsidRPr="006F2CBC">
        <w:rPr>
          <w:vertAlign w:val="superscript"/>
        </w:rPr>
        <w:t>2</w:t>
      </w:r>
      <w:r w:rsidRPr="006F2CBC">
        <w:t>(1)=1.5, p=0.226), relative wealth tercile (χ</w:t>
      </w:r>
      <w:r w:rsidRPr="006F2CBC">
        <w:rPr>
          <w:vertAlign w:val="superscript"/>
        </w:rPr>
        <w:t>2</w:t>
      </w:r>
      <w:r w:rsidRPr="006F2CBC">
        <w:t>(2)=3.3, p=0.196) and intervention type (</w:t>
      </w:r>
      <w:r>
        <w:t xml:space="preserve">CSB vs. SL; </w:t>
      </w:r>
      <w:r w:rsidRPr="006F2CBC">
        <w:t>χ</w:t>
      </w:r>
      <w:r w:rsidRPr="006F2CBC">
        <w:rPr>
          <w:vertAlign w:val="superscript"/>
        </w:rPr>
        <w:t>2</w:t>
      </w:r>
      <w:r w:rsidRPr="006F2CBC">
        <w:t>(1)=2.2, p=0.135).</w:t>
      </w:r>
    </w:p>
    <w:p w14:paraId="5654163A" w14:textId="77777777" w:rsidR="004443AE" w:rsidRDefault="004443AE" w:rsidP="004443AE">
      <w:pPr>
        <w:suppressLineNumbers/>
      </w:pPr>
      <w:r w:rsidRPr="006F2CBC">
        <w:lastRenderedPageBreak/>
        <w:t>Respondents more likely to recall visits were men (63% vs. 53%</w:t>
      </w:r>
      <w:r>
        <w:t xml:space="preserve"> of women</w:t>
      </w:r>
      <w:r w:rsidRPr="006F2CBC">
        <w:t>; χ</w:t>
      </w:r>
      <w:r w:rsidRPr="006F2CBC">
        <w:rPr>
          <w:vertAlign w:val="superscript"/>
        </w:rPr>
        <w:t>2</w:t>
      </w:r>
      <w:r w:rsidRPr="006F2CBC">
        <w:t xml:space="preserve">(1)=3.9, p=0.049), </w:t>
      </w:r>
      <w:r>
        <w:t xml:space="preserve">and those </w:t>
      </w:r>
      <w:r w:rsidRPr="006F2CBC">
        <w:t>resident in the compound for over five years (61% vs. 42%</w:t>
      </w:r>
      <w:r>
        <w:t xml:space="preserve"> of those resident for under five years</w:t>
      </w:r>
      <w:r w:rsidRPr="006F2CBC">
        <w:t>; χ</w:t>
      </w:r>
      <w:r w:rsidRPr="006F2CBC">
        <w:rPr>
          <w:vertAlign w:val="superscript"/>
        </w:rPr>
        <w:t>2</w:t>
      </w:r>
      <w:r w:rsidRPr="006F2CBC">
        <w:t>(1)=16, p&lt;0.001). CSB users were more likely than SL users to recall visits (73% vs. 53%; χ</w:t>
      </w:r>
      <w:r w:rsidRPr="006F2CBC">
        <w:rPr>
          <w:vertAlign w:val="superscript"/>
        </w:rPr>
        <w:t>2</w:t>
      </w:r>
      <w:r w:rsidRPr="006F2CBC">
        <w:t>(1)=16, p&lt;0.001) or have participated in training (20% vs. 13%; χ</w:t>
      </w:r>
      <w:r w:rsidRPr="006F2CBC">
        <w:rPr>
          <w:vertAlign w:val="superscript"/>
        </w:rPr>
        <w:t>2</w:t>
      </w:r>
      <w:r w:rsidRPr="006F2CBC">
        <w:t xml:space="preserve">(1)=4.4, p=0.037), and participation varied at the </w:t>
      </w:r>
      <w:r w:rsidRPr="006F2CBC">
        <w:rPr>
          <w:i/>
          <w:lang w:val="pt-PT"/>
        </w:rPr>
        <w:t>bairro</w:t>
      </w:r>
      <w:r w:rsidRPr="006F2CBC">
        <w:t xml:space="preserve"> level (χ</w:t>
      </w:r>
      <w:r w:rsidRPr="006F2CBC">
        <w:rPr>
          <w:vertAlign w:val="superscript"/>
        </w:rPr>
        <w:t>2</w:t>
      </w:r>
      <w:r w:rsidRPr="006F2CBC">
        <w:t>(12)=41, p&lt;0.001).</w:t>
      </w:r>
    </w:p>
    <w:p w14:paraId="2CCBC574" w14:textId="77777777" w:rsidR="007F6E20" w:rsidRDefault="004443AE"/>
    <w:sectPr w:rsidR="007F6E20" w:rsidSect="00766E7F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3AE"/>
    <w:rsid w:val="00090F89"/>
    <w:rsid w:val="000C0A82"/>
    <w:rsid w:val="001A1667"/>
    <w:rsid w:val="001A22AE"/>
    <w:rsid w:val="001B1948"/>
    <w:rsid w:val="001C78CB"/>
    <w:rsid w:val="00220899"/>
    <w:rsid w:val="00236CD3"/>
    <w:rsid w:val="00275D17"/>
    <w:rsid w:val="002A4183"/>
    <w:rsid w:val="00392AAF"/>
    <w:rsid w:val="00410F86"/>
    <w:rsid w:val="004443AE"/>
    <w:rsid w:val="00476310"/>
    <w:rsid w:val="004F510E"/>
    <w:rsid w:val="00741693"/>
    <w:rsid w:val="00766E7F"/>
    <w:rsid w:val="00781267"/>
    <w:rsid w:val="007E3F92"/>
    <w:rsid w:val="008C0735"/>
    <w:rsid w:val="00AB14CE"/>
    <w:rsid w:val="00AB6F58"/>
    <w:rsid w:val="00BD7AEA"/>
    <w:rsid w:val="00C215BF"/>
    <w:rsid w:val="00D04076"/>
    <w:rsid w:val="00D47386"/>
    <w:rsid w:val="00D709E1"/>
    <w:rsid w:val="00DE479C"/>
    <w:rsid w:val="00DF2590"/>
    <w:rsid w:val="00E61005"/>
    <w:rsid w:val="00F25D07"/>
    <w:rsid w:val="00FA7069"/>
    <w:rsid w:val="00FA7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DAD357"/>
  <w15:chartTrackingRefBased/>
  <w15:docId w15:val="{9F39C436-5F53-CF4A-93B3-690114780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43AE"/>
    <w:pPr>
      <w:spacing w:after="240" w:line="420" w:lineRule="auto"/>
      <w:ind w:firstLine="461"/>
    </w:pPr>
    <w:rPr>
      <w:rFonts w:ascii="Arial" w:eastAsiaTheme="minorEastAsia" w:hAnsi="Arial" w:cs="Arial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443AE"/>
    <w:pPr>
      <w:keepNext/>
      <w:keepLines/>
      <w:spacing w:before="120" w:after="0"/>
      <w:ind w:firstLine="0"/>
      <w:outlineLvl w:val="1"/>
    </w:pPr>
    <w:rPr>
      <w:rFonts w:eastAsiaTheme="majorEastAsia" w:cstheme="majorBidi"/>
      <w:i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7069"/>
    <w:pPr>
      <w:spacing w:after="0" w:line="240" w:lineRule="auto"/>
      <w:ind w:firstLine="0"/>
    </w:pPr>
    <w:rPr>
      <w:rFonts w:ascii="Times New Roman" w:eastAsiaTheme="minorHAnsi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7069"/>
    <w:rPr>
      <w:rFonts w:ascii="Times New Roman" w:hAnsi="Times New Roman" w:cs="Times New Roman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4443AE"/>
    <w:rPr>
      <w:rFonts w:ascii="Arial" w:eastAsiaTheme="majorEastAsia" w:hAnsi="Arial" w:cstheme="majorBidi"/>
      <w:i/>
      <w:szCs w:val="28"/>
    </w:rPr>
  </w:style>
  <w:style w:type="paragraph" w:customStyle="1" w:styleId="Legends">
    <w:name w:val="Legends"/>
    <w:basedOn w:val="Normal"/>
    <w:link w:val="LegendsChar"/>
    <w:qFormat/>
    <w:rsid w:val="004443AE"/>
    <w:pPr>
      <w:spacing w:line="240" w:lineRule="auto"/>
      <w:ind w:firstLine="0"/>
    </w:pPr>
  </w:style>
  <w:style w:type="character" w:customStyle="1" w:styleId="LegendsChar">
    <w:name w:val="Legends Char"/>
    <w:basedOn w:val="DefaultParagraphFont"/>
    <w:link w:val="Legends"/>
    <w:rsid w:val="004443AE"/>
    <w:rPr>
      <w:rFonts w:ascii="Arial" w:eastAsiaTheme="minorEastAsia" w:hAnsi="Arial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361</Words>
  <Characters>2063</Characters>
  <Application>Microsoft Office Word</Application>
  <DocSecurity>0</DocSecurity>
  <Lines>17</Lines>
  <Paragraphs>4</Paragraphs>
  <ScaleCrop>false</ScaleCrop>
  <Company/>
  <LinksUpToDate>false</LinksUpToDate>
  <CharactersWithSpaces>2420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Bick</dc:creator>
  <cp:keywords/>
  <dc:description/>
  <cp:lastModifiedBy>Sarah Bick</cp:lastModifiedBy>
  <cp:revision>1</cp:revision>
  <dcterms:created xsi:type="dcterms:W3CDTF">2020-11-20T10:33:00Z</dcterms:created>
  <dcterms:modified xsi:type="dcterms:W3CDTF">2020-11-20T10:35:00Z</dcterms:modified>
</cp:coreProperties>
</file>