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8AFB8" w14:textId="49B8BF4A" w:rsidR="003B17B4" w:rsidRDefault="003E285E">
      <w:pPr>
        <w:pStyle w:val="ArticleTitle"/>
      </w:pPr>
      <w:r>
        <w:t>Supplementary Material</w:t>
      </w:r>
    </w:p>
    <w:p w14:paraId="65A2A063" w14:textId="75E7C05A" w:rsidR="00734F90" w:rsidRDefault="00CA2F4A" w:rsidP="007C47CB">
      <w:pPr>
        <w:pStyle w:val="ArticleTitle"/>
      </w:pPr>
      <w:r>
        <w:t xml:space="preserve">Understanding </w:t>
      </w:r>
      <w:r w:rsidR="0092492D">
        <w:t xml:space="preserve">the Potential of </w:t>
      </w:r>
      <w:r>
        <w:t xml:space="preserve">Light Absorption in </w:t>
      </w:r>
      <w:r>
        <w:rPr>
          <w:color w:val="000000"/>
        </w:rPr>
        <w:t>Dots-in-Host Semiconductors</w:t>
      </w:r>
      <w:r w:rsidR="003E285E">
        <w:br w:type="page"/>
      </w:r>
    </w:p>
    <w:p w14:paraId="2AEFF27F" w14:textId="77777777" w:rsidR="00734F90" w:rsidRDefault="003E285E">
      <w:pPr>
        <w:pStyle w:val="SMHeading"/>
        <w:tabs>
          <w:tab w:val="num" w:pos="720"/>
        </w:tabs>
      </w:pPr>
      <w:r>
        <w:lastRenderedPageBreak/>
        <w:t>Mathematical Foundations</w:t>
      </w:r>
    </w:p>
    <w:p w14:paraId="5236C7A1" w14:textId="55E03568" w:rsidR="00734F90" w:rsidRDefault="003E285E">
      <w:pPr>
        <w:pStyle w:val="ArticleBody"/>
      </w:pPr>
      <w:r>
        <w:t xml:space="preserve">Here the authors provide </w:t>
      </w:r>
      <w:r w:rsidR="006C7C0A">
        <w:t>a</w:t>
      </w:r>
      <w:r>
        <w:t xml:space="preserve"> detailed development of the theoretical concepts used to obtain the results shown in the Main Manuscript. The </w:t>
      </w:r>
      <w:r w:rsidR="0013506A">
        <w:t xml:space="preserve">complete </w:t>
      </w:r>
      <w:r>
        <w:t>development of Equation 1 in the Main Manuscript was already shown in a previous work</w:t>
      </w:r>
      <w:r w:rsidR="0013506A">
        <w:t>.</w:t>
      </w:r>
      <w:r w:rsidR="0013506A">
        <w:fldChar w:fldCharType="begin"/>
      </w:r>
      <w:r w:rsidR="00D12114">
        <w:instrText xml:space="preserve"> ADDIN ZOTERO_ITEM CSL_CITATION {"citationID":"ueVc53TQ","properties":{"formattedCitation":"[1]","plainCitation":"[1]","noteIndex":0},"citationItems":[{"id":284,"uris":["http://zotero.org/users/6410717/items/GKDDRQHX"],"itemData":{"id":284,"type":"article-journal","abstract":"Insightful knowledge on quantum nanostructured materials is paramount to engineer and exploit their vast gamut of applications. Here, a formalism based on the single-band effective mass equation was developed to determine the light absorption of colloidal quantum dots (CQDs) embedded in a wider bandgap semiconductor host, employing only three parameters (dots/host potential barrier, effective mass, and QD size). It was ascertained how to tune such parameters to design the energy level structure and consequent optical response. Our findings show that the CQD size has the biggest effect on the number and energy of the confined levels, while the potential barrier causes a linear shift of their values. While smaller QDs allow wider energetic separation between levels (as desired for most quantum-based technologies), the larger dots with higher number of levels are those that exhibit the strongest absorption. Nevertheless, it was unprecedently shown that such quantum-enabled absorption coefficients can reach the levels (104–105</w:instrText>
      </w:r>
      <w:r w:rsidR="00D12114">
        <w:rPr>
          <w:rFonts w:ascii="Times New Roman" w:hAnsi="Times New Roman" w:cs="Times New Roman"/>
        </w:rPr>
        <w:instrText> </w:instrText>
      </w:r>
      <w:r w:rsidR="00D12114">
        <w:instrText>cm</w:instrText>
      </w:r>
      <w:r w:rsidR="00D12114">
        <w:rPr>
          <w:rFonts w:cs="Garamond"/>
        </w:rPr>
        <w:instrText>−</w:instrText>
      </w:r>
      <w:r w:rsidR="00D12114">
        <w:instrText xml:space="preserve">1) of bulk semiconductors.","container-title":"Light: Science &amp; Applications","DOI":"10.1038/s41377-021-00671-x","ISSN":"2047-7538","issue":"1","journalAbbreviation":"Light Sci Appl","language":"en","license":"2021 The Author(s)","note":"number: 1\npublisher: Nature Publishing Group","page":"231","source":"www.nature.com","title":"Light management with quantum nanostructured dots-in-host semiconductors","volume":"10","author":[{"family":"Alexandre","given":"M."},{"family":"Águas","given":"H."},{"family":"Fortunato","given":"E."},{"family":"Martins","given":"R."},{"family":"Mendes","given":"M. J."}],"issued":{"date-parts":[["2021",11,17]]}}}],"schema":"https://github.com/citation-style-language/schema/raw/master/csl-citation.json"} </w:instrText>
      </w:r>
      <w:r w:rsidR="0013506A">
        <w:fldChar w:fldCharType="separate"/>
      </w:r>
      <w:r w:rsidR="00D12114" w:rsidRPr="00D12114">
        <w:t>[1]</w:t>
      </w:r>
      <w:r w:rsidR="0013506A">
        <w:fldChar w:fldCharType="end"/>
      </w:r>
    </w:p>
    <w:p w14:paraId="1A954EFF" w14:textId="01EC45AC" w:rsidR="00734F90" w:rsidRDefault="00A041CC">
      <w:pPr>
        <w:pStyle w:val="ArticleBody"/>
      </w:pPr>
      <w:r>
        <w:t xml:space="preserve">The diagonalization matrix can be created via the eigenvectors of the </w:t>
      </w:r>
      <w:proofErr w:type="spellStart"/>
      <w:r>
        <w:t>k.p</w:t>
      </w:r>
      <w:proofErr w:type="spellEnd"/>
      <w:r>
        <w:t xml:space="preserve"> Hamiltonian shown in Equation 2 in the Main Manuscript. To determine the eigenvectors, it is first necessary to determine the eigenvalues, that are as follows (each eigenvalue is doubly degenerate):</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7558"/>
        <w:gridCol w:w="946"/>
      </w:tblGrid>
      <w:tr w:rsidR="00734F90" w14:paraId="36F1A08C" w14:textId="77777777">
        <w:trPr>
          <w:tblHeader/>
        </w:trPr>
        <w:tc>
          <w:tcPr>
            <w:tcW w:w="7558" w:type="dxa"/>
            <w:vAlign w:val="center"/>
          </w:tcPr>
          <w:p w14:paraId="6D044881" w14:textId="77777777" w:rsidR="00734F90" w:rsidRDefault="00BE5E59">
            <w:pPr>
              <w:pStyle w:val="TableContents"/>
            </w:pPr>
            <m:oMathPara>
              <m:oMathParaPr>
                <m:jc m:val="center"/>
              </m:oMathParaPr>
              <m:oMath>
                <m:sSub>
                  <m:sSubPr>
                    <m:ctrlPr>
                      <w:rPr>
                        <w:rFonts w:ascii="Cambria Math" w:hAnsi="Cambria Math"/>
                      </w:rPr>
                    </m:ctrlPr>
                  </m:sSubPr>
                  <m:e>
                    <m:r>
                      <w:rPr>
                        <w:rFonts w:ascii="Cambria Math" w:hAnsi="Cambria Math"/>
                      </w:rPr>
                      <m:t>E</m:t>
                    </m:r>
                  </m:e>
                  <m:sub>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f>
                      <m:fPr>
                        <m:type m:val="lin"/>
                        <m:ctrlPr>
                          <w:rPr>
                            <w:rFonts w:ascii="Cambria Math" w:hAnsi="Cambria Math"/>
                          </w:rPr>
                        </m:ctrlPr>
                      </m:fPr>
                      <m:num>
                        <m:r>
                          <w:rPr>
                            <w:rFonts w:ascii="Cambria Math" w:hAnsi="Cambria Math"/>
                          </w:rPr>
                          <m:t>↑</m:t>
                        </m:r>
                      </m:num>
                      <m:den>
                        <m:r>
                          <w:rPr>
                            <w:rFonts w:ascii="Cambria Math" w:hAnsi="Cambria Math"/>
                          </w:rPr>
                          <m:t>↓</m:t>
                        </m:r>
                      </m:den>
                    </m:f>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g</m:t>
                    </m:r>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w:rPr>
                            <w:rFonts w:ascii="Cambria Math" w:hAnsi="Cambria Math"/>
                          </w:rPr>
                          <m:t>2</m:t>
                        </m:r>
                      </m:sup>
                    </m:sSup>
                    <m:sSup>
                      <m:sSupPr>
                        <m:ctrlPr>
                          <w:rPr>
                            <w:rFonts w:ascii="Cambria Math" w:hAnsi="Cambria Math"/>
                          </w:rPr>
                        </m:ctrlPr>
                      </m:sSupPr>
                      <m:e>
                        <m:r>
                          <w:rPr>
                            <w:rFonts w:ascii="Cambria Math" w:hAnsi="Cambria Math"/>
                          </w:rPr>
                          <m:t>k</m:t>
                        </m:r>
                      </m:e>
                      <m:sup>
                        <m:r>
                          <w:rPr>
                            <w:rFonts w:ascii="Cambria Math" w:hAnsi="Cambria Math"/>
                          </w:rPr>
                          <m:t>2</m:t>
                        </m:r>
                      </m:sup>
                    </m:sSup>
                  </m:num>
                  <m:den>
                    <m:r>
                      <w:rPr>
                        <w:rFonts w:ascii="Cambria Math" w:hAnsi="Cambria Math"/>
                      </w:rPr>
                      <m:t>2</m:t>
                    </m:r>
                    <m:r>
                      <w:rPr>
                        <w:rFonts w:ascii="Cambria Math" w:hAnsi="Cambria Math"/>
                      </w:rPr>
                      <m:t>m</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g</m:t>
                        </m:r>
                      </m:sub>
                    </m:sSub>
                  </m:num>
                  <m:den>
                    <m:r>
                      <w:rPr>
                        <w:rFonts w:ascii="Cambria Math" w:hAnsi="Cambria Math"/>
                      </w:rPr>
                      <m:t>2</m:t>
                    </m:r>
                  </m:den>
                </m:f>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g</m:t>
                                    </m:r>
                                  </m:sub>
                                </m:sSub>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w:rPr>
                                        <w:rFonts w:ascii="Cambria Math" w:hAnsi="Cambria Math"/>
                                      </w:rPr>
                                      <m:t>2</m:t>
                                    </m:r>
                                  </m:sup>
                                </m:sSup>
                                <m:sSup>
                                  <m:sSupPr>
                                    <m:ctrlPr>
                                      <w:rPr>
                                        <w:rFonts w:ascii="Cambria Math" w:hAnsi="Cambria Math"/>
                                      </w:rPr>
                                    </m:ctrlPr>
                                  </m:sSupPr>
                                  <m:e>
                                    <m:r>
                                      <w:rPr>
                                        <w:rFonts w:ascii="Cambria Math" w:hAnsi="Cambria Math"/>
                                      </w:rPr>
                                      <m:t>k</m:t>
                                    </m:r>
                                  </m:e>
                                  <m:sup>
                                    <m:r>
                                      <w:rPr>
                                        <w:rFonts w:ascii="Cambria Math" w:hAnsi="Cambria Math"/>
                                      </w:rPr>
                                      <m:t>2</m:t>
                                    </m:r>
                                  </m:sup>
                                </m:sSup>
                              </m:num>
                              <m:den>
                                <m:r>
                                  <w:rPr>
                                    <w:rFonts w:ascii="Cambria Math" w:hAnsi="Cambria Math"/>
                                  </w:rPr>
                                  <m:t>2</m:t>
                                </m:r>
                                <m:r>
                                  <w:rPr>
                                    <w:rFonts w:ascii="Cambria Math" w:hAnsi="Cambria Math"/>
                                  </w:rPr>
                                  <m:t>m</m:t>
                                </m:r>
                              </m:den>
                            </m:f>
                          </m:e>
                        </m:d>
                      </m:e>
                      <m:sup>
                        <m:r>
                          <w:rPr>
                            <w:rFonts w:ascii="Cambria Math" w:hAnsi="Cambria Math"/>
                          </w:rPr>
                          <m:t>2</m:t>
                        </m:r>
                      </m:sup>
                    </m:sSup>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d>
                  </m:e>
                </m:rad>
              </m:oMath>
            </m:oMathPara>
          </w:p>
        </w:tc>
        <w:tc>
          <w:tcPr>
            <w:tcW w:w="946" w:type="dxa"/>
            <w:vAlign w:val="center"/>
          </w:tcPr>
          <w:p w14:paraId="585E5BB9"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1</w:t>
            </w:r>
            <w:r w:rsidR="00BE5E59">
              <w:fldChar w:fldCharType="end"/>
            </w:r>
            <w:r>
              <w:t>)</w:t>
            </w:r>
          </w:p>
        </w:tc>
      </w:tr>
      <w:tr w:rsidR="00734F90" w14:paraId="0D6C81DC" w14:textId="77777777">
        <w:trPr>
          <w:tblHeader/>
        </w:trPr>
        <w:tc>
          <w:tcPr>
            <w:tcW w:w="7558" w:type="dxa"/>
            <w:vAlign w:val="center"/>
          </w:tcPr>
          <w:p w14:paraId="6EA8FA9D" w14:textId="77777777" w:rsidR="00734F90" w:rsidRDefault="00BE5E59">
            <w:pPr>
              <w:pStyle w:val="TableContents"/>
            </w:pPr>
            <m:oMathPara>
              <m:oMathParaPr>
                <m:jc m:val="center"/>
              </m:oMathParaPr>
              <m:oMath>
                <m:sSub>
                  <m:sSubPr>
                    <m:ctrlPr>
                      <w:rPr>
                        <w:rFonts w:ascii="Cambria Math" w:hAnsi="Cambria Math"/>
                      </w:rPr>
                    </m:ctrlPr>
                  </m:sSubPr>
                  <m:e>
                    <m:r>
                      <w:rPr>
                        <w:rFonts w:ascii="Cambria Math" w:hAnsi="Cambria Math"/>
                      </w:rPr>
                      <m:t>E</m:t>
                    </m:r>
                  </m:e>
                  <m:sub>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f>
                      <m:fPr>
                        <m:type m:val="lin"/>
                        <m:ctrlPr>
                          <w:rPr>
                            <w:rFonts w:ascii="Cambria Math" w:hAnsi="Cambria Math"/>
                          </w:rPr>
                        </m:ctrlPr>
                      </m:fPr>
                      <m:num>
                        <m:r>
                          <w:rPr>
                            <w:rFonts w:ascii="Cambria Math" w:hAnsi="Cambria Math"/>
                          </w:rPr>
                          <m:t>↑</m:t>
                        </m:r>
                      </m:num>
                      <m:den>
                        <m:r>
                          <w:rPr>
                            <w:rFonts w:ascii="Cambria Math" w:hAnsi="Cambria Math"/>
                          </w:rPr>
                          <m:t>↓</m:t>
                        </m:r>
                      </m:den>
                    </m:f>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w:rPr>
                            <w:rFonts w:ascii="Cambria Math" w:hAnsi="Cambria Math"/>
                          </w:rPr>
                          <m:t>2</m:t>
                        </m:r>
                      </m:sup>
                    </m:sSup>
                    <m:sSup>
                      <m:sSupPr>
                        <m:ctrlPr>
                          <w:rPr>
                            <w:rFonts w:ascii="Cambria Math" w:hAnsi="Cambria Math"/>
                          </w:rPr>
                        </m:ctrlPr>
                      </m:sSupPr>
                      <m:e>
                        <m:r>
                          <w:rPr>
                            <w:rFonts w:ascii="Cambria Math" w:hAnsi="Cambria Math"/>
                          </w:rPr>
                          <m:t>k</m:t>
                        </m:r>
                      </m:e>
                      <m:sup>
                        <m:r>
                          <w:rPr>
                            <w:rFonts w:ascii="Cambria Math" w:hAnsi="Cambria Math"/>
                          </w:rPr>
                          <m:t>2</m:t>
                        </m:r>
                      </m:sup>
                    </m:sSup>
                  </m:num>
                  <m:den>
                    <m:r>
                      <w:rPr>
                        <w:rFonts w:ascii="Cambria Math" w:hAnsi="Cambria Math"/>
                      </w:rPr>
                      <m:t>2</m:t>
                    </m:r>
                    <m:r>
                      <w:rPr>
                        <w:rFonts w:ascii="Cambria Math" w:hAnsi="Cambria Math"/>
                      </w:rPr>
                      <m:t>m</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g</m:t>
                        </m:r>
                      </m:sub>
                    </m:sSub>
                  </m:num>
                  <m:den>
                    <m:r>
                      <w:rPr>
                        <w:rFonts w:ascii="Cambria Math" w:hAnsi="Cambria Math"/>
                      </w:rPr>
                      <m:t>2</m:t>
                    </m:r>
                  </m:den>
                </m:f>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g</m:t>
                                    </m:r>
                                  </m:sub>
                                </m:sSub>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w:rPr>
                                        <w:rFonts w:ascii="Cambria Math" w:hAnsi="Cambria Math"/>
                                      </w:rPr>
                                      <m:t>2</m:t>
                                    </m:r>
                                  </m:sup>
                                </m:sSup>
                                <m:sSup>
                                  <m:sSupPr>
                                    <m:ctrlPr>
                                      <w:rPr>
                                        <w:rFonts w:ascii="Cambria Math" w:hAnsi="Cambria Math"/>
                                      </w:rPr>
                                    </m:ctrlPr>
                                  </m:sSupPr>
                                  <m:e>
                                    <m:r>
                                      <w:rPr>
                                        <w:rFonts w:ascii="Cambria Math" w:hAnsi="Cambria Math"/>
                                      </w:rPr>
                                      <m:t>k</m:t>
                                    </m:r>
                                  </m:e>
                                  <m:sup>
                                    <m:r>
                                      <w:rPr>
                                        <w:rFonts w:ascii="Cambria Math" w:hAnsi="Cambria Math"/>
                                      </w:rPr>
                                      <m:t>2</m:t>
                                    </m:r>
                                  </m:sup>
                                </m:sSup>
                              </m:num>
                              <m:den>
                                <m:r>
                                  <w:rPr>
                                    <w:rFonts w:ascii="Cambria Math" w:hAnsi="Cambria Math"/>
                                  </w:rPr>
                                  <m:t>2</m:t>
                                </m:r>
                                <m:r>
                                  <w:rPr>
                                    <w:rFonts w:ascii="Cambria Math" w:hAnsi="Cambria Math"/>
                                  </w:rPr>
                                  <m:t>m</m:t>
                                </m:r>
                              </m:den>
                            </m:f>
                          </m:e>
                        </m:d>
                      </m:e>
                      <m:sup>
                        <m:r>
                          <w:rPr>
                            <w:rFonts w:ascii="Cambria Math" w:hAnsi="Cambria Math"/>
                          </w:rPr>
                          <m:t>2</m:t>
                        </m:r>
                      </m:sup>
                    </m:sSup>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d>
                  </m:e>
                </m:rad>
              </m:oMath>
            </m:oMathPara>
          </w:p>
        </w:tc>
        <w:tc>
          <w:tcPr>
            <w:tcW w:w="946" w:type="dxa"/>
            <w:vAlign w:val="center"/>
          </w:tcPr>
          <w:p w14:paraId="63A35E7B"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2</w:t>
            </w:r>
            <w:r w:rsidR="00BE5E59">
              <w:fldChar w:fldCharType="end"/>
            </w:r>
            <w:r>
              <w:t>)</w:t>
            </w:r>
          </w:p>
        </w:tc>
      </w:tr>
    </w:tbl>
    <w:p w14:paraId="16BE7AFD" w14:textId="77777777" w:rsidR="00734F90" w:rsidRDefault="003E285E">
      <w:pPr>
        <w:pStyle w:val="ArticleBody"/>
      </w:pPr>
      <w:r>
        <w:t xml:space="preserve">Where </w:t>
      </w:r>
      <w:proofErr w:type="spellStart"/>
      <w:r>
        <w:t>E</w:t>
      </w:r>
      <w:r>
        <w:rPr>
          <w:vertAlign w:val="subscript"/>
        </w:rPr>
        <w:t>g</w:t>
      </w:r>
      <w:proofErr w:type="spellEnd"/>
      <w:r>
        <w:t xml:space="preserve"> is the host bandgap, m is the effective mass of the QD material, k</w:t>
      </w:r>
      <w:r>
        <w:rPr>
          <w:vertAlign w:val="superscript"/>
        </w:rPr>
        <w:t>2</w:t>
      </w:r>
      <w:r>
        <w:t xml:space="preserve"> is the wave-vector magnitude, </w:t>
      </w:r>
      <m:oMath>
        <m:r>
          <w:rPr>
            <w:rFonts w:ascii="Cambria Math" w:hAnsi="Cambria Math"/>
            <w:sz w:val="20"/>
            <w:szCs w:val="20"/>
          </w:rPr>
          <m:t>A=ℏ</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l</m:t>
            </m:r>
          </m:sub>
        </m:sSub>
        <m:f>
          <m:fPr>
            <m:type m:val="lin"/>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z</m:t>
                </m:r>
              </m:sub>
            </m:sSub>
          </m:num>
          <m:den>
            <m:r>
              <w:rPr>
                <w:rFonts w:ascii="Cambria Math" w:hAnsi="Cambria Math"/>
                <w:sz w:val="20"/>
                <w:szCs w:val="20"/>
              </w:rPr>
              <m:t>m</m:t>
            </m:r>
          </m:den>
        </m:f>
      </m:oMath>
      <w:r>
        <w:t xml:space="preserve"> and </w:t>
      </w:r>
      <m:oMath>
        <m:r>
          <w:rPr>
            <w:rFonts w:ascii="Cambria Math" w:hAnsi="Cambria Math"/>
            <w:sz w:val="20"/>
            <w:szCs w:val="20"/>
          </w:rPr>
          <m:t>B=ℏ</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f>
          <m:fPr>
            <m:type m:val="lin"/>
            <m:ctrlPr>
              <w:rPr>
                <w:rFonts w:ascii="Cambria Math" w:hAnsi="Cambria Math"/>
                <w:sz w:val="20"/>
                <w:szCs w:val="20"/>
              </w:rPr>
            </m:ctrlPr>
          </m:fPr>
          <m:num>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x</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ik</m:t>
                    </m:r>
                  </m:e>
                  <m:sub>
                    <m:r>
                      <w:rPr>
                        <w:rFonts w:ascii="Cambria Math" w:hAnsi="Cambria Math"/>
                        <w:sz w:val="20"/>
                        <w:szCs w:val="20"/>
                      </w:rPr>
                      <m:t>y</m:t>
                    </m:r>
                  </m:sub>
                </m:sSub>
              </m:e>
            </m:d>
          </m:num>
          <m:den>
            <m:r>
              <w:rPr>
                <w:rFonts w:ascii="Cambria Math" w:hAnsi="Cambria Math"/>
                <w:sz w:val="20"/>
                <w:szCs w:val="20"/>
              </w:rPr>
              <m:t>m</m:t>
            </m:r>
          </m:den>
        </m:f>
      </m:oMath>
      <w:r>
        <w:t>. In these last simplifications, P</w:t>
      </w:r>
      <w:r>
        <w:rPr>
          <w:vertAlign w:val="subscript"/>
        </w:rPr>
        <w:t>l</w:t>
      </w:r>
      <w:r>
        <w:t xml:space="preserve"> and P</w:t>
      </w:r>
      <w:r>
        <w:rPr>
          <w:vertAlign w:val="subscript"/>
        </w:rPr>
        <w:t>t</w:t>
      </w:r>
      <w:r>
        <w:t xml:space="preserve"> are the longitudinal and transverse momentum matrix elements.</w:t>
      </w:r>
    </w:p>
    <w:p w14:paraId="2480F9E1" w14:textId="77777777" w:rsidR="00734F90" w:rsidRDefault="003E285E">
      <w:pPr>
        <w:pStyle w:val="ArticleBody"/>
      </w:pPr>
      <w:r>
        <w:t>The eigenvectors are thus as follows.</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7558"/>
        <w:gridCol w:w="946"/>
      </w:tblGrid>
      <w:tr w:rsidR="00734F90" w14:paraId="080C1CED" w14:textId="77777777">
        <w:trPr>
          <w:tblHeader/>
        </w:trPr>
        <w:tc>
          <w:tcPr>
            <w:tcW w:w="7558" w:type="dxa"/>
            <w:vAlign w:val="center"/>
          </w:tcPr>
          <w:p w14:paraId="02FEE889" w14:textId="691D5679" w:rsidR="00734F90" w:rsidRDefault="00BE5E59">
            <w:pPr>
              <w:pStyle w:val="TableContents"/>
            </w:pPr>
            <m:oMathPara>
              <m:oMathParaPr>
                <m:jc m:val="center"/>
              </m:oMathParaPr>
              <m:oMath>
                <m:d>
                  <m:dPr>
                    <m:begChr m:val="|"/>
                    <m:endChr m:val=""/>
                    <m:ctrlPr>
                      <w:rPr>
                        <w:rFonts w:ascii="Cambria Math" w:hAnsi="Cambria Math"/>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α</m:t>
                        </m:r>
                      </m:sub>
                    </m:sSub>
                  </m:den>
                </m:f>
                <m:d>
                  <m:dPr>
                    <m:begChr m:val="["/>
                    <m:endChr m:val="]"/>
                    <m:ctrlPr>
                      <w:rPr>
                        <w:rFonts w:ascii="Cambria Math" w:hAnsi="Cambria Math"/>
                      </w:rPr>
                    </m:ctrlPr>
                  </m:dPr>
                  <m:e>
                    <m:eqArr>
                      <m:eqArrPr>
                        <m:ctrlPr>
                          <w:rPr>
                            <w:rFonts w:ascii="Cambria Math" w:hAnsi="Cambria Math"/>
                          </w:rPr>
                        </m:ctrlPr>
                      </m:eqArrPr>
                      <m:e>
                        <m:r>
                          <w:rPr>
                            <w:rFonts w:ascii="Cambria Math" w:hAnsi="Cambria Math"/>
                          </w:rPr>
                          <m:t>-</m:t>
                        </m:r>
                        <m:r>
                          <w:rPr>
                            <w:rFonts w:ascii="Cambria Math" w:hAnsi="Cambria Math"/>
                          </w:rPr>
                          <m:t>B</m:t>
                        </m:r>
                      </m:e>
                      <m:e>
                        <m:r>
                          <w:rPr>
                            <w:rFonts w:ascii="Cambria Math" w:hAnsi="Cambria Math"/>
                          </w:rPr>
                          <m:t>A</m:t>
                        </m:r>
                      </m:e>
                      <m:e>
                        <m:r>
                          <w:rPr>
                            <w:rFonts w:ascii="Cambria Math" w:hAnsi="Cambria Math"/>
                          </w:rPr>
                          <m:t>0</m:t>
                        </m:r>
                      </m:e>
                      <m:e>
                        <m:r>
                          <w:rPr>
                            <w:rFonts w:ascii="Cambria Math" w:hAnsi="Cambria Math"/>
                          </w:rPr>
                          <m:t>α</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eqArr>
                  </m:e>
                </m:d>
              </m:oMath>
            </m:oMathPara>
          </w:p>
        </w:tc>
        <w:tc>
          <w:tcPr>
            <w:tcW w:w="946" w:type="dxa"/>
            <w:vAlign w:val="center"/>
          </w:tcPr>
          <w:p w14:paraId="082B814D"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3</w:t>
            </w:r>
            <w:r w:rsidR="00BE5E59">
              <w:fldChar w:fldCharType="end"/>
            </w:r>
            <w:r>
              <w:t>)</w:t>
            </w:r>
          </w:p>
        </w:tc>
      </w:tr>
      <w:tr w:rsidR="00734F90" w14:paraId="415B1DBF" w14:textId="77777777">
        <w:trPr>
          <w:tblHeader/>
        </w:trPr>
        <w:tc>
          <w:tcPr>
            <w:tcW w:w="7558" w:type="dxa"/>
            <w:vAlign w:val="center"/>
          </w:tcPr>
          <w:p w14:paraId="53BE722D" w14:textId="79E4F137" w:rsidR="00734F90" w:rsidRDefault="00BE5E59">
            <w:pPr>
              <w:pStyle w:val="TableContents"/>
            </w:pPr>
            <m:oMathPara>
              <m:oMathParaPr>
                <m:jc m:val="center"/>
              </m:oMathParaPr>
              <m:oMath>
                <m:d>
                  <m:dPr>
                    <m:begChr m:val="|"/>
                    <m:endChr m:val=""/>
                    <m:ctrlPr>
                      <w:rPr>
                        <w:rFonts w:ascii="Cambria Math" w:hAnsi="Cambria Math"/>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α</m:t>
                        </m:r>
                      </m:sub>
                    </m:sSub>
                  </m:den>
                </m:f>
                <m:d>
                  <m:dPr>
                    <m:begChr m:val="["/>
                    <m:endChr m:val="]"/>
                    <m:ctrlPr>
                      <w:rPr>
                        <w:rFonts w:ascii="Cambria Math" w:hAnsi="Cambria Math"/>
                      </w:rPr>
                    </m:ctrlPr>
                  </m:dPr>
                  <m:e>
                    <m:eqArr>
                      <m:eqArrPr>
                        <m:ctrlPr>
                          <w:rPr>
                            <w:rFonts w:ascii="Cambria Math" w:hAnsi="Cambria Math"/>
                          </w:rPr>
                        </m:ctrlPr>
                      </m:eqArrPr>
                      <m:e>
                        <m:r>
                          <w:rPr>
                            <w:rFonts w:ascii="Cambria Math" w:hAnsi="Cambria Math"/>
                          </w:rPr>
                          <m:t>A</m:t>
                        </m:r>
                      </m:e>
                      <m:e>
                        <m:sSup>
                          <m:sSupPr>
                            <m:ctrlPr>
                              <w:rPr>
                                <w:rFonts w:ascii="Cambria Math" w:hAnsi="Cambria Math"/>
                              </w:rPr>
                            </m:ctrlPr>
                          </m:sSupPr>
                          <m:e>
                            <m:r>
                              <w:rPr>
                                <w:rFonts w:ascii="Cambria Math" w:hAnsi="Cambria Math"/>
                              </w:rPr>
                              <m:t>B</m:t>
                            </m:r>
                          </m:e>
                          <m:sup>
                            <m:r>
                              <m:rPr>
                                <m:lit/>
                                <m:nor/>
                              </m:rPr>
                              <w:rPr>
                                <w:rFonts w:ascii="Cambria Math" w:hAnsi="Cambria Math"/>
                              </w:rPr>
                              <m:t>*</m:t>
                            </m:r>
                          </m:sup>
                        </m:sSup>
                      </m:e>
                      <m:e>
                        <m:r>
                          <w:rPr>
                            <w:rFonts w:ascii="Cambria Math" w:hAnsi="Cambria Math"/>
                          </w:rPr>
                          <m:t>-</m:t>
                        </m:r>
                        <m:d>
                          <m:dPr>
                            <m:ctrlPr>
                              <w:rPr>
                                <w:rFonts w:ascii="Cambria Math" w:hAnsi="Cambria Math"/>
                              </w:rPr>
                            </m:ctrlPr>
                          </m:dPr>
                          <m:e>
                            <m:r>
                              <w:rPr>
                                <w:rFonts w:ascii="Cambria Math" w:hAnsi="Cambria Math"/>
                              </w:rPr>
                              <m:t>α</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d>
                      </m:e>
                      <m:e>
                        <m:r>
                          <w:rPr>
                            <w:rFonts w:ascii="Cambria Math" w:hAnsi="Cambria Math"/>
                          </w:rPr>
                          <m:t>0</m:t>
                        </m:r>
                      </m:e>
                    </m:eqArr>
                  </m:e>
                </m:d>
              </m:oMath>
            </m:oMathPara>
          </w:p>
        </w:tc>
        <w:tc>
          <w:tcPr>
            <w:tcW w:w="946" w:type="dxa"/>
            <w:vAlign w:val="center"/>
          </w:tcPr>
          <w:p w14:paraId="4C2EFADF"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4</w:t>
            </w:r>
            <w:r w:rsidR="00BE5E59">
              <w:fldChar w:fldCharType="end"/>
            </w:r>
            <w:r>
              <w:t>)</w:t>
            </w:r>
          </w:p>
        </w:tc>
      </w:tr>
      <w:tr w:rsidR="00734F90" w14:paraId="03E9D084" w14:textId="77777777">
        <w:trPr>
          <w:tblHeader/>
        </w:trPr>
        <w:tc>
          <w:tcPr>
            <w:tcW w:w="7558" w:type="dxa"/>
            <w:vAlign w:val="center"/>
          </w:tcPr>
          <w:p w14:paraId="5F90EEF8" w14:textId="16A49E69" w:rsidR="00734F90" w:rsidRDefault="00BE5E59">
            <w:pPr>
              <w:pStyle w:val="TableContents"/>
            </w:pPr>
            <m:oMathPara>
              <m:oMathParaPr>
                <m:jc m:val="center"/>
              </m:oMathParaPr>
              <m:oMath>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α</m:t>
                        </m:r>
                      </m:sub>
                    </m:sSub>
                  </m:den>
                </m:f>
                <m:d>
                  <m:dPr>
                    <m:begChr m:val="["/>
                    <m:endChr m:val="]"/>
                    <m:ctrlPr>
                      <w:rPr>
                        <w:rFonts w:ascii="Cambria Math" w:hAnsi="Cambria Math"/>
                      </w:rPr>
                    </m:ctrlPr>
                  </m:dPr>
                  <m:e>
                    <m:eqArr>
                      <m:eqArrPr>
                        <m:ctrlPr>
                          <w:rPr>
                            <w:rFonts w:ascii="Cambria Math" w:hAnsi="Cambria Math"/>
                          </w:rPr>
                        </m:ctrlPr>
                      </m:eqArrPr>
                      <m:e>
                        <m:r>
                          <w:rPr>
                            <w:rFonts w:ascii="Cambria Math" w:hAnsi="Cambria Math"/>
                          </w:rPr>
                          <m:t>0</m:t>
                        </m:r>
                      </m:e>
                      <m:e>
                        <m:r>
                          <w:rPr>
                            <w:rFonts w:ascii="Cambria Math" w:hAnsi="Cambria Math"/>
                          </w:rPr>
                          <m:t>α</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e>
                        <m:r>
                          <w:rPr>
                            <w:rFonts w:ascii="Cambria Math" w:hAnsi="Cambria Math"/>
                          </w:rPr>
                          <m:t>B</m:t>
                        </m:r>
                      </m:e>
                      <m:e>
                        <m:r>
                          <w:rPr>
                            <w:rFonts w:ascii="Cambria Math" w:hAnsi="Cambria Math"/>
                          </w:rPr>
                          <m:t>-</m:t>
                        </m:r>
                        <m:r>
                          <w:rPr>
                            <w:rFonts w:ascii="Cambria Math" w:hAnsi="Cambria Math"/>
                          </w:rPr>
                          <m:t>A</m:t>
                        </m:r>
                      </m:e>
                    </m:eqArr>
                  </m:e>
                </m:d>
              </m:oMath>
            </m:oMathPara>
          </w:p>
        </w:tc>
        <w:tc>
          <w:tcPr>
            <w:tcW w:w="946" w:type="dxa"/>
            <w:vAlign w:val="center"/>
          </w:tcPr>
          <w:p w14:paraId="562C7DFA"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5</w:t>
            </w:r>
            <w:r w:rsidR="00BE5E59">
              <w:fldChar w:fldCharType="end"/>
            </w:r>
            <w:r>
              <w:t>)</w:t>
            </w:r>
          </w:p>
        </w:tc>
      </w:tr>
      <w:tr w:rsidR="00734F90" w14:paraId="630071BE" w14:textId="77777777">
        <w:trPr>
          <w:tblHeader/>
        </w:trPr>
        <w:tc>
          <w:tcPr>
            <w:tcW w:w="7558" w:type="dxa"/>
            <w:vAlign w:val="center"/>
          </w:tcPr>
          <w:p w14:paraId="3BF1129F" w14:textId="3DEDE51C" w:rsidR="00734F90" w:rsidRDefault="00BE5E59">
            <w:pPr>
              <w:pStyle w:val="TableContents"/>
            </w:pPr>
            <m:oMathPara>
              <m:oMathParaPr>
                <m:jc m:val="center"/>
              </m:oMathParaPr>
              <m:oMath>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α</m:t>
                        </m:r>
                      </m:sub>
                    </m:sSub>
                  </m:den>
                </m:f>
                <m:d>
                  <m:dPr>
                    <m:begChr m:val="["/>
                    <m:endChr m:val="]"/>
                    <m:ctrlPr>
                      <w:rPr>
                        <w:rFonts w:ascii="Cambria Math" w:hAnsi="Cambria Math"/>
                      </w:rPr>
                    </m:ctrlPr>
                  </m:dPr>
                  <m:e>
                    <m:eqArr>
                      <m:eqArrPr>
                        <m:ctrlPr>
                          <w:rPr>
                            <w:rFonts w:ascii="Cambria Math" w:hAnsi="Cambria Math"/>
                          </w:rPr>
                        </m:ctrlPr>
                      </m:eqArrPr>
                      <m:e>
                        <m:r>
                          <w:rPr>
                            <w:rFonts w:ascii="Cambria Math" w:hAnsi="Cambria Math"/>
                          </w:rPr>
                          <m:t>α</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e>
                        <m:r>
                          <w:rPr>
                            <w:rFonts w:ascii="Cambria Math" w:hAnsi="Cambria Math"/>
                          </w:rPr>
                          <m:t>0</m:t>
                        </m:r>
                      </m:e>
                      <m:e>
                        <m:r>
                          <w:rPr>
                            <w:rFonts w:ascii="Cambria Math" w:hAnsi="Cambria Math"/>
                          </w:rPr>
                          <m:t>A</m:t>
                        </m:r>
                      </m:e>
                      <m:e>
                        <m:r>
                          <w:rPr>
                            <w:rFonts w:ascii="Cambria Math" w:hAnsi="Cambria Math"/>
                          </w:rPr>
                          <m:t>B</m:t>
                        </m:r>
                      </m:e>
                    </m:eqArr>
                  </m:e>
                </m:d>
              </m:oMath>
            </m:oMathPara>
          </w:p>
        </w:tc>
        <w:tc>
          <w:tcPr>
            <w:tcW w:w="946" w:type="dxa"/>
            <w:vAlign w:val="center"/>
          </w:tcPr>
          <w:p w14:paraId="2A644038"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6</w:t>
            </w:r>
            <w:r w:rsidR="00BE5E59">
              <w:fldChar w:fldCharType="end"/>
            </w:r>
            <w:r>
              <w:t>)</w:t>
            </w:r>
          </w:p>
        </w:tc>
      </w:tr>
    </w:tbl>
    <w:p w14:paraId="23187837" w14:textId="77777777" w:rsidR="00734F90" w:rsidRDefault="003E285E">
      <w:pPr>
        <w:pStyle w:val="ArticleBody"/>
      </w:pPr>
      <w:r>
        <w:t>Here, the authors chose the following simplifications:</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7558"/>
        <w:gridCol w:w="946"/>
      </w:tblGrid>
      <w:tr w:rsidR="00734F90" w14:paraId="1F9494F8" w14:textId="77777777">
        <w:trPr>
          <w:tblHeader/>
        </w:trPr>
        <w:tc>
          <w:tcPr>
            <w:tcW w:w="7558" w:type="dxa"/>
            <w:vAlign w:val="center"/>
          </w:tcPr>
          <w:p w14:paraId="7CC8A8EC" w14:textId="77777777" w:rsidR="00734F90" w:rsidRDefault="00BE5E59">
            <w:pPr>
              <w:pStyle w:val="TableContents"/>
            </w:pPr>
            <m:oMathPara>
              <m:oMathParaPr>
                <m:jc m:val="center"/>
              </m:oMathParaPr>
              <m:oMath>
                <m:eqArr>
                  <m:eqArrPr>
                    <m:ctrlPr>
                      <w:rPr>
                        <w:rFonts w:ascii="Cambria Math" w:hAnsi="Cambria Math"/>
                      </w:rPr>
                    </m:ctrlPr>
                  </m:eqArrPr>
                  <m:e>
                    <m:r>
                      <w:rPr>
                        <w:rFonts w:ascii="Cambria Math" w:hAnsi="Cambria Math"/>
                      </w:rPr>
                      <m:t>α</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g</m:t>
                            </m:r>
                          </m:sub>
                        </m:sSub>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w:rPr>
                                <w:rFonts w:ascii="Cambria Math" w:hAnsi="Cambria Math"/>
                              </w:rPr>
                              <m:t>2</m:t>
                            </m:r>
                          </m:sup>
                        </m:sSup>
                        <m:sSup>
                          <m:sSupPr>
                            <m:ctrlPr>
                              <w:rPr>
                                <w:rFonts w:ascii="Cambria Math" w:hAnsi="Cambria Math"/>
                              </w:rPr>
                            </m:ctrlPr>
                          </m:sSupPr>
                          <m:e>
                            <m:r>
                              <w:rPr>
                                <w:rFonts w:ascii="Cambria Math" w:hAnsi="Cambria Math"/>
                              </w:rPr>
                              <m:t>k</m:t>
                            </m:r>
                          </m:e>
                          <m:sup>
                            <m:r>
                              <w:rPr>
                                <w:rFonts w:ascii="Cambria Math" w:hAnsi="Cambria Math"/>
                              </w:rPr>
                              <m:t>2</m:t>
                            </m:r>
                          </m:sup>
                        </m:sSup>
                      </m:num>
                      <m:den>
                        <m:r>
                          <w:rPr>
                            <w:rFonts w:ascii="Cambria Math" w:hAnsi="Cambria Math"/>
                          </w:rPr>
                          <m:t>2</m:t>
                        </m:r>
                        <m:r>
                          <w:rPr>
                            <w:rFonts w:ascii="Cambria Math" w:hAnsi="Cambria Math"/>
                          </w:rPr>
                          <m:t>m</m:t>
                        </m:r>
                      </m:den>
                    </m:f>
                  </m:e>
                  <m:e>
                    <m:sSub>
                      <m:sSubPr>
                        <m:ctrlPr>
                          <w:rPr>
                            <w:rFonts w:ascii="Cambria Math" w:hAnsi="Cambria Math"/>
                          </w:rPr>
                        </m:ctrlPr>
                      </m:sSubPr>
                      <m:e>
                        <m:r>
                          <w:rPr>
                            <w:rFonts w:ascii="Cambria Math" w:hAnsi="Cambria Math"/>
                          </w:rPr>
                          <m:t>C</m:t>
                        </m:r>
                      </m:e>
                      <m:sub>
                        <m:r>
                          <w:rPr>
                            <w:rFonts w:ascii="Cambria Math" w:hAnsi="Cambria Math"/>
                          </w:rPr>
                          <m:t>α</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α</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eqArr>
              </m:oMath>
            </m:oMathPara>
          </w:p>
        </w:tc>
        <w:tc>
          <w:tcPr>
            <w:tcW w:w="946" w:type="dxa"/>
            <w:vAlign w:val="center"/>
          </w:tcPr>
          <w:p w14:paraId="390568DC"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7</w:t>
            </w:r>
            <w:r w:rsidR="00BE5E59">
              <w:fldChar w:fldCharType="end"/>
            </w:r>
            <w:r>
              <w:t>)</w:t>
            </w:r>
          </w:p>
        </w:tc>
      </w:tr>
    </w:tbl>
    <w:p w14:paraId="2223A7CA" w14:textId="2F33DEDD" w:rsidR="00734F90" w:rsidRDefault="0013506A">
      <w:pPr>
        <w:pStyle w:val="ArticleBody"/>
      </w:pPr>
      <w:r>
        <w:t xml:space="preserve">The adjoint transformation matrix is necessary for the similarity transformation as it is the matrix that expands the diagonalized eigenfunctions in the </w:t>
      </w:r>
      <w:proofErr w:type="spellStart"/>
      <w:r>
        <w:t>k.p</w:t>
      </w:r>
      <w:proofErr w:type="spellEnd"/>
      <w:r>
        <w:t xml:space="preserve"> basis (Equation S8 </w:t>
      </w:r>
      <w:r w:rsidR="006C7C0A">
        <w:t xml:space="preserve">- </w:t>
      </w:r>
      <w:r>
        <w:t xml:space="preserve">top equation for </w:t>
      </w:r>
      <m:oMath>
        <m:sSubSup>
          <m:sSubSupPr>
            <m:ctrlPr>
              <w:rPr>
                <w:rFonts w:ascii="Cambria Math" w:hAnsi="Cambria Math"/>
                <w:sz w:val="20"/>
                <w:szCs w:val="20"/>
              </w:rPr>
            </m:ctrlPr>
          </m:sSubSupPr>
          <m:e>
            <m:r>
              <w:rPr>
                <w:rFonts w:ascii="Cambria Math" w:hAnsi="Cambria Math"/>
                <w:sz w:val="20"/>
                <w:szCs w:val="20"/>
              </w:rPr>
              <m:t>L</m:t>
            </m:r>
          </m:e>
          <m:sub>
            <m:r>
              <w:rPr>
                <w:rFonts w:ascii="Cambria Math" w:hAnsi="Cambria Math"/>
                <w:sz w:val="20"/>
                <w:szCs w:val="20"/>
              </w:rPr>
              <m:t>6</m:t>
            </m:r>
          </m:sub>
          <m:sup>
            <m:r>
              <m:rPr>
                <m:lit/>
                <m:nor/>
              </m:rPr>
              <w:rPr>
                <w:rFonts w:ascii="Cambria Math" w:hAnsi="Cambria Math"/>
                <w:sz w:val="20"/>
                <w:szCs w:val="20"/>
              </w:rPr>
              <m:t>+</m:t>
            </m:r>
          </m:sup>
        </m:sSubSup>
        <m:r>
          <w:rPr>
            <w:rFonts w:ascii="Cambria Math" w:hAnsi="Cambria Math"/>
            <w:sz w:val="20"/>
            <w:szCs w:val="20"/>
          </w:rPr>
          <m:t>↑</m:t>
        </m:r>
      </m:oMath>
      <w:r w:rsidR="006C7C0A">
        <w:t>)</w:t>
      </w:r>
      <w:r>
        <w:t xml:space="preserve">. It is important to note that the diagonalized solutions </w:t>
      </w:r>
      <w:r w:rsidR="00A041CC">
        <w:t>are</w:t>
      </w:r>
      <w:r>
        <w:t xml:space="preserve"> a column vector with a single unitary entry — Equation S8 bottom equation — representing each band (in this case </w:t>
      </w:r>
      <w:r w:rsidR="00DF03B0">
        <w:t>there are</w:t>
      </w:r>
      <w:r>
        <w:t xml:space="preserve"> two degenerate conduction and valence bands, as required by the </w:t>
      </w:r>
      <w:proofErr w:type="spellStart"/>
      <w:r>
        <w:t>k.p</w:t>
      </w:r>
      <w:proofErr w:type="spellEnd"/>
      <w:r>
        <w:t xml:space="preserve"> Hamiltonian)</w:t>
      </w:r>
      <w:r w:rsidR="003B17B4">
        <w:t>.</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7558"/>
        <w:gridCol w:w="946"/>
      </w:tblGrid>
      <w:tr w:rsidR="00734F90" w14:paraId="6C2D7447" w14:textId="77777777">
        <w:trPr>
          <w:tblHeader/>
        </w:trPr>
        <w:tc>
          <w:tcPr>
            <w:tcW w:w="7558" w:type="dxa"/>
            <w:vAlign w:val="center"/>
          </w:tcPr>
          <w:p w14:paraId="4CE8C4FA" w14:textId="63D4140E" w:rsidR="00734F90" w:rsidRDefault="00BE5E59">
            <w:pPr>
              <w:pStyle w:val="TableContents"/>
            </w:pPr>
            <m:oMathPara>
              <m:oMathParaPr>
                <m:jc m:val="center"/>
              </m:oMathParaPr>
              <m:oMath>
                <m:eqArr>
                  <m:eqArrPr>
                    <m:ctrlPr>
                      <w:rPr>
                        <w:rFonts w:ascii="Cambria Math" w:hAnsi="Cambria Math"/>
                      </w:rPr>
                    </m:ctrlPr>
                  </m:eqArrPr>
                  <m:e>
                    <m:sSub>
                      <m:sSubPr>
                        <m:ctrlPr>
                          <w:rPr>
                            <w:rFonts w:ascii="Cambria Math" w:hAnsi="Cambria Math"/>
                          </w:rPr>
                        </m:ctrlPr>
                      </m:sSubPr>
                      <m:e>
                        <m:r>
                          <w:rPr>
                            <w:rFonts w:ascii="Cambria Math" w:hAnsi="Cambria Math"/>
                          </w:rPr>
                          <m:t>Ψ</m:t>
                        </m:r>
                      </m:e>
                      <m:sub>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sub>
                    </m:sSub>
                    <m:r>
                      <w:rPr>
                        <w:rFonts w:ascii="Cambria Math" w:hAnsi="Cambria Math"/>
                      </w:rPr>
                      <m:t>=</m:t>
                    </m:r>
                    <m:nary>
                      <m:naryPr>
                        <m:chr m:val="∑"/>
                        <m:ctrlPr>
                          <w:rPr>
                            <w:rFonts w:ascii="Cambria Math" w:hAnsi="Cambria Math"/>
                          </w:rPr>
                        </m:ctrlPr>
                      </m:naryPr>
                      <m:sub>
                        <m:r>
                          <w:rPr>
                            <w:rFonts w:ascii="Cambria Math" w:hAnsi="Cambria Math"/>
                          </w:rPr>
                          <m:t>i</m:t>
                        </m:r>
                      </m:sub>
                      <m:sup>
                        <m:sSub>
                          <m:sSubPr>
                            <m:ctrlPr>
                              <w:rPr>
                                <w:rFonts w:ascii="Cambria Math" w:hAnsi="Cambria Math"/>
                              </w:rPr>
                            </m:ctrlPr>
                          </m:sSubPr>
                          <m:e>
                            <m:r>
                              <w:rPr>
                                <w:rFonts w:ascii="Cambria Math" w:hAnsi="Cambria Math"/>
                              </w:rPr>
                              <m:t>CB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CB</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VB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VB</m:t>
                            </m:r>
                          </m:e>
                          <m:sub>
                            <m:r>
                              <w:rPr>
                                <w:rFonts w:ascii="Cambria Math" w:hAnsi="Cambria Math"/>
                              </w:rPr>
                              <m:t>2</m:t>
                            </m:r>
                          </m:sub>
                        </m:sSub>
                      </m:sup>
                      <m:e>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e>
                    </m:nary>
                    <m:sSub>
                      <m:sSubPr>
                        <m:ctrlPr>
                          <w:rPr>
                            <w:rFonts w:ascii="Cambria Math" w:hAnsi="Cambria Math"/>
                          </w:rPr>
                        </m:ctrlPr>
                      </m:sSubPr>
                      <m:e>
                        <m:r>
                          <w:rPr>
                            <w:rFonts w:ascii="Cambria Math" w:hAnsi="Cambria Math"/>
                          </w:rPr>
                          <m:t>Φ</m:t>
                        </m:r>
                      </m:e>
                      <m:sub>
                        <m:r>
                          <w:rPr>
                            <w:rFonts w:ascii="Cambria Math" w:hAnsi="Cambria Math"/>
                          </w:rPr>
                          <m:t>i</m:t>
                        </m:r>
                      </m:sub>
                    </m:sSub>
                  </m:e>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rPr>
                                </m:ctrlPr>
                              </m:sSubPr>
                              <m:e>
                                <m:r>
                                  <w:rPr>
                                    <w:rFonts w:ascii="Cambria Math" w:hAnsi="Cambria Math"/>
                                  </w:rPr>
                                  <m:t>CB</m:t>
                                </m:r>
                              </m:e>
                              <m:sub>
                                <m:r>
                                  <w:rPr>
                                    <w:rFonts w:ascii="Cambria Math" w:hAnsi="Cambria Math"/>
                                  </w:rPr>
                                  <m:t>1</m:t>
                                </m:r>
                              </m:sub>
                            </m:sSub>
                          </m:e>
                        </m:d>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qArr>
                      </m:e>
                    </m:d>
                    <m:sSub>
                      <m:sSubPr>
                        <m:ctrlPr>
                          <w:rPr>
                            <w:rFonts w:ascii="Cambria Math" w:hAnsi="Cambria Math"/>
                          </w:rPr>
                        </m:ctrlPr>
                      </m:sSubPr>
                      <m:e>
                        <m:r>
                          <w:rPr>
                            <w:rFonts w:ascii="Cambria Math" w:hAnsi="Cambria Math"/>
                          </w:rPr>
                          <m:t>Φ</m:t>
                        </m:r>
                      </m:e>
                      <m:sub>
                        <m:sSub>
                          <m:sSubPr>
                            <m:ctrlPr>
                              <w:rPr>
                                <w:rFonts w:ascii="Cambria Math" w:hAnsi="Cambria Math"/>
                              </w:rPr>
                            </m:ctrlPr>
                          </m:sSubPr>
                          <m:e>
                            <m:r>
                              <w:rPr>
                                <w:rFonts w:ascii="Cambria Math" w:hAnsi="Cambria Math"/>
                              </w:rPr>
                              <m:t>CB</m:t>
                            </m:r>
                          </m:e>
                          <m:sub>
                            <m:r>
                              <w:rPr>
                                <w:rFonts w:ascii="Cambria Math" w:hAnsi="Cambria Math"/>
                              </w:rPr>
                              <m:t>1</m:t>
                            </m:r>
                          </m:sub>
                        </m:sSub>
                      </m:sub>
                    </m:sSub>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rPr>
                                </m:ctrlPr>
                              </m:sSubPr>
                              <m:e>
                                <m:r>
                                  <w:rPr>
                                    <w:rFonts w:ascii="Cambria Math" w:hAnsi="Cambria Math"/>
                                  </w:rPr>
                                  <m:t>CB</m:t>
                                </m:r>
                              </m:e>
                              <m:sub>
                                <m:r>
                                  <w:rPr>
                                    <w:rFonts w:ascii="Cambria Math" w:hAnsi="Cambria Math"/>
                                  </w:rPr>
                                  <m:t>2</m:t>
                                </m:r>
                              </m:sub>
                            </m:sSub>
                          </m:e>
                        </m:d>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qArr>
                      </m:e>
                    </m:d>
                    <m:sSub>
                      <m:sSubPr>
                        <m:ctrlPr>
                          <w:rPr>
                            <w:rFonts w:ascii="Cambria Math" w:hAnsi="Cambria Math"/>
                          </w:rPr>
                        </m:ctrlPr>
                      </m:sSubPr>
                      <m:e>
                        <m:r>
                          <w:rPr>
                            <w:rFonts w:ascii="Cambria Math" w:hAnsi="Cambria Math"/>
                          </w:rPr>
                          <m:t>Φ</m:t>
                        </m:r>
                      </m:e>
                      <m:sub>
                        <m:sSub>
                          <m:sSubPr>
                            <m:ctrlPr>
                              <w:rPr>
                                <w:rFonts w:ascii="Cambria Math" w:hAnsi="Cambria Math"/>
                              </w:rPr>
                            </m:ctrlPr>
                          </m:sSubPr>
                          <m:e>
                            <m:r>
                              <w:rPr>
                                <w:rFonts w:ascii="Cambria Math" w:hAnsi="Cambria Math"/>
                              </w:rPr>
                              <m:t>CB</m:t>
                            </m:r>
                          </m:e>
                          <m:sub>
                            <m:r>
                              <w:rPr>
                                <w:rFonts w:ascii="Cambria Math" w:hAnsi="Cambria Math"/>
                              </w:rPr>
                              <m:t>2</m:t>
                            </m:r>
                          </m:sub>
                        </m:sSub>
                      </m:sub>
                    </m:sSub>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rPr>
                                </m:ctrlPr>
                              </m:sSubPr>
                              <m:e>
                                <m:r>
                                  <w:rPr>
                                    <w:rFonts w:ascii="Cambria Math" w:hAnsi="Cambria Math"/>
                                  </w:rPr>
                                  <m:t>VB</m:t>
                                </m:r>
                              </m:e>
                              <m:sub>
                                <m:r>
                                  <w:rPr>
                                    <w:rFonts w:ascii="Cambria Math" w:hAnsi="Cambria Math"/>
                                  </w:rPr>
                                  <m:t>1</m:t>
                                </m:r>
                              </m:sub>
                            </m:sSub>
                          </m:e>
                        </m:d>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eqArr>
                      </m:e>
                    </m:d>
                    <m:sSub>
                      <m:sSubPr>
                        <m:ctrlPr>
                          <w:rPr>
                            <w:rFonts w:ascii="Cambria Math" w:hAnsi="Cambria Math"/>
                          </w:rPr>
                        </m:ctrlPr>
                      </m:sSubPr>
                      <m:e>
                        <m:r>
                          <w:rPr>
                            <w:rFonts w:ascii="Cambria Math" w:hAnsi="Cambria Math"/>
                          </w:rPr>
                          <m:t>Φ</m:t>
                        </m:r>
                      </m:e>
                      <m:sub>
                        <m:sSub>
                          <m:sSubPr>
                            <m:ctrlPr>
                              <w:rPr>
                                <w:rFonts w:ascii="Cambria Math" w:hAnsi="Cambria Math"/>
                              </w:rPr>
                            </m:ctrlPr>
                          </m:sSubPr>
                          <m:e>
                            <m:r>
                              <w:rPr>
                                <w:rFonts w:ascii="Cambria Math" w:hAnsi="Cambria Math"/>
                              </w:rPr>
                              <m:t>VB</m:t>
                            </m:r>
                          </m:e>
                          <m:sub>
                            <m:r>
                              <w:rPr>
                                <w:rFonts w:ascii="Cambria Math" w:hAnsi="Cambria Math"/>
                              </w:rPr>
                              <m:t>1</m:t>
                            </m:r>
                          </m:sub>
                        </m:sSub>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t>
                            </m:r>
                            <m:r>
                              <w:rPr>
                                <w:rFonts w:ascii="Cambria Math" w:hAnsi="Cambria Math"/>
                              </w:rPr>
                              <m:t>VB</m:t>
                            </m:r>
                          </m:e>
                          <m:sub>
                            <m:r>
                              <w:rPr>
                                <w:rFonts w:ascii="Cambria Math" w:hAnsi="Cambria Math"/>
                              </w:rPr>
                              <m:t>2</m:t>
                            </m:r>
                          </m:sub>
                        </m:sSub>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1</m:t>
                            </m:r>
                          </m:e>
                        </m:eqArr>
                      </m:e>
                    </m:d>
                    <m:sSub>
                      <m:sSubPr>
                        <m:ctrlPr>
                          <w:rPr>
                            <w:rFonts w:ascii="Cambria Math" w:hAnsi="Cambria Math"/>
                          </w:rPr>
                        </m:ctrlPr>
                      </m:sSubPr>
                      <m:e>
                        <m:r>
                          <w:rPr>
                            <w:rFonts w:ascii="Cambria Math" w:hAnsi="Cambria Math"/>
                          </w:rPr>
                          <m:t>Φ</m:t>
                        </m:r>
                      </m:e>
                      <m:sub>
                        <m:sSub>
                          <m:sSubPr>
                            <m:ctrlPr>
                              <w:rPr>
                                <w:rFonts w:ascii="Cambria Math" w:hAnsi="Cambria Math"/>
                              </w:rPr>
                            </m:ctrlPr>
                          </m:sSubPr>
                          <m:e>
                            <m:r>
                              <w:rPr>
                                <w:rFonts w:ascii="Cambria Math" w:hAnsi="Cambria Math"/>
                              </w:rPr>
                              <m:t>VB</m:t>
                            </m:r>
                          </m:e>
                          <m:sub>
                            <m:r>
                              <w:rPr>
                                <w:rFonts w:ascii="Cambria Math" w:hAnsi="Cambria Math"/>
                              </w:rPr>
                              <m:t>2</m:t>
                            </m:r>
                          </m:sub>
                        </m:sSub>
                      </m:sub>
                    </m:sSub>
                  </m:e>
                </m:eqArr>
              </m:oMath>
            </m:oMathPara>
          </w:p>
        </w:tc>
        <w:tc>
          <w:tcPr>
            <w:tcW w:w="946" w:type="dxa"/>
            <w:vAlign w:val="center"/>
          </w:tcPr>
          <w:p w14:paraId="18D9876F"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8</w:t>
            </w:r>
            <w:r w:rsidR="00BE5E59">
              <w:fldChar w:fldCharType="end"/>
            </w:r>
            <w:r>
              <w:t>)</w:t>
            </w:r>
          </w:p>
        </w:tc>
      </w:tr>
    </w:tbl>
    <w:p w14:paraId="26D2C886" w14:textId="77777777" w:rsidR="00734F90" w:rsidRDefault="003E285E">
      <w:pPr>
        <w:pStyle w:val="ArticleBody"/>
      </w:pPr>
      <w:r>
        <w:t xml:space="preserve">As such, the transformation matrix can be defined as follows (Equation S9), where each element represents one of the expansion coefficients of the </w:t>
      </w:r>
      <w:proofErr w:type="spellStart"/>
      <w:r>
        <w:t>envolute</w:t>
      </w:r>
      <w:proofErr w:type="spellEnd"/>
      <w:r>
        <w:t xml:space="preserve"> function in terms of the diagonalized functions.</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7558"/>
        <w:gridCol w:w="946"/>
      </w:tblGrid>
      <w:tr w:rsidR="00734F90" w14:paraId="035A60EF" w14:textId="77777777">
        <w:trPr>
          <w:tblHeader/>
        </w:trPr>
        <w:tc>
          <w:tcPr>
            <w:tcW w:w="7558" w:type="dxa"/>
            <w:vAlign w:val="center"/>
          </w:tcPr>
          <w:p w14:paraId="7F63728D" w14:textId="305F84AF" w:rsidR="00734F90" w:rsidRDefault="00BE5E59">
            <w:pPr>
              <w:pStyle w:val="TableContents"/>
            </w:pPr>
            <m:oMathPara>
              <m:oMathParaPr>
                <m:jc m:val="center"/>
              </m:oMathParaPr>
              <m:oMath>
                <m:eqArr>
                  <m:eqArrPr>
                    <m:ctrlPr>
                      <w:rPr>
                        <w:rFonts w:ascii="Cambria Math" w:hAnsi="Cambria Math"/>
                      </w:rPr>
                    </m:ctrlPr>
                  </m:eqArrPr>
                  <m:e>
                    <m:sSup>
                      <m:sSupPr>
                        <m:ctrlPr>
                          <w:rPr>
                            <w:rFonts w:ascii="Cambria Math" w:hAnsi="Cambria Math"/>
                          </w:rPr>
                        </m:ctrlPr>
                      </m:sSupPr>
                      <m:e>
                        <m:r>
                          <w:rPr>
                            <w:rFonts w:ascii="Cambria Math" w:hAnsi="Cambria Math"/>
                          </w:rPr>
                          <m:t>T</m:t>
                        </m:r>
                      </m:e>
                      <m:sup>
                        <m:r>
                          <m:rPr>
                            <m:lit/>
                            <m:nor/>
                          </m:rPr>
                          <w:rPr>
                            <w:rFonts w:ascii="Cambria Math" w:hAnsi="Cambria Math"/>
                          </w:rPr>
                          <m:t>+</m:t>
                        </m:r>
                      </m:sup>
                    </m:sSup>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e>
                          <m:e>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e>
                          <m:e>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e>
                          <m:e>
                            <m:d>
                              <m:dPr>
                                <m:begChr m:val=""/>
                                <m:endChr m:val="|"/>
                                <m:ctrlPr>
                                  <w:rPr>
                                    <w:rFonts w:ascii="Cambria Math" w:hAnsi="Cambria Math"/>
                                    <w:i/>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L</m:t>
                                        </m:r>
                                      </m:e>
                                      <m:sub>
                                        <m:r>
                                          <w:rPr>
                                            <w:rFonts w:ascii="Cambria Math" w:hAnsi="Cambria Math"/>
                                          </w:rPr>
                                          <m:t>6</m:t>
                                        </m:r>
                                      </m:sub>
                                      <m:sup>
                                        <m:r>
                                          <m:rPr>
                                            <m:lit/>
                                            <m:nor/>
                                          </m:rPr>
                                          <w:rPr>
                                            <w:rFonts w:ascii="Cambria Math" w:hAnsi="Cambria Math"/>
                                          </w:rPr>
                                          <m:t>+</m:t>
                                        </m:r>
                                      </m:sup>
                                    </m:sSubSup>
                                    <m:r>
                                      <w:rPr>
                                        <w:rFonts w:ascii="Cambria Math" w:hAnsi="Cambria Math"/>
                                      </w:rPr>
                                      <m:t>↓</m:t>
                                    </m:r>
                                  </m:e>
                                </m:d>
                              </m:e>
                            </m:d>
                          </m:e>
                        </m:eqArr>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α</m:t>
                            </m:r>
                          </m:sub>
                        </m:sSub>
                      </m:den>
                    </m:f>
                    <m:d>
                      <m:dPr>
                        <m:begChr m:val="["/>
                        <m:endChr m:val="]"/>
                        <m:ctrlPr>
                          <w:rPr>
                            <w:rFonts w:ascii="Cambria Math" w:hAnsi="Cambria Math"/>
                          </w:rPr>
                        </m:ctrlPr>
                      </m:dPr>
                      <m:e>
                        <m:m>
                          <m:mPr>
                            <m:mcs>
                              <m:mc>
                                <m:mcPr>
                                  <m:count m:val="4"/>
                                  <m:mcJc m:val="center"/>
                                </m:mcPr>
                              </m:mc>
                            </m:mcs>
                            <m:ctrlPr>
                              <w:rPr>
                                <w:rFonts w:ascii="Cambria Math" w:hAnsi="Cambria Math"/>
                              </w:rPr>
                            </m:ctrlPr>
                          </m:mPr>
                          <m:mr>
                            <m:e>
                              <m:r>
                                <w:rPr>
                                  <w:rFonts w:ascii="Cambria Math" w:hAnsi="Cambria Math"/>
                                </w:rPr>
                                <m:t>-</m:t>
                              </m:r>
                              <m:sSup>
                                <m:sSupPr>
                                  <m:ctrlPr>
                                    <w:rPr>
                                      <w:rFonts w:ascii="Cambria Math" w:hAnsi="Cambria Math"/>
                                    </w:rPr>
                                  </m:ctrlPr>
                                </m:sSupPr>
                                <m:e>
                                  <m:r>
                                    <w:rPr>
                                      <w:rFonts w:ascii="Cambria Math" w:hAnsi="Cambria Math"/>
                                    </w:rPr>
                                    <m:t>B</m:t>
                                  </m:r>
                                </m:e>
                                <m:sup>
                                  <m:r>
                                    <m:rPr>
                                      <m:lit/>
                                      <m:nor/>
                                    </m:rPr>
                                    <w:rPr>
                                      <w:rFonts w:ascii="Cambria Math" w:hAnsi="Cambria Math"/>
                                    </w:rPr>
                                    <m:t>*</m:t>
                                  </m:r>
                                </m:sup>
                              </m:sSup>
                            </m:e>
                            <m:e>
                              <m:r>
                                <w:rPr>
                                  <w:rFonts w:ascii="Cambria Math" w:hAnsi="Cambria Math"/>
                                </w:rPr>
                                <m:t>A</m:t>
                              </m:r>
                            </m:e>
                            <m:e>
                              <m:r>
                                <w:rPr>
                                  <w:rFonts w:ascii="Cambria Math" w:hAnsi="Cambria Math"/>
                                </w:rPr>
                                <m:t>0</m:t>
                              </m:r>
                            </m:e>
                            <m:e>
                              <m:r>
                                <w:rPr>
                                  <w:rFonts w:ascii="Cambria Math" w:hAnsi="Cambria Math"/>
                                </w:rPr>
                                <m:t>β</m:t>
                              </m:r>
                            </m:e>
                          </m:mr>
                          <m:mr>
                            <m:e>
                              <m:r>
                                <w:rPr>
                                  <w:rFonts w:ascii="Cambria Math" w:hAnsi="Cambria Math"/>
                                </w:rPr>
                                <m:t>A</m:t>
                              </m:r>
                            </m:e>
                            <m:e>
                              <m:r>
                                <w:rPr>
                                  <w:rFonts w:ascii="Cambria Math" w:hAnsi="Cambria Math"/>
                                </w:rPr>
                                <m:t>B</m:t>
                              </m:r>
                            </m:e>
                            <m:e>
                              <m:r>
                                <w:rPr>
                                  <w:rFonts w:ascii="Cambria Math" w:hAnsi="Cambria Math"/>
                                </w:rPr>
                                <m:t>-</m:t>
                              </m:r>
                              <m:r>
                                <w:rPr>
                                  <w:rFonts w:ascii="Cambria Math" w:hAnsi="Cambria Math"/>
                                </w:rPr>
                                <m:t>β</m:t>
                              </m:r>
                            </m:e>
                            <m:e>
                              <m:r>
                                <w:rPr>
                                  <w:rFonts w:ascii="Cambria Math" w:hAnsi="Cambria Math"/>
                                </w:rPr>
                                <m:t>0</m:t>
                              </m:r>
                            </m:e>
                          </m:mr>
                          <m:mr>
                            <m:e>
                              <m:r>
                                <w:rPr>
                                  <w:rFonts w:ascii="Cambria Math" w:hAnsi="Cambria Math"/>
                                </w:rPr>
                                <m:t>0</m:t>
                              </m:r>
                            </m:e>
                            <m:e>
                              <m:r>
                                <w:rPr>
                                  <w:rFonts w:ascii="Cambria Math" w:hAnsi="Cambria Math"/>
                                </w:rPr>
                                <m:t>β</m:t>
                              </m:r>
                            </m:e>
                            <m:e>
                              <m:sSup>
                                <m:sSupPr>
                                  <m:ctrlPr>
                                    <w:rPr>
                                      <w:rFonts w:ascii="Cambria Math" w:hAnsi="Cambria Math"/>
                                    </w:rPr>
                                  </m:ctrlPr>
                                </m:sSupPr>
                                <m:e>
                                  <m:r>
                                    <w:rPr>
                                      <w:rFonts w:ascii="Cambria Math" w:hAnsi="Cambria Math"/>
                                    </w:rPr>
                                    <m:t>B</m:t>
                                  </m:r>
                                </m:e>
                                <m:sup>
                                  <m:r>
                                    <m:rPr>
                                      <m:lit/>
                                      <m:nor/>
                                    </m:rPr>
                                    <w:rPr>
                                      <w:rFonts w:ascii="Cambria Math" w:hAnsi="Cambria Math"/>
                                    </w:rPr>
                                    <m:t>*</m:t>
                                  </m:r>
                                </m:sup>
                              </m:sSup>
                            </m:e>
                            <m:e>
                              <m:r>
                                <w:rPr>
                                  <w:rFonts w:ascii="Cambria Math" w:hAnsi="Cambria Math"/>
                                </w:rPr>
                                <m:t>A</m:t>
                              </m:r>
                            </m:e>
                          </m:mr>
                          <m:mr>
                            <m:e>
                              <m:r>
                                <w:rPr>
                                  <w:rFonts w:ascii="Cambria Math" w:hAnsi="Cambria Math"/>
                                </w:rPr>
                                <m:t>β</m:t>
                              </m:r>
                            </m:e>
                            <m:e>
                              <m:r>
                                <w:rPr>
                                  <w:rFonts w:ascii="Cambria Math" w:hAnsi="Cambria Math"/>
                                </w:rPr>
                                <m:t>0</m:t>
                              </m:r>
                            </m:e>
                            <m:e>
                              <m:r>
                                <w:rPr>
                                  <w:rFonts w:ascii="Cambria Math" w:hAnsi="Cambria Math"/>
                                </w:rPr>
                                <m:t>A</m:t>
                              </m:r>
                            </m:e>
                            <m:e>
                              <m:sSup>
                                <m:sSupPr>
                                  <m:ctrlPr>
                                    <w:rPr>
                                      <w:rFonts w:ascii="Cambria Math" w:hAnsi="Cambria Math"/>
                                    </w:rPr>
                                  </m:ctrlPr>
                                </m:sSupPr>
                                <m:e>
                                  <m:r>
                                    <w:rPr>
                                      <w:rFonts w:ascii="Cambria Math" w:hAnsi="Cambria Math"/>
                                    </w:rPr>
                                    <m:t>B</m:t>
                                  </m:r>
                                </m:e>
                                <m:sup>
                                  <m:r>
                                    <m:rPr>
                                      <m:lit/>
                                      <m:nor/>
                                    </m:rPr>
                                    <w:rPr>
                                      <w:rFonts w:ascii="Cambria Math" w:hAnsi="Cambria Math"/>
                                    </w:rPr>
                                    <m:t>*</m:t>
                                  </m:r>
                                </m:sup>
                              </m:sSup>
                            </m:e>
                          </m:mr>
                        </m:m>
                      </m:e>
                    </m:d>
                  </m:e>
                  <m:e>
                    <m:r>
                      <w:rPr>
                        <w:rFonts w:ascii="Cambria Math" w:hAnsi="Cambria Math"/>
                      </w:rPr>
                      <m:t>β</m:t>
                    </m:r>
                    <m:r>
                      <w:rPr>
                        <w:rFonts w:ascii="Cambria Math" w:hAnsi="Cambria Math"/>
                      </w:rPr>
                      <m:t>=</m:t>
                    </m:r>
                    <m:r>
                      <w:rPr>
                        <w:rFonts w:ascii="Cambria Math" w:hAnsi="Cambria Math"/>
                      </w:rPr>
                      <m:t>α</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B</m:t>
                                </m:r>
                              </m:e>
                            </m:d>
                          </m:e>
                          <m:sup>
                            <m:r>
                              <w:rPr>
                                <w:rFonts w:ascii="Cambria Math" w:hAnsi="Cambria Math"/>
                              </w:rPr>
                              <m:t>2</m:t>
                            </m:r>
                          </m:sup>
                        </m:sSup>
                      </m:e>
                    </m:rad>
                  </m:e>
                </m:eqArr>
              </m:oMath>
            </m:oMathPara>
          </w:p>
        </w:tc>
        <w:tc>
          <w:tcPr>
            <w:tcW w:w="946" w:type="dxa"/>
            <w:vAlign w:val="center"/>
          </w:tcPr>
          <w:p w14:paraId="252E7C11"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9</w:t>
            </w:r>
            <w:r w:rsidR="00BE5E59">
              <w:fldChar w:fldCharType="end"/>
            </w:r>
            <w:r>
              <w:t>)</w:t>
            </w:r>
          </w:p>
        </w:tc>
      </w:tr>
    </w:tbl>
    <w:p w14:paraId="3D45729D" w14:textId="42A83060" w:rsidR="00734F90" w:rsidRDefault="003E285E">
      <w:pPr>
        <w:pStyle w:val="ArticleBody"/>
      </w:pPr>
      <w:r>
        <w:t>Having determine</w:t>
      </w:r>
      <w:r w:rsidR="003B17B4">
        <w:t>d</w:t>
      </w:r>
      <w:r>
        <w:t xml:space="preserve"> the transformation </w:t>
      </w:r>
      <w:r w:rsidR="00A37B4B">
        <w:t>matrix,</w:t>
      </w:r>
      <w:r>
        <w:t xml:space="preserve"> it is then possible to convert the diagonalized eigenfunctions into the </w:t>
      </w:r>
      <w:proofErr w:type="spellStart"/>
      <w:r>
        <w:t>k.p</w:t>
      </w:r>
      <w:proofErr w:type="spellEnd"/>
      <w:r>
        <w:t xml:space="preserve"> </w:t>
      </w:r>
      <w:proofErr w:type="spellStart"/>
      <w:r>
        <w:t>envolutes</w:t>
      </w:r>
      <w:proofErr w:type="spellEnd"/>
      <w:r>
        <w:t>, as described in the Main Manuscript.</w:t>
      </w:r>
    </w:p>
    <w:p w14:paraId="2C4AB6F2" w14:textId="6E104510" w:rsidR="00734F90" w:rsidRDefault="003E285E">
      <w:pPr>
        <w:pStyle w:val="ArticleBody"/>
      </w:pPr>
      <w:r>
        <w:t>The final absorption coefficient can be determined from the Main Manuscript Equation 5. In this expression, the more complicated term is the matrix element, where it is important to consider the incident light direction and polarization (angular development shown in Equation 4 of the Main Manuscript). For that, the problem</w:t>
      </w:r>
      <w:r w:rsidR="006C7C0A">
        <w:t xml:space="preserve"> has been simplified</w:t>
      </w:r>
      <w:r>
        <w:t xml:space="preserve"> by making an angular average of all the results (integration from [0, 2π] for φ and [0, π] for θ). The final expression used is as follows.</w:t>
      </w:r>
    </w:p>
    <w:tbl>
      <w:tblPr>
        <w:tblW w:w="5057" w:type="pct"/>
        <w:tblLayout w:type="fixed"/>
        <w:tblCellMar>
          <w:top w:w="55" w:type="dxa"/>
          <w:left w:w="55" w:type="dxa"/>
          <w:bottom w:w="55" w:type="dxa"/>
          <w:right w:w="55" w:type="dxa"/>
        </w:tblCellMar>
        <w:tblLook w:val="04A0" w:firstRow="1" w:lastRow="0" w:firstColumn="1" w:lastColumn="0" w:noHBand="0" w:noVBand="1"/>
      </w:tblPr>
      <w:tblGrid>
        <w:gridCol w:w="7655"/>
        <w:gridCol w:w="946"/>
      </w:tblGrid>
      <w:tr w:rsidR="00734F90" w14:paraId="6B76DC09" w14:textId="77777777" w:rsidTr="00401242">
        <w:trPr>
          <w:tblHeader/>
        </w:trPr>
        <w:tc>
          <w:tcPr>
            <w:tcW w:w="7655" w:type="dxa"/>
            <w:vAlign w:val="center"/>
          </w:tcPr>
          <w:p w14:paraId="49592773" w14:textId="3F6C2E60" w:rsidR="00734F90" w:rsidRDefault="00BE5E59">
            <w:pPr>
              <w:pStyle w:val="TableContents"/>
            </w:pPr>
            <m:oMathPara>
              <m:oMathParaPr>
                <m:jc m:val="center"/>
              </m:oMathParaPr>
              <m:oMath>
                <m:eqArr>
                  <m:eqArrPr>
                    <m:ctrlPr>
                      <w:rPr>
                        <w:rFonts w:ascii="Cambria Math" w:hAnsi="Cambria Math"/>
                      </w:rPr>
                    </m:ctrlPr>
                  </m:eqArrPr>
                  <m:e>
                    <m:m>
                      <m:mPr>
                        <m:mcs>
                          <m:mc>
                            <m:mcPr>
                              <m:count m:val="3"/>
                              <m:mcJc m:val="center"/>
                            </m:mcPr>
                          </m:mc>
                        </m:mcs>
                        <m:ctrlPr>
                          <w:rPr>
                            <w:rFonts w:ascii="Cambria Math" w:hAnsi="Cambria Math"/>
                          </w:rPr>
                        </m:ctrlPr>
                      </m:mPr>
                      <m:mr>
                        <m:e>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ϵ</m:t>
                                      </m:r>
                                      <m:r>
                                        <w:rPr>
                                          <w:rFonts w:ascii="Cambria Math" w:hAnsi="Cambria Math"/>
                                        </w:rPr>
                                        <m:t>⋅</m:t>
                                      </m:r>
                                      <m:r>
                                        <w:rPr>
                                          <w:rFonts w:ascii="Cambria Math" w:hAnsi="Cambria Math"/>
                                        </w:rPr>
                                        <m:t>r</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e>
                        <m:e>
                          <m:r>
                            <w:rPr>
                              <w:rFonts w:ascii="Cambria Math" w:hAnsi="Cambria Math"/>
                            </w:rPr>
                            <m:t>=</m:t>
                          </m:r>
                        </m:e>
                        <m:e>
                          <m:sSup>
                            <m:sSupPr>
                              <m:ctrlPr>
                                <w:rPr>
                                  <w:rFonts w:ascii="Cambria Math" w:hAnsi="Cambria Math"/>
                                </w:rPr>
                              </m:ctrlPr>
                            </m:sSupPr>
                            <m:e>
                              <m:r>
                                <w:rPr>
                                  <w:rFonts w:ascii="Cambria Math" w:hAnsi="Cambria Math"/>
                                </w:rPr>
                                <m:t>cos</m:t>
                              </m:r>
                            </m:e>
                            <m:sup>
                              <m:r>
                                <w:rPr>
                                  <w:rFonts w:ascii="Cambria Math" w:hAnsi="Cambria Math"/>
                                </w:rPr>
                                <m:t>2</m:t>
                              </m:r>
                            </m:sup>
                          </m:sSup>
                          <m:d>
                            <m:dPr>
                              <m:ctrlPr>
                                <w:rPr>
                                  <w:rFonts w:ascii="Cambria Math" w:hAnsi="Cambria Math"/>
                                </w:rPr>
                              </m:ctrlPr>
                            </m:dPr>
                            <m:e>
                              <m:r>
                                <w:rPr>
                                  <w:rFonts w:ascii="Cambria Math" w:hAnsi="Cambria Math"/>
                                </w:rPr>
                                <m:t>ϕ</m:t>
                              </m:r>
                            </m:e>
                          </m:d>
                          <m:sSup>
                            <m:sSupPr>
                              <m:ctrlPr>
                                <w:rPr>
                                  <w:rFonts w:ascii="Cambria Math" w:hAnsi="Cambria Math"/>
                                </w:rPr>
                              </m:ctrlPr>
                            </m:sSupPr>
                            <m:e>
                              <m: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x</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e>
                      </m:mr>
                      <m:mr>
                        <m:e/>
                        <m:e>
                          <m:r>
                            <w:rPr>
                              <w:rFonts w:ascii="Cambria Math" w:hAnsi="Cambria Math"/>
                            </w:rPr>
                            <m:t>+</m:t>
                          </m:r>
                        </m:e>
                        <m:e>
                          <m:sSup>
                            <m:sSupPr>
                              <m:ctrlPr>
                                <w:rPr>
                                  <w:rFonts w:ascii="Cambria Math" w:hAnsi="Cambria Math"/>
                                </w:rPr>
                              </m:ctrlPr>
                            </m:sSupPr>
                            <m:e>
                              <m: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ϕ</m:t>
                              </m:r>
                            </m:e>
                          </m:d>
                          <m:sSup>
                            <m:sSupPr>
                              <m:ctrlPr>
                                <w:rPr>
                                  <w:rFonts w:ascii="Cambria Math" w:hAnsi="Cambria Math"/>
                                </w:rPr>
                              </m:ctrlPr>
                            </m:sSupPr>
                            <m:e>
                              <m: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y</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e>
                      </m:mr>
                      <m:mr>
                        <m:e/>
                        <m:e>
                          <m:r>
                            <w:rPr>
                              <w:rFonts w:ascii="Cambria Math" w:hAnsi="Cambria Math"/>
                            </w:rPr>
                            <m:t>+</m:t>
                          </m:r>
                        </m:e>
                        <m:e>
                          <m:sSup>
                            <m:sSupPr>
                              <m:ctrlPr>
                                <w:rPr>
                                  <w:rFonts w:ascii="Cambria Math" w:hAnsi="Cambria Math"/>
                                </w:rPr>
                              </m:ctrlPr>
                            </m:sSupPr>
                            <m:e>
                              <m:r>
                                <w:rPr>
                                  <w:rFonts w:ascii="Cambria Math" w:hAnsi="Cambria Math"/>
                                </w:rPr>
                                <m:t>cos</m:t>
                              </m:r>
                            </m:e>
                            <m:sup>
                              <m:r>
                                <w:rPr>
                                  <w:rFonts w:ascii="Cambria Math" w:hAnsi="Cambria Math"/>
                                </w:rPr>
                                <m:t>2</m:t>
                              </m:r>
                            </m:sup>
                          </m:sSup>
                          <m:d>
                            <m:dPr>
                              <m:ctrlPr>
                                <w:rPr>
                                  <w:rFonts w:ascii="Cambria Math" w:hAnsi="Cambria Math"/>
                                </w:rPr>
                              </m:ctrlPr>
                            </m:dPr>
                            <m:e>
                              <m:r>
                                <w:rPr>
                                  <w:rFonts w:ascii="Cambria Math" w:hAnsi="Cambria Math"/>
                                </w:rPr>
                                <m:t>θ</m:t>
                              </m:r>
                            </m:e>
                          </m:d>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z</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e>
                      </m:mr>
                      <m:mr>
                        <m:e/>
                        <m:e>
                          <m:r>
                            <w:rPr>
                              <w:rFonts w:ascii="Cambria Math" w:hAnsi="Cambria Math"/>
                            </w:rPr>
                            <m:t>+</m:t>
                          </m:r>
                        </m:e>
                        <m:e>
                          <m:r>
                            <w:rPr>
                              <w:rFonts w:ascii="Cambria Math" w:hAnsi="Cambria Math"/>
                            </w:rPr>
                            <m:t>2</m:t>
                          </m:r>
                          <m:r>
                            <w:rPr>
                              <w:rFonts w:ascii="Cambria Math" w:hAnsi="Cambria Math"/>
                            </w:rPr>
                            <m:t>cos</m:t>
                          </m:r>
                          <m:d>
                            <m:dPr>
                              <m:ctrlPr>
                                <w:rPr>
                                  <w:rFonts w:ascii="Cambria Math" w:hAnsi="Cambria Math"/>
                                </w:rPr>
                              </m:ctrlPr>
                            </m:dPr>
                            <m:e>
                              <m:r>
                                <w:rPr>
                                  <w:rFonts w:ascii="Cambria Math" w:hAnsi="Cambria Math"/>
                                </w:rPr>
                                <m:t>ϕ</m:t>
                              </m:r>
                            </m:e>
                          </m:d>
                          <m:r>
                            <w:rPr>
                              <w:rFonts w:ascii="Cambria Math" w:hAnsi="Cambria Math"/>
                            </w:rPr>
                            <m:t>sin</m:t>
                          </m:r>
                          <m:d>
                            <m:dPr>
                              <m:ctrlPr>
                                <w:rPr>
                                  <w:rFonts w:ascii="Cambria Math" w:hAnsi="Cambria Math"/>
                                </w:rPr>
                              </m:ctrlPr>
                            </m:dPr>
                            <m:e>
                              <m:r>
                                <w:rPr>
                                  <w:rFonts w:ascii="Cambria Math" w:hAnsi="Cambria Math"/>
                                </w:rPr>
                                <m:t>ϕ</m:t>
                              </m:r>
                            </m:e>
                          </m:d>
                          <m:r>
                            <w:rPr>
                              <w:rFonts w:ascii="Cambria Math" w:hAnsi="Cambria Math"/>
                            </w:rPr>
                            <m:t>sin</m:t>
                          </m:r>
                          <m:d>
                            <m:dPr>
                              <m:ctrlPr>
                                <w:rPr>
                                  <w:rFonts w:ascii="Cambria Math" w:hAnsi="Cambria Math"/>
                                </w:rPr>
                              </m:ctrlPr>
                            </m:dPr>
                            <m:e>
                              <m:r>
                                <w:rPr>
                                  <w:rFonts w:ascii="Cambria Math" w:hAnsi="Cambria Math"/>
                                </w:rPr>
                                <m:t>θ</m:t>
                              </m:r>
                            </m:e>
                          </m:d>
                          <m:r>
                            <m:rPr>
                              <m:lit/>
                              <m:nor/>
                            </m:rPr>
                            <w:rPr>
                              <w:rFonts w:ascii="Cambria Math" w:hAnsi="Cambria Math"/>
                            </w:rPr>
                            <m:t>Re</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x</m:t>
                                  </m:r>
                                </m:e>
                                <m:e>
                                  <m:sSub>
                                    <m:sSubPr>
                                      <m:ctrlPr>
                                        <w:rPr>
                                          <w:rFonts w:ascii="Cambria Math" w:hAnsi="Cambria Math"/>
                                        </w:rPr>
                                      </m:ctrlPr>
                                    </m:sSubPr>
                                    <m:e>
                                      <m:r>
                                        <w:rPr>
                                          <w:rFonts w:ascii="Cambria Math" w:hAnsi="Cambria Math"/>
                                        </w:rPr>
                                        <m:t>Ψ</m:t>
                                      </m:r>
                                    </m:e>
                                    <m:sub>
                                      <m:r>
                                        <w:rPr>
                                          <w:rFonts w:ascii="Cambria Math" w:hAnsi="Cambria Math"/>
                                        </w:rPr>
                                        <m:t>i</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y</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mr>
                      <m:mr>
                        <m:e/>
                        <m:e>
                          <m:r>
                            <w:rPr>
                              <w:rFonts w:ascii="Cambria Math" w:hAnsi="Cambria Math"/>
                            </w:rPr>
                            <m:t>+</m:t>
                          </m:r>
                        </m:e>
                        <m:e>
                          <m:r>
                            <w:rPr>
                              <w:rFonts w:ascii="Cambria Math" w:hAnsi="Cambria Math"/>
                            </w:rPr>
                            <m:t>2</m:t>
                          </m:r>
                          <m:r>
                            <w:rPr>
                              <w:rFonts w:ascii="Cambria Math" w:hAnsi="Cambria Math"/>
                            </w:rPr>
                            <m:t>cos</m:t>
                          </m:r>
                          <m:d>
                            <m:dPr>
                              <m:ctrlPr>
                                <w:rPr>
                                  <w:rFonts w:ascii="Cambria Math" w:hAnsi="Cambria Math"/>
                                </w:rPr>
                              </m:ctrlPr>
                            </m:dPr>
                            <m:e>
                              <m:r>
                                <w:rPr>
                                  <w:rFonts w:ascii="Cambria Math" w:hAnsi="Cambria Math"/>
                                </w:rPr>
                                <m:t>ϕ</m:t>
                              </m:r>
                            </m:e>
                          </m:d>
                          <m:r>
                            <w:rPr>
                              <w:rFonts w:ascii="Cambria Math" w:hAnsi="Cambria Math"/>
                            </w:rPr>
                            <m:t>s</m:t>
                          </m:r>
                          <m:r>
                            <w:rPr>
                              <w:rFonts w:ascii="Cambria Math" w:hAnsi="Cambria Math"/>
                            </w:rPr>
                            <m:t>i</m:t>
                          </m:r>
                          <m:r>
                            <w:rPr>
                              <w:rFonts w:ascii="Cambria Math" w:hAnsi="Cambria Math"/>
                            </w:rPr>
                            <m:t>n</m:t>
                          </m:r>
                          <m:d>
                            <m:dPr>
                              <m:ctrlPr>
                                <w:rPr>
                                  <w:rFonts w:ascii="Cambria Math" w:hAnsi="Cambria Math"/>
                                </w:rPr>
                              </m:ctrlPr>
                            </m:dPr>
                            <m:e>
                              <m:r>
                                <w:rPr>
                                  <w:rFonts w:ascii="Cambria Math" w:hAnsi="Cambria Math"/>
                                </w:rPr>
                                <m:t>θ</m:t>
                              </m:r>
                            </m:e>
                          </m:d>
                          <m:r>
                            <w:rPr>
                              <w:rFonts w:ascii="Cambria Math" w:hAnsi="Cambria Math"/>
                            </w:rPr>
                            <m:t>cos</m:t>
                          </m:r>
                          <m:d>
                            <m:dPr>
                              <m:ctrlPr>
                                <w:rPr>
                                  <w:rFonts w:ascii="Cambria Math" w:hAnsi="Cambria Math"/>
                                </w:rPr>
                              </m:ctrlPr>
                            </m:dPr>
                            <m:e>
                              <m:r>
                                <w:rPr>
                                  <w:rFonts w:ascii="Cambria Math" w:hAnsi="Cambria Math"/>
                                </w:rPr>
                                <m:t>θ</m:t>
                              </m:r>
                            </m:e>
                          </m:d>
                          <m:r>
                            <m:rPr>
                              <m:lit/>
                              <m:nor/>
                            </m:rPr>
                            <w:rPr>
                              <w:rFonts w:ascii="Cambria Math" w:hAnsi="Cambria Math"/>
                            </w:rPr>
                            <m:t>Re</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x</m:t>
                                  </m:r>
                                </m:e>
                                <m:e>
                                  <m:sSub>
                                    <m:sSubPr>
                                      <m:ctrlPr>
                                        <w:rPr>
                                          <w:rFonts w:ascii="Cambria Math" w:hAnsi="Cambria Math"/>
                                        </w:rPr>
                                      </m:ctrlPr>
                                    </m:sSubPr>
                                    <m:e>
                                      <m:r>
                                        <w:rPr>
                                          <w:rFonts w:ascii="Cambria Math" w:hAnsi="Cambria Math"/>
                                        </w:rPr>
                                        <m:t>Ψ</m:t>
                                      </m:r>
                                    </m:e>
                                    <m:sub>
                                      <m:r>
                                        <w:rPr>
                                          <w:rFonts w:ascii="Cambria Math" w:hAnsi="Cambria Math"/>
                                        </w:rPr>
                                        <m:t>i</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z</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mr>
                      <m:mr>
                        <m:e/>
                        <m:e>
                          <m:r>
                            <w:rPr>
                              <w:rFonts w:ascii="Cambria Math" w:hAnsi="Cambria Math"/>
                            </w:rPr>
                            <m:t>+</m:t>
                          </m:r>
                        </m:e>
                        <m:e>
                          <m:r>
                            <w:rPr>
                              <w:rFonts w:ascii="Cambria Math" w:hAnsi="Cambria Math"/>
                            </w:rPr>
                            <m:t>2</m:t>
                          </m:r>
                          <m:r>
                            <w:rPr>
                              <w:rFonts w:ascii="Cambria Math" w:hAnsi="Cambria Math"/>
                            </w:rPr>
                            <m:t>sin</m:t>
                          </m:r>
                          <m:d>
                            <m:dPr>
                              <m:ctrlPr>
                                <w:rPr>
                                  <w:rFonts w:ascii="Cambria Math" w:hAnsi="Cambria Math"/>
                                </w:rPr>
                              </m:ctrlPr>
                            </m:dPr>
                            <m:e>
                              <m:r>
                                <w:rPr>
                                  <w:rFonts w:ascii="Cambria Math" w:hAnsi="Cambria Math"/>
                                </w:rPr>
                                <m:t>ϕ</m:t>
                              </m:r>
                            </m:e>
                          </m:d>
                          <m:r>
                            <w:rPr>
                              <w:rFonts w:ascii="Cambria Math" w:hAnsi="Cambria Math"/>
                            </w:rPr>
                            <m:t>sin</m:t>
                          </m:r>
                          <m:d>
                            <m:dPr>
                              <m:ctrlPr>
                                <w:rPr>
                                  <w:rFonts w:ascii="Cambria Math" w:hAnsi="Cambria Math"/>
                                </w:rPr>
                              </m:ctrlPr>
                            </m:dPr>
                            <m:e>
                              <m:r>
                                <w:rPr>
                                  <w:rFonts w:ascii="Cambria Math" w:hAnsi="Cambria Math"/>
                                </w:rPr>
                                <m:t>θ</m:t>
                              </m:r>
                            </m:e>
                          </m:d>
                          <m:r>
                            <w:rPr>
                              <w:rFonts w:ascii="Cambria Math" w:hAnsi="Cambria Math"/>
                            </w:rPr>
                            <m:t>cos</m:t>
                          </m:r>
                          <m:d>
                            <m:dPr>
                              <m:ctrlPr>
                                <w:rPr>
                                  <w:rFonts w:ascii="Cambria Math" w:hAnsi="Cambria Math"/>
                                </w:rPr>
                              </m:ctrlPr>
                            </m:dPr>
                            <m:e>
                              <m:r>
                                <w:rPr>
                                  <w:rFonts w:ascii="Cambria Math" w:hAnsi="Cambria Math"/>
                                </w:rPr>
                                <m:t>θ</m:t>
                              </m:r>
                            </m:e>
                          </m:d>
                          <m:r>
                            <m:rPr>
                              <m:lit/>
                              <m:nor/>
                            </m:rPr>
                            <w:rPr>
                              <w:rFonts w:ascii="Cambria Math" w:hAnsi="Cambria Math"/>
                            </w:rPr>
                            <m:t>Re</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y</m:t>
                                  </m:r>
                                </m:e>
                                <m:e>
                                  <m:sSub>
                                    <m:sSubPr>
                                      <m:ctrlPr>
                                        <w:rPr>
                                          <w:rFonts w:ascii="Cambria Math" w:hAnsi="Cambria Math"/>
                                        </w:rPr>
                                      </m:ctrlPr>
                                    </m:sSubPr>
                                    <m:e>
                                      <m:r>
                                        <w:rPr>
                                          <w:rFonts w:ascii="Cambria Math" w:hAnsi="Cambria Math"/>
                                        </w:rPr>
                                        <m:t>Ψ</m:t>
                                      </m:r>
                                    </m:e>
                                    <m:sub>
                                      <m:r>
                                        <w:rPr>
                                          <w:rFonts w:ascii="Cambria Math" w:hAnsi="Cambria Math"/>
                                        </w:rPr>
                                        <m:t>i</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z</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mr>
                    </m:m>
                  </m:e>
                  <m:e>
                    <m:sSubSup>
                      <m:sSubSupPr>
                        <m:ctrlPr>
                          <w:rPr>
                            <w:rFonts w:ascii="Cambria Math" w:hAnsi="Cambria Math"/>
                          </w:rPr>
                        </m:ctrlPr>
                      </m:sSub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ϵ</m:t>
                                </m:r>
                                <m:r>
                                  <w:rPr>
                                    <w:rFonts w:ascii="Cambria Math" w:hAnsi="Cambria Math"/>
                                  </w:rPr>
                                  <m:t>⋅</m:t>
                                </m:r>
                                <m:r>
                                  <w:rPr>
                                    <w:rFonts w:ascii="Cambria Math" w:hAnsi="Cambria Math"/>
                                  </w:rPr>
                                  <m:t>r</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avg</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avg</m:t>
                                </m:r>
                              </m:sub>
                            </m:sSub>
                          </m:e>
                        </m:d>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4</m:t>
                        </m:r>
                      </m:den>
                    </m:f>
                    <m:d>
                      <m:dPr>
                        <m:ctrlPr>
                          <w:rPr>
                            <w:rFonts w:ascii="Cambria Math" w:hAnsi="Cambria Math"/>
                          </w:rPr>
                        </m:ctrlPr>
                      </m:dPr>
                      <m:e>
                        <m:r>
                          <w:rPr>
                            <w:rFonts w:ascii="Cambria Math" w:hAnsi="Cambria Math"/>
                          </w:rPr>
                          <m:t>2</m:t>
                        </m:r>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x</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r>
                          <w:rPr>
                            <w:rFonts w:ascii="Cambria Math" w:hAnsi="Cambria Math"/>
                          </w:rPr>
                          <m:t>+2</m:t>
                        </m:r>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y</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e>
                                    <m:r>
                                      <w:rPr>
                                        <w:rFonts w:ascii="Cambria Math" w:hAnsi="Cambria Math"/>
                                      </w:rPr>
                                      <m:t>z</m:t>
                                    </m:r>
                                  </m:e>
                                  <m:e>
                                    <m:sSub>
                                      <m:sSubPr>
                                        <m:ctrlPr>
                                          <w:rPr>
                                            <w:rFonts w:ascii="Cambria Math" w:hAnsi="Cambria Math"/>
                                          </w:rPr>
                                        </m:ctrlPr>
                                      </m:sSubPr>
                                      <m:e>
                                        <m:r>
                                          <w:rPr>
                                            <w:rFonts w:ascii="Cambria Math" w:hAnsi="Cambria Math"/>
                                          </w:rPr>
                                          <m:t>Ψ</m:t>
                                        </m:r>
                                      </m:e>
                                      <m:sub>
                                        <m:r>
                                          <w:rPr>
                                            <w:rFonts w:ascii="Cambria Math" w:hAnsi="Cambria Math"/>
                                          </w:rPr>
                                          <m:t>i</m:t>
                                        </m:r>
                                      </m:sub>
                                    </m:sSub>
                                  </m:e>
                                </m:d>
                              </m:e>
                            </m:d>
                          </m:e>
                          <m:sup>
                            <m:r>
                              <w:rPr>
                                <w:rFonts w:ascii="Cambria Math" w:hAnsi="Cambria Math"/>
                              </w:rPr>
                              <m:t>2</m:t>
                            </m:r>
                          </m:sup>
                        </m:sSup>
                      </m:e>
                    </m:d>
                  </m:e>
                </m:eqArr>
              </m:oMath>
            </m:oMathPara>
          </w:p>
        </w:tc>
        <w:tc>
          <w:tcPr>
            <w:tcW w:w="946" w:type="dxa"/>
            <w:vAlign w:val="center"/>
          </w:tcPr>
          <w:p w14:paraId="7C4B2FD4"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10</w:t>
            </w:r>
            <w:r w:rsidR="00BE5E59">
              <w:fldChar w:fldCharType="end"/>
            </w:r>
            <w:r>
              <w:t>)</w:t>
            </w:r>
          </w:p>
        </w:tc>
      </w:tr>
    </w:tbl>
    <w:p w14:paraId="49E44792" w14:textId="6B98ADBB" w:rsidR="00734F90" w:rsidRDefault="003E285E">
      <w:pPr>
        <w:pStyle w:val="ArticleBody"/>
      </w:pPr>
      <w:r>
        <w:t>At this point, there is an angular averaged matrix element for each band transition (</w:t>
      </w:r>
      <w:r w:rsidR="00D917EF">
        <w:t>V</w:t>
      </w:r>
      <w:r>
        <w:t>B1→</w:t>
      </w:r>
      <w:r w:rsidR="00D917EF">
        <w:t>C</w:t>
      </w:r>
      <w:r>
        <w:t xml:space="preserve">B1, </w:t>
      </w:r>
      <w:r w:rsidR="00D917EF">
        <w:t>V</w:t>
      </w:r>
      <w:r>
        <w:t>B1→</w:t>
      </w:r>
      <w:r w:rsidR="00D917EF">
        <w:t>C</w:t>
      </w:r>
      <w:r>
        <w:t xml:space="preserve">B2, </w:t>
      </w:r>
      <w:r w:rsidR="00D917EF">
        <w:t>V</w:t>
      </w:r>
      <w:r>
        <w:t>B2→</w:t>
      </w:r>
      <w:r w:rsidR="00D917EF">
        <w:t>C</w:t>
      </w:r>
      <w:r>
        <w:t xml:space="preserve">B1, </w:t>
      </w:r>
      <w:r w:rsidR="00D917EF">
        <w:t>V</w:t>
      </w:r>
      <w:r>
        <w:t>B2→</w:t>
      </w:r>
      <w:r w:rsidR="00D917EF">
        <w:t>C</w:t>
      </w:r>
      <w:r>
        <w:t xml:space="preserve">B2). The average of these 4 transitions is taken to obtain the final value. This process is also elaborated graphically in Figure </w:t>
      </w:r>
      <w:r w:rsidR="00846D93">
        <w:t>2</w:t>
      </w:r>
      <w:r>
        <w:t xml:space="preserve"> of the Main Manuscript.</w:t>
      </w:r>
    </w:p>
    <w:p w14:paraId="31C389D1" w14:textId="3E459426" w:rsidR="00DF03B0" w:rsidRDefault="00DF03B0">
      <w:pPr>
        <w:pStyle w:val="ArticleBody"/>
      </w:pPr>
      <w:r>
        <w:t xml:space="preserve">The theoretical developments were then implemented and developed in Python®. The code is also available in a </w:t>
      </w:r>
      <w:proofErr w:type="spellStart"/>
      <w:r>
        <w:t>Github</w:t>
      </w:r>
      <w:proofErr w:type="spellEnd"/>
      <w:r>
        <w:t xml:space="preserve">® </w:t>
      </w:r>
      <w:r w:rsidR="00D917EF">
        <w:t>repository</w:t>
      </w:r>
      <w:r w:rsidR="003B17B4">
        <w:t xml:space="preserve"> </w:t>
      </w:r>
      <w:r>
        <w:t xml:space="preserve">(reference </w:t>
      </w:r>
      <w:r>
        <w:fldChar w:fldCharType="begin"/>
      </w:r>
      <w:r w:rsidR="00D12114">
        <w:instrText xml:space="preserve"> ADDIN ZOTERO_ITEM CSL_CITATION {"citationID":"1xVVFSaj","properties":{"formattedCitation":"[2]","plainCitation":"[2]","noteIndex":0},"citationItems":[{"id":569,"uris":["http://zotero.org/users/6410717/items/4UADFIZQ"],"itemData":{"id":569,"type":"webpage","abstract":"Module to perform 4-band envolute calculation for QD@Host systems","note":"original-date: 2022-11-03T17:27:24Z","title":"4-band k.p-based Method to Solve QD@Host Problems","URL":"https://github.com/perspe/qd-host","author":[{"family":"perspe","given":""}],"accessed":{"date-parts":[["2022",11,3]]},"issued":{"date-parts":[["2022",11,3]]}}}],"schema":"https://github.com/citation-style-language/schema/raw/master/csl-citation.json"} </w:instrText>
      </w:r>
      <w:r>
        <w:fldChar w:fldCharType="separate"/>
      </w:r>
      <w:r w:rsidR="00D12114" w:rsidRPr="00D12114">
        <w:t>[2]</w:t>
      </w:r>
      <w:r>
        <w:fldChar w:fldCharType="end"/>
      </w:r>
      <w:r>
        <w:t>).</w:t>
      </w:r>
    </w:p>
    <w:p w14:paraId="2356E2B0" w14:textId="77777777" w:rsidR="00734F90" w:rsidRDefault="003E285E">
      <w:pPr>
        <w:pStyle w:val="SMHeading"/>
        <w:tabs>
          <w:tab w:val="num" w:pos="720"/>
        </w:tabs>
      </w:pPr>
      <w:r>
        <w:t>FEM Development of the Schrödinger Equation</w:t>
      </w:r>
    </w:p>
    <w:p w14:paraId="57434E88" w14:textId="099B0F49" w:rsidR="00734F90" w:rsidRDefault="003E285E">
      <w:pPr>
        <w:pStyle w:val="ArticleBody"/>
      </w:pPr>
      <w:r>
        <w:t xml:space="preserve">Figure </w:t>
      </w:r>
      <w:r w:rsidR="006F385D">
        <w:t>1</w:t>
      </w:r>
      <w:r>
        <w:t xml:space="preserve"> of the Main Manuscript shows the results of several finite elements method (FEM) simulations, made to complement the standard analytical results from the spherical well potential. In this section we describe the mathematics behind this process. The authors follow the description shown in</w:t>
      </w:r>
      <w:r w:rsidR="007A0FE3">
        <w:t xml:space="preserve"> the </w:t>
      </w:r>
      <w:proofErr w:type="spellStart"/>
      <w:r w:rsidR="007A0FE3">
        <w:t>Deall.II</w:t>
      </w:r>
      <w:proofErr w:type="spellEnd"/>
      <w:r w:rsidR="007A0FE3">
        <w:t xml:space="preserve"> tutorial library, exercise 36.</w:t>
      </w:r>
      <w:r w:rsidR="007A0FE3">
        <w:fldChar w:fldCharType="begin"/>
      </w:r>
      <w:r w:rsidR="00D12114">
        <w:instrText xml:space="preserve"> ADDIN ZOTERO_ITEM CSL_CITATION {"citationID":"VY2Cuot8","properties":{"formattedCitation":"[3]","plainCitation":"[3]","noteIndex":0},"citationItems":[{"id":559,"uris":["http://zotero.org/users/6410717/items/865DRUJ2"],"itemData":{"id":559,"type":"webpage","title":"The deal.II Finite Element Library","URL":"https://dealii.org/","accessed":{"date-parts":[["2022",11,3]]}}}],"schema":"https://github.com/citation-style-language/schema/raw/master/csl-citation.json"} </w:instrText>
      </w:r>
      <w:r w:rsidR="007A0FE3">
        <w:fldChar w:fldCharType="separate"/>
      </w:r>
      <w:r w:rsidR="00D12114" w:rsidRPr="00D12114">
        <w:t>[3]</w:t>
      </w:r>
      <w:r w:rsidR="007A0FE3">
        <w:fldChar w:fldCharType="end"/>
      </w:r>
    </w:p>
    <w:p w14:paraId="4C289404" w14:textId="7F91DDAB" w:rsidR="00734F90" w:rsidRDefault="003E285E">
      <w:pPr>
        <w:pStyle w:val="ArticleBody"/>
      </w:pPr>
      <w:r>
        <w:t>In FEM simulations, the first objective is to convert the differential equation into the weak form, such that it is then possible to build the matrix–vector equation that will be used to solve the problem. Here, the problem is defined by the Schrödinger equation (Equation S11 in non-</w:t>
      </w:r>
      <w:proofErr w:type="spellStart"/>
      <w:r>
        <w:t>dimensionalized</w:t>
      </w:r>
      <w:proofErr w:type="spellEnd"/>
      <w:r>
        <w:t xml:space="preserve"> form), where V(x) is the acting potential and Ω and ∂Ω represent the simulation domain and boundary, respectively. As numerical simulations always require boundary conditions — to define the simulation domain — the standard choice of Dirichlet boundary conditions was made. In this Dirichlet condition it is fundamental to consider a simulation region </w:t>
      </w:r>
      <w:r w:rsidR="006C7C0A">
        <w:t>much larger</w:t>
      </w:r>
      <w:r>
        <w:t xml:space="preserve"> than the QD size, </w:t>
      </w:r>
      <w:proofErr w:type="gramStart"/>
      <w:r>
        <w:t>in order to</w:t>
      </w:r>
      <w:proofErr w:type="gramEnd"/>
      <w:r>
        <w:t xml:space="preserve"> guarantee that the wavefunction, Ψ, has vanished in the boundaries (essentially confirming the boundary condition).</w:t>
      </w:r>
    </w:p>
    <w:tbl>
      <w:tblPr>
        <w:tblW w:w="5088" w:type="pct"/>
        <w:tblLayout w:type="fixed"/>
        <w:tblCellMar>
          <w:top w:w="55" w:type="dxa"/>
          <w:left w:w="55" w:type="dxa"/>
          <w:bottom w:w="55" w:type="dxa"/>
          <w:right w:w="55" w:type="dxa"/>
        </w:tblCellMar>
        <w:tblLook w:val="04A0" w:firstRow="1" w:lastRow="0" w:firstColumn="1" w:lastColumn="0" w:noHBand="0" w:noVBand="1"/>
      </w:tblPr>
      <w:tblGrid>
        <w:gridCol w:w="7692"/>
        <w:gridCol w:w="962"/>
      </w:tblGrid>
      <w:tr w:rsidR="00734F90" w14:paraId="2965E156" w14:textId="77777777" w:rsidTr="00B8278A">
        <w:trPr>
          <w:trHeight w:val="803"/>
          <w:tblHeader/>
        </w:trPr>
        <w:tc>
          <w:tcPr>
            <w:tcW w:w="7691" w:type="dxa"/>
            <w:vAlign w:val="center"/>
          </w:tcPr>
          <w:p w14:paraId="4BC34AC6" w14:textId="30EA1884" w:rsidR="00734F90" w:rsidRDefault="00BE5E59">
            <w:pPr>
              <w:pStyle w:val="TableContents"/>
            </w:pPr>
            <m:oMathPara>
              <m:oMathParaPr>
                <m:jc m:val="center"/>
              </m:oMathParaPr>
              <m:oMath>
                <m:m>
                  <m:mPr>
                    <m:mcs>
                      <m:mc>
                        <m:mcPr>
                          <m:count m:val="5"/>
                          <m:mcJc m:val="center"/>
                        </m:mcPr>
                      </m:mc>
                    </m:mcs>
                    <m:ctrlPr>
                      <w:rPr>
                        <w:rFonts w:ascii="Cambria Math" w:hAnsi="Cambria Math"/>
                      </w:rPr>
                    </m:ctrlPr>
                  </m:mPr>
                  <m:mr>
                    <m:e>
                      <m:d>
                        <m:dPr>
                          <m:begChr m:val="["/>
                          <m:endChr m:val="]"/>
                          <m:ctrlPr>
                            <w:rPr>
                              <w:rFonts w:ascii="Cambria Math" w:hAnsi="Cambria Math"/>
                            </w:rPr>
                          </m:ctrlPr>
                        </m:dPr>
                        <m:e>
                          <m:r>
                            <w:rPr>
                              <w:rFonts w:ascii="Cambria Math" w:hAnsi="Cambria Math"/>
                            </w:rPr>
                            <m:t>-</m:t>
                          </m:r>
                          <m:r>
                            <w:rPr>
                              <w:rFonts w:ascii="Cambria Math" w:hAnsi="Cambria Math"/>
                            </w:rPr>
                            <m:t>Δ</m:t>
                          </m:r>
                          <m:r>
                            <w:rPr>
                              <w:rFonts w:ascii="Cambria Math" w:hAnsi="Cambria Math"/>
                            </w:rPr>
                            <m:t>+</m:t>
                          </m:r>
                          <m:r>
                            <w:rPr>
                              <w:rFonts w:ascii="Cambria Math" w:hAnsi="Cambria Math"/>
                            </w:rPr>
                            <m:t>V</m:t>
                          </m:r>
                          <m:d>
                            <m:dPr>
                              <m:ctrlPr>
                                <w:rPr>
                                  <w:rFonts w:ascii="Cambria Math" w:hAnsi="Cambria Math"/>
                                </w:rPr>
                              </m:ctrlPr>
                            </m:dPr>
                            <m:e>
                              <m:r>
                                <w:rPr>
                                  <w:rFonts w:ascii="Cambria Math" w:hAnsi="Cambria Math"/>
                                </w:rPr>
                                <m:t>x</m:t>
                              </m:r>
                            </m:e>
                          </m:d>
                        </m:e>
                      </m:d>
                      <m:r>
                        <w:rPr>
                          <w:rFonts w:ascii="Cambria Math" w:hAnsi="Cambria Math"/>
                        </w:rPr>
                        <m:t>Ψ</m:t>
                      </m:r>
                      <m:d>
                        <m:dPr>
                          <m:ctrlPr>
                            <w:rPr>
                              <w:rFonts w:ascii="Cambria Math" w:hAnsi="Cambria Math"/>
                            </w:rPr>
                          </m:ctrlPr>
                        </m:dPr>
                        <m:e>
                          <m:r>
                            <w:rPr>
                              <w:rFonts w:ascii="Cambria Math" w:hAnsi="Cambria Math"/>
                            </w:rPr>
                            <m:t>x</m:t>
                          </m:r>
                        </m:e>
                      </m:d>
                    </m:e>
                    <m:e>
                      <m:r>
                        <w:rPr>
                          <w:rFonts w:ascii="Cambria Math" w:hAnsi="Cambria Math"/>
                        </w:rPr>
                        <m:t>=</m:t>
                      </m:r>
                    </m:e>
                    <m:e>
                      <m:r>
                        <w:rPr>
                          <w:rFonts w:ascii="Cambria Math" w:hAnsi="Cambria Math"/>
                        </w:rPr>
                        <m:t>EΨ</m:t>
                      </m:r>
                      <m:d>
                        <m:dPr>
                          <m:ctrlPr>
                            <w:rPr>
                              <w:rFonts w:ascii="Cambria Math" w:hAnsi="Cambria Math"/>
                            </w:rPr>
                          </m:ctrlPr>
                        </m:dPr>
                        <m:e>
                          <m:r>
                            <w:rPr>
                              <w:rFonts w:ascii="Cambria Math" w:hAnsi="Cambria Math"/>
                            </w:rPr>
                            <m:t>x</m:t>
                          </m:r>
                        </m:e>
                      </m:d>
                      <m:r>
                        <w:rPr>
                          <w:rFonts w:ascii="Cambria Math" w:hAnsi="Cambria Math"/>
                        </w:rPr>
                        <m:t xml:space="preserve"> </m:t>
                      </m:r>
                    </m:e>
                    <m:e>
                      <m:r>
                        <w:rPr>
                          <w:rFonts w:ascii="Cambria Math" w:hAnsi="Cambria Math"/>
                        </w:rPr>
                        <m:t xml:space="preserve"> </m:t>
                      </m:r>
                    </m:e>
                    <m:e>
                      <m:r>
                        <m:rPr>
                          <m:lit/>
                          <m:nor/>
                        </m:rPr>
                        <w:rPr>
                          <w:rFonts w:ascii="Cambria Math" w:hAnsi="Cambria Math"/>
                        </w:rPr>
                        <m:t>in </m:t>
                      </m:r>
                      <m:r>
                        <w:rPr>
                          <w:rFonts w:ascii="Cambria Math" w:hAnsi="Cambria Math"/>
                        </w:rPr>
                        <m:t>Ω</m:t>
                      </m:r>
                      <m:r>
                        <w:rPr>
                          <w:rFonts w:ascii="Cambria Math" w:hAnsi="Cambria Math"/>
                        </w:rPr>
                        <m:t xml:space="preserve"> ,</m:t>
                      </m:r>
                    </m:e>
                  </m:mr>
                  <m:mr>
                    <m:e>
                      <m:r>
                        <w:rPr>
                          <w:rFonts w:ascii="Cambria Math" w:hAnsi="Cambria Math"/>
                        </w:rPr>
                        <m:t>Ψ</m:t>
                      </m:r>
                    </m:e>
                    <m:e>
                      <m:r>
                        <w:rPr>
                          <w:rFonts w:ascii="Cambria Math" w:hAnsi="Cambria Math"/>
                        </w:rPr>
                        <m:t>=</m:t>
                      </m:r>
                    </m:e>
                    <m:e>
                      <m:r>
                        <w:rPr>
                          <w:rFonts w:ascii="Cambria Math" w:hAnsi="Cambria Math"/>
                        </w:rPr>
                        <m:t>0</m:t>
                      </m:r>
                    </m:e>
                    <m:e>
                      <m:r>
                        <w:rPr>
                          <w:rFonts w:ascii="Cambria Math" w:hAnsi="Cambria Math"/>
                        </w:rPr>
                        <m:t xml:space="preserve"> </m:t>
                      </m:r>
                    </m:e>
                    <m:e>
                      <m:r>
                        <m:rPr>
                          <m:lit/>
                          <m:nor/>
                        </m:rPr>
                        <w:rPr>
                          <w:rFonts w:ascii="Cambria Math" w:hAnsi="Cambria Math"/>
                        </w:rPr>
                        <m:t>on </m:t>
                      </m:r>
                      <m:r>
                        <w:rPr>
                          <w:rFonts w:ascii="Cambria Math" w:hAnsi="Cambria Math"/>
                        </w:rPr>
                        <m:t>∂Ω</m:t>
                      </m:r>
                      <m:r>
                        <w:rPr>
                          <w:rFonts w:ascii="Cambria Math" w:hAnsi="Cambria Math"/>
                        </w:rPr>
                        <m:t xml:space="preserve"> .</m:t>
                      </m:r>
                    </m:e>
                  </m:mr>
                </m:m>
              </m:oMath>
            </m:oMathPara>
          </w:p>
        </w:tc>
        <w:tc>
          <w:tcPr>
            <w:tcW w:w="962" w:type="dxa"/>
            <w:vAlign w:val="center"/>
          </w:tcPr>
          <w:p w14:paraId="1E18684C"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11</w:t>
            </w:r>
            <w:r w:rsidR="00BE5E59">
              <w:fldChar w:fldCharType="end"/>
            </w:r>
            <w:r>
              <w:t>)</w:t>
            </w:r>
          </w:p>
        </w:tc>
      </w:tr>
    </w:tbl>
    <w:p w14:paraId="44825CC9" w14:textId="44E837F3" w:rsidR="00734F90" w:rsidRDefault="003E285E">
      <w:pPr>
        <w:pStyle w:val="ArticleBody"/>
      </w:pPr>
      <w:r>
        <w:t>Here, the standard finite-element approach is used</w:t>
      </w:r>
      <w:r w:rsidR="003B17B4">
        <w:t xml:space="preserve"> by</w:t>
      </w:r>
      <w:r w:rsidR="00B8278A">
        <w:t xml:space="preserve"> </w:t>
      </w:r>
      <w:r w:rsidR="003B17B4">
        <w:t>m</w:t>
      </w:r>
      <w:r>
        <w:t xml:space="preserve">ultiplying the equation from the left by a test function, integrating and then considering the wavefunctions expanded in a finite dimensional space </w:t>
      </w:r>
      <m:oMath>
        <m:r>
          <w:rPr>
            <w:rFonts w:ascii="Cambria Math" w:hAnsi="Cambria Math"/>
            <w:sz w:val="20"/>
            <w:szCs w:val="20"/>
          </w:rPr>
          <m:t>Ψ</m:t>
        </m:r>
        <m:d>
          <m:dPr>
            <m:ctrlPr>
              <w:rPr>
                <w:rFonts w:ascii="Cambria Math" w:hAnsi="Cambria Math"/>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Ψ</m:t>
            </m:r>
          </m:e>
          <m:sub>
            <m:r>
              <w:rPr>
                <w:rFonts w:ascii="Cambria Math" w:hAnsi="Cambria Math"/>
                <w:sz w:val="20"/>
                <w:szCs w:val="20"/>
              </w:rPr>
              <m:t>h</m:t>
            </m:r>
          </m:sub>
        </m:sSub>
        <m:d>
          <m:dPr>
            <m:ctrlPr>
              <w:rPr>
                <w:rFonts w:ascii="Cambria Math" w:hAnsi="Cambria Math"/>
                <w:sz w:val="20"/>
                <w:szCs w:val="20"/>
              </w:rPr>
            </m:ctrlPr>
          </m:dPr>
          <m:e>
            <m:r>
              <w:rPr>
                <w:rFonts w:ascii="Cambria Math" w:hAnsi="Cambria Math"/>
                <w:sz w:val="20"/>
                <w:szCs w:val="20"/>
              </w:rPr>
              <m:t>x</m:t>
            </m:r>
          </m:e>
        </m:d>
        <m:r>
          <w:rPr>
            <w:rFonts w:ascii="Cambria Math" w:hAnsi="Cambria Math"/>
            <w:sz w:val="20"/>
            <w:szCs w:val="20"/>
          </w:rPr>
          <m:t>=</m:t>
        </m:r>
        <m:nary>
          <m:naryPr>
            <m:chr m:val="∑"/>
            <m:supHide m:val="1"/>
            <m:ctrlPr>
              <w:rPr>
                <w:rFonts w:ascii="Cambria Math" w:hAnsi="Cambria Math"/>
                <w:sz w:val="20"/>
                <w:szCs w:val="20"/>
              </w:rPr>
            </m:ctrlPr>
          </m:naryPr>
          <m:sub>
            <m:r>
              <w:rPr>
                <w:rFonts w:ascii="Cambria Math" w:hAnsi="Cambria Math"/>
                <w:sz w:val="20"/>
                <w:szCs w:val="20"/>
              </w:rPr>
              <m:t>j</m:t>
            </m:r>
          </m:sub>
          <m:sup/>
          <m:e>
            <m:sSub>
              <m:sSubPr>
                <m:ctrlPr>
                  <w:rPr>
                    <w:rFonts w:ascii="Cambria Math" w:hAnsi="Cambria Math"/>
                    <w:sz w:val="20"/>
                    <w:szCs w:val="20"/>
                  </w:rPr>
                </m:ctrlPr>
              </m:sSubPr>
              <m:e>
                <m:r>
                  <w:rPr>
                    <w:rFonts w:ascii="Cambria Math" w:hAnsi="Cambria Math"/>
                    <w:sz w:val="20"/>
                    <w:szCs w:val="20"/>
                  </w:rPr>
                  <m:t>ϕ</m:t>
                </m:r>
              </m:e>
              <m:sub>
                <m:r>
                  <w:rPr>
                    <w:rFonts w:ascii="Cambria Math" w:hAnsi="Cambria Math"/>
                    <w:sz w:val="20"/>
                    <w:szCs w:val="20"/>
                  </w:rPr>
                  <m:t>j</m:t>
                </m:r>
              </m:sub>
            </m:sSub>
          </m:e>
        </m:nary>
        <m:d>
          <m:dPr>
            <m:ctrlPr>
              <w:rPr>
                <w:rFonts w:ascii="Cambria Math" w:hAnsi="Cambria Math"/>
                <w:sz w:val="20"/>
                <w:szCs w:val="20"/>
              </w:rPr>
            </m:ctrlPr>
          </m:dPr>
          <m:e>
            <m:r>
              <w:rPr>
                <w:rFonts w:ascii="Cambria Math" w:hAnsi="Cambria Math"/>
                <w:sz w:val="20"/>
                <w:szCs w:val="20"/>
              </w:rPr>
              <m:t>x</m:t>
            </m:r>
          </m:e>
        </m:d>
        <m:sSub>
          <m:sSubPr>
            <m:ctrlPr>
              <w:rPr>
                <w:rFonts w:ascii="Cambria Math" w:hAnsi="Cambria Math"/>
                <w:sz w:val="20"/>
                <w:szCs w:val="20"/>
              </w:rPr>
            </m:ctrlPr>
          </m:sSubPr>
          <m:e>
            <m:limUpp>
              <m:limUppPr>
                <m:ctrlPr>
                  <w:rPr>
                    <w:rFonts w:ascii="Cambria Math" w:hAnsi="Cambria Math"/>
                    <w:sz w:val="20"/>
                    <w:szCs w:val="20"/>
                  </w:rPr>
                </m:ctrlPr>
              </m:limUppPr>
              <m:e>
                <m:r>
                  <w:rPr>
                    <w:rFonts w:ascii="Cambria Math" w:hAnsi="Cambria Math"/>
                    <w:sz w:val="20"/>
                    <w:szCs w:val="20"/>
                  </w:rPr>
                  <m:t>ψ</m:t>
                </m:r>
              </m:e>
              <m:lim>
                <m:r>
                  <m:rPr>
                    <m:lit/>
                    <m:nor/>
                  </m:rPr>
                  <w:rPr>
                    <w:rFonts w:ascii="Cambria Math" w:hAnsi="Cambria Math"/>
                    <w:sz w:val="20"/>
                    <w:szCs w:val="20"/>
                  </w:rPr>
                  <m:t>~</m:t>
                </m:r>
              </m:lim>
            </m:limUpp>
          </m:e>
          <m:sub>
            <m:r>
              <w:rPr>
                <w:rFonts w:ascii="Cambria Math" w:hAnsi="Cambria Math"/>
                <w:sz w:val="20"/>
                <w:szCs w:val="20"/>
              </w:rPr>
              <m:t>j</m:t>
            </m:r>
          </m:sub>
        </m:sSub>
      </m:oMath>
      <w:r>
        <w:t>. The resulting discretized eigenvalue problem is then as follows (the bottom equation is in matrix-vector notation).</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7558"/>
        <w:gridCol w:w="946"/>
      </w:tblGrid>
      <w:tr w:rsidR="00734F90" w14:paraId="2DDA86BB" w14:textId="77777777">
        <w:trPr>
          <w:tblHeader/>
        </w:trPr>
        <w:tc>
          <w:tcPr>
            <w:tcW w:w="7558" w:type="dxa"/>
            <w:vAlign w:val="center"/>
          </w:tcPr>
          <w:p w14:paraId="582E5BDE" w14:textId="77777777" w:rsidR="00734F90" w:rsidRDefault="00BE5E59">
            <w:pPr>
              <w:pStyle w:val="TableContents"/>
            </w:pPr>
            <m:oMathPara>
              <m:oMathParaPr>
                <m:jc m:val="center"/>
              </m:oMathParaPr>
              <m:oMath>
                <m:eqArr>
                  <m:eqArrPr>
                    <m:ctrlPr>
                      <w:rPr>
                        <w:rFonts w:ascii="Cambria Math" w:hAnsi="Cambria Math"/>
                      </w:rPr>
                    </m:ctrlPr>
                  </m:eqArrPr>
                  <m:e>
                    <m:nary>
                      <m:naryPr>
                        <m:chr m:val="∑"/>
                        <m:supHide m:val="1"/>
                        <m:ctrlPr>
                          <w:rPr>
                            <w:rFonts w:ascii="Cambria Math" w:hAnsi="Cambria Math"/>
                          </w:rPr>
                        </m:ctrlPr>
                      </m:naryPr>
                      <m:sub>
                        <m:r>
                          <w:rPr>
                            <w:rFonts w:ascii="Cambria Math" w:hAnsi="Cambria Math"/>
                          </w:rPr>
                          <m:t>j</m:t>
                        </m:r>
                      </m:sub>
                      <m:sup/>
                      <m:e>
                        <m:d>
                          <m:dPr>
                            <m:begChr m:val="["/>
                            <m:endChr m:val="]"/>
                            <m:ctrlPr>
                              <w:rPr>
                                <w:rFonts w:ascii="Cambria Math" w:hAnsi="Cambria Math"/>
                              </w:rPr>
                            </m:ctrlPr>
                          </m:dPr>
                          <m:e>
                            <m:nary>
                              <m:naryPr>
                                <m:supHide m:val="1"/>
                                <m:ctrlPr>
                                  <w:rPr>
                                    <w:rFonts w:ascii="Cambria Math" w:hAnsi="Cambria Math"/>
                                  </w:rPr>
                                </m:ctrlPr>
                              </m:naryPr>
                              <m:sub>
                                <m:r>
                                  <w:rPr>
                                    <w:rFonts w:ascii="Cambria Math" w:hAnsi="Cambria Math"/>
                                  </w:rPr>
                                  <m:t>Ω</m:t>
                                </m:r>
                              </m:sub>
                              <m:sup/>
                              <m:e>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e>
                            </m:nary>
                            <m:r>
                              <w:rPr>
                                <w:rFonts w:ascii="Cambria Math" w:hAnsi="Cambria Math"/>
                              </w:rPr>
                              <m:t>+</m:t>
                            </m:r>
                            <m:nary>
                              <m:naryPr>
                                <m:supHide m:val="1"/>
                                <m:ctrlPr>
                                  <w:rPr>
                                    <w:rFonts w:ascii="Cambria Math" w:hAnsi="Cambria Math"/>
                                  </w:rPr>
                                </m:ctrlPr>
                              </m:naryPr>
                              <m:sub>
                                <m:r>
                                  <w:rPr>
                                    <w:rFonts w:ascii="Cambria Math" w:hAnsi="Cambria Math"/>
                                  </w:rPr>
                                  <m:t>Ω</m:t>
                                </m:r>
                              </m:sub>
                              <m:sup/>
                              <m:e>
                                <m:r>
                                  <w:rPr>
                                    <w:rFonts w:ascii="Cambria Math" w:hAnsi="Cambria Math"/>
                                  </w:rPr>
                                  <m:t>V</m:t>
                                </m:r>
                              </m:e>
                            </m:nary>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ϕ</m:t>
                                </m:r>
                              </m:e>
                              <m:sub>
                                <m:r>
                                  <w:rPr>
                                    <w:rFonts w:ascii="Cambria Math" w:hAnsi="Cambria Math"/>
                                  </w:rPr>
                                  <m:t>i</m:t>
                                </m:r>
                              </m:sub>
                            </m:sSub>
                            <m:sSub>
                              <m:sSubPr>
                                <m:ctrlPr>
                                  <w:rPr>
                                    <w:rFonts w:ascii="Cambria Math" w:hAnsi="Cambria Math"/>
                                  </w:rPr>
                                </m:ctrlPr>
                              </m:sSubPr>
                              <m:e>
                                <m:r>
                                  <w:rPr>
                                    <w:rFonts w:ascii="Cambria Math" w:hAnsi="Cambria Math"/>
                                  </w:rPr>
                                  <m:t>ϕ</m:t>
                                </m:r>
                              </m:e>
                              <m:sub>
                                <m:r>
                                  <w:rPr>
                                    <w:rFonts w:ascii="Cambria Math" w:hAnsi="Cambria Math"/>
                                  </w:rPr>
                                  <m:t>j</m:t>
                                </m:r>
                              </m:sub>
                            </m:sSub>
                          </m:e>
                        </m:d>
                      </m:e>
                    </m:nary>
                    <m:sSub>
                      <m:sSubPr>
                        <m:ctrlPr>
                          <w:rPr>
                            <w:rFonts w:ascii="Cambria Math" w:hAnsi="Cambria Math"/>
                          </w:rPr>
                        </m:ctrlPr>
                      </m:sSubPr>
                      <m:e>
                        <m:limUpp>
                          <m:limUppPr>
                            <m:ctrlPr>
                              <w:rPr>
                                <w:rFonts w:ascii="Cambria Math" w:hAnsi="Cambria Math"/>
                              </w:rPr>
                            </m:ctrlPr>
                          </m:limUppPr>
                          <m:e>
                            <m:r>
                              <w:rPr>
                                <w:rFonts w:ascii="Cambria Math" w:hAnsi="Cambria Math"/>
                              </w:rPr>
                              <m:t>ψ</m:t>
                            </m:r>
                          </m:e>
                          <m:lim>
                            <m:r>
                              <m:rPr>
                                <m:lit/>
                                <m:nor/>
                              </m:rPr>
                              <w:rPr>
                                <w:rFonts w:ascii="Cambria Math" w:hAnsi="Cambria Math"/>
                              </w:rPr>
                              <m:t>~</m:t>
                            </m:r>
                          </m:lim>
                        </m:limUpp>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h</m:t>
                        </m:r>
                      </m:sub>
                    </m:sSub>
                    <m:nary>
                      <m:naryPr>
                        <m:chr m:val="∑"/>
                        <m:supHide m:val="1"/>
                        <m:ctrlPr>
                          <w:rPr>
                            <w:rFonts w:ascii="Cambria Math" w:hAnsi="Cambria Math"/>
                          </w:rPr>
                        </m:ctrlPr>
                      </m:naryPr>
                      <m:sub>
                        <m:r>
                          <w:rPr>
                            <w:rFonts w:ascii="Cambria Math" w:hAnsi="Cambria Math"/>
                          </w:rPr>
                          <m:t>j</m:t>
                        </m:r>
                      </m:sub>
                      <m:sup/>
                      <m:e>
                        <m:d>
                          <m:dPr>
                            <m:begChr m:val="["/>
                            <m:endChr m:val="]"/>
                            <m:ctrlPr>
                              <w:rPr>
                                <w:rFonts w:ascii="Cambria Math" w:hAnsi="Cambria Math"/>
                              </w:rPr>
                            </m:ctrlPr>
                          </m:dPr>
                          <m:e>
                            <m:nary>
                              <m:naryPr>
                                <m:supHide m:val="1"/>
                                <m:ctrlPr>
                                  <w:rPr>
                                    <w:rFonts w:ascii="Cambria Math" w:hAnsi="Cambria Math"/>
                                  </w:rPr>
                                </m:ctrlPr>
                              </m:naryPr>
                              <m:sub>
                                <m:r>
                                  <w:rPr>
                                    <w:rFonts w:ascii="Cambria Math" w:hAnsi="Cambria Math"/>
                                  </w:rPr>
                                  <m:t>Ω</m:t>
                                </m:r>
                              </m:sub>
                              <m:sup/>
                              <m:e>
                                <m:sSub>
                                  <m:sSubPr>
                                    <m:ctrlPr>
                                      <w:rPr>
                                        <w:rFonts w:ascii="Cambria Math" w:hAnsi="Cambria Math"/>
                                      </w:rPr>
                                    </m:ctrlPr>
                                  </m:sSubPr>
                                  <m:e>
                                    <m:r>
                                      <w:rPr>
                                        <w:rFonts w:ascii="Cambria Math" w:hAnsi="Cambria Math"/>
                                      </w:rPr>
                                      <m:t>ϕ</m:t>
                                    </m:r>
                                  </m:e>
                                  <m:sub>
                                    <m:r>
                                      <w:rPr>
                                        <w:rFonts w:ascii="Cambria Math" w:hAnsi="Cambria Math"/>
                                      </w:rPr>
                                      <m:t>i</m:t>
                                    </m:r>
                                  </m:sub>
                                </m:sSub>
                              </m:e>
                            </m:nary>
                            <m:sSub>
                              <m:sSubPr>
                                <m:ctrlPr>
                                  <w:rPr>
                                    <w:rFonts w:ascii="Cambria Math" w:hAnsi="Cambria Math"/>
                                  </w:rPr>
                                </m:ctrlPr>
                              </m:sSubPr>
                              <m:e>
                                <m:r>
                                  <w:rPr>
                                    <w:rFonts w:ascii="Cambria Math" w:hAnsi="Cambria Math"/>
                                  </w:rPr>
                                  <m:t>ϕ</m:t>
                                </m:r>
                              </m:e>
                              <m:sub>
                                <m:r>
                                  <w:rPr>
                                    <w:rFonts w:ascii="Cambria Math" w:hAnsi="Cambria Math"/>
                                  </w:rPr>
                                  <m:t>j</m:t>
                                </m:r>
                              </m:sub>
                            </m:sSub>
                          </m:e>
                        </m:d>
                      </m:e>
                    </m:nary>
                    <m:sSub>
                      <m:sSubPr>
                        <m:ctrlPr>
                          <w:rPr>
                            <w:rFonts w:ascii="Cambria Math" w:hAnsi="Cambria Math"/>
                          </w:rPr>
                        </m:ctrlPr>
                      </m:sSubPr>
                      <m:e>
                        <m:limUpp>
                          <m:limUppPr>
                            <m:ctrlPr>
                              <w:rPr>
                                <w:rFonts w:ascii="Cambria Math" w:hAnsi="Cambria Math"/>
                              </w:rPr>
                            </m:ctrlPr>
                          </m:limUppPr>
                          <m:e>
                            <m:r>
                              <w:rPr>
                                <w:rFonts w:ascii="Cambria Math" w:hAnsi="Cambria Math"/>
                              </w:rPr>
                              <m:t>ψ</m:t>
                            </m:r>
                          </m:e>
                          <m:lim>
                            <m:r>
                              <m:rPr>
                                <m:lit/>
                                <m:nor/>
                              </m:rPr>
                              <w:rPr>
                                <w:rFonts w:ascii="Cambria Math" w:hAnsi="Cambria Math"/>
                              </w:rPr>
                              <m:t>~</m:t>
                            </m:r>
                          </m:lim>
                        </m:limUpp>
                      </m:e>
                      <m:sub>
                        <m:r>
                          <w:rPr>
                            <w:rFonts w:ascii="Cambria Math" w:hAnsi="Cambria Math"/>
                          </w:rPr>
                          <m:t>j</m:t>
                        </m:r>
                      </m:sub>
                    </m:sSub>
                  </m:e>
                  <m:e>
                    <m:r>
                      <w:rPr>
                        <w:rFonts w:ascii="Cambria Math" w:hAnsi="Cambria Math"/>
                      </w:rPr>
                      <m:t>A</m:t>
                    </m:r>
                    <m:limUpp>
                      <m:limUppPr>
                        <m:ctrlPr>
                          <w:rPr>
                            <w:rFonts w:ascii="Cambria Math" w:hAnsi="Cambria Math"/>
                          </w:rPr>
                        </m:ctrlPr>
                      </m:limUppPr>
                      <m:e>
                        <m:r>
                          <w:rPr>
                            <w:rFonts w:ascii="Cambria Math" w:hAnsi="Cambria Math"/>
                          </w:rPr>
                          <m:t>Ψ</m:t>
                        </m:r>
                      </m:e>
                      <m:lim>
                        <m:r>
                          <m:rPr>
                            <m:lit/>
                            <m:nor/>
                          </m:rPr>
                          <w:rPr>
                            <w:rFonts w:ascii="Cambria Math" w:hAnsi="Cambria Math"/>
                          </w:rPr>
                          <m:t>~</m:t>
                        </m:r>
                      </m:lim>
                    </m:limUpp>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h</m:t>
                        </m:r>
                      </m:sub>
                    </m:sSub>
                    <m:r>
                      <w:rPr>
                        <w:rFonts w:ascii="Cambria Math" w:hAnsi="Cambria Math"/>
                      </w:rPr>
                      <m:t>M</m:t>
                    </m:r>
                    <m:limUpp>
                      <m:limUppPr>
                        <m:ctrlPr>
                          <w:rPr>
                            <w:rFonts w:ascii="Cambria Math" w:hAnsi="Cambria Math"/>
                          </w:rPr>
                        </m:ctrlPr>
                      </m:limUppPr>
                      <m:e>
                        <m:r>
                          <w:rPr>
                            <w:rFonts w:ascii="Cambria Math" w:hAnsi="Cambria Math"/>
                          </w:rPr>
                          <m:t>Ψ</m:t>
                        </m:r>
                      </m:e>
                      <m:lim>
                        <m:r>
                          <m:rPr>
                            <m:lit/>
                            <m:nor/>
                          </m:rPr>
                          <w:rPr>
                            <w:rFonts w:ascii="Cambria Math" w:hAnsi="Cambria Math"/>
                          </w:rPr>
                          <m:t>~</m:t>
                        </m:r>
                      </m:lim>
                    </m:limUpp>
                  </m:e>
                </m:eqArr>
              </m:oMath>
            </m:oMathPara>
          </w:p>
        </w:tc>
        <w:tc>
          <w:tcPr>
            <w:tcW w:w="946" w:type="dxa"/>
            <w:vAlign w:val="center"/>
          </w:tcPr>
          <w:p w14:paraId="05872D1E" w14:textId="77777777" w:rsidR="00734F90" w:rsidRDefault="003E285E">
            <w:pPr>
              <w:pStyle w:val="TableContents"/>
              <w:jc w:val="right"/>
            </w:pPr>
            <w:r>
              <w:t>(S</w:t>
            </w:r>
            <w:r w:rsidR="00BE5E59">
              <w:fldChar w:fldCharType="begin"/>
            </w:r>
            <w:r w:rsidR="00BE5E59">
              <w:instrText xml:space="preserve"> SEQ Text \* ARABIC </w:instrText>
            </w:r>
            <w:r w:rsidR="00BE5E59">
              <w:fldChar w:fldCharType="separate"/>
            </w:r>
            <w:r>
              <w:t>12</w:t>
            </w:r>
            <w:r w:rsidR="00BE5E59">
              <w:fldChar w:fldCharType="end"/>
            </w:r>
            <w:r>
              <w:t>)</w:t>
            </w:r>
          </w:p>
        </w:tc>
      </w:tr>
    </w:tbl>
    <w:p w14:paraId="336F7B91" w14:textId="77777777" w:rsidR="00734F90" w:rsidRDefault="003E285E">
      <w:pPr>
        <w:pStyle w:val="ArticleBody"/>
      </w:pPr>
      <w:r>
        <w:t>Here, A is the stiffness matrix and M the mass matrix.</w:t>
      </w:r>
    </w:p>
    <w:p w14:paraId="56E43607" w14:textId="45C92014" w:rsidR="00734F90" w:rsidRDefault="003E285E">
      <w:pPr>
        <w:pStyle w:val="ArticleBody"/>
      </w:pPr>
      <w:r>
        <w:t xml:space="preserve">The </w:t>
      </w:r>
      <w:proofErr w:type="spellStart"/>
      <w:r>
        <w:t>Deal</w:t>
      </w:r>
      <w:r w:rsidR="008D5B20">
        <w:t>.II</w:t>
      </w:r>
      <w:proofErr w:type="spellEnd"/>
      <w:r>
        <w:t xml:space="preserve"> library</w:t>
      </w:r>
      <w:r w:rsidR="009B61CB">
        <w:fldChar w:fldCharType="begin"/>
      </w:r>
      <w:r w:rsidR="00D12114">
        <w:instrText xml:space="preserve"> ADDIN ZOTERO_ITEM CSL_CITATION {"citationID":"B7ok7gTS","properties":{"formattedCitation":"[3]","plainCitation":"[3]","noteIndex":0},"citationItems":[{"id":559,"uris":["http://zotero.org/users/6410717/items/865DRUJ2"],"itemData":{"id":559,"type":"webpage","title":"The deal.II Finite Element Library","URL":"https://dealii.org/","accessed":{"date-parts":[["2022",11,3]]}}}],"schema":"https://github.com/citation-style-language/schema/raw/master/csl-citation.json"} </w:instrText>
      </w:r>
      <w:r w:rsidR="009B61CB">
        <w:fldChar w:fldCharType="separate"/>
      </w:r>
      <w:r w:rsidR="00D12114" w:rsidRPr="00D12114">
        <w:t>[3]</w:t>
      </w:r>
      <w:r w:rsidR="009B61CB">
        <w:fldChar w:fldCharType="end"/>
      </w:r>
      <w:r>
        <w:t xml:space="preserve"> was used to solve the problem. This library provides all the necessary structures to build and solve the problem (create grid, implement boundary conditions, solve the eigenvalue problem). In this case, the local integrals (built from the test functions) were solved using a 2</w:t>
      </w:r>
      <w:r>
        <w:rPr>
          <w:vertAlign w:val="superscript"/>
        </w:rPr>
        <w:t>nd</w:t>
      </w:r>
      <w:r>
        <w:t xml:space="preserve"> order Gaussian quadrature. The eigenvalue problem was then solved using the </w:t>
      </w:r>
      <w:proofErr w:type="spellStart"/>
      <w:r>
        <w:t>Deal</w:t>
      </w:r>
      <w:r w:rsidR="008D5B20">
        <w:t>.II</w:t>
      </w:r>
      <w:proofErr w:type="spellEnd"/>
      <w:r>
        <w:t xml:space="preserve"> wrapper for the </w:t>
      </w:r>
      <w:proofErr w:type="spellStart"/>
      <w:r>
        <w:t>SLEPc</w:t>
      </w:r>
      <w:proofErr w:type="spellEnd"/>
      <w:r>
        <w:t xml:space="preserve"> </w:t>
      </w:r>
      <w:proofErr w:type="spellStart"/>
      <w:r>
        <w:t>Krylov</w:t>
      </w:r>
      <w:proofErr w:type="spellEnd"/>
      <w:r>
        <w:t xml:space="preserve">-Schur </w:t>
      </w:r>
      <w:proofErr w:type="spellStart"/>
      <w:r>
        <w:t>eigenspectrum</w:t>
      </w:r>
      <w:proofErr w:type="spellEnd"/>
      <w:r>
        <w:t xml:space="preserve"> Solver.</w:t>
      </w:r>
    </w:p>
    <w:p w14:paraId="0BF987E8" w14:textId="1C767752" w:rsidR="00734F90" w:rsidRDefault="003E285E">
      <w:pPr>
        <w:pStyle w:val="ArticleBody"/>
      </w:pPr>
      <w:r>
        <w:t xml:space="preserve">The first process in the simulation focused on determining the accuracy and the mesh requirements needed to achieve the </w:t>
      </w:r>
      <w:r w:rsidR="006C7C0A">
        <w:t>in</w:t>
      </w:r>
      <w:r>
        <w:t xml:space="preserve">tended results. For that, the authors started by solving </w:t>
      </w:r>
      <w:r w:rsidR="00654808">
        <w:t xml:space="preserve">a reference </w:t>
      </w:r>
      <w:r>
        <w:t xml:space="preserve">spherical well problem, thus facilitating the comparison between the analytically obtained and numerically obtained results. </w:t>
      </w:r>
      <w:r w:rsidR="006F385D">
        <w:fldChar w:fldCharType="begin"/>
      </w:r>
      <w:r w:rsidR="006F385D">
        <w:instrText xml:space="preserve"> REF _Ref118380129 \h </w:instrText>
      </w:r>
      <w:r w:rsidR="006F385D">
        <w:fldChar w:fldCharType="separate"/>
      </w:r>
      <w:r w:rsidR="006F385D">
        <w:t>Figure S1</w:t>
      </w:r>
      <w:r w:rsidR="006F385D">
        <w:fldChar w:fldCharType="end"/>
      </w:r>
      <w:r w:rsidR="006F385D">
        <w:t xml:space="preserve"> </w:t>
      </w:r>
      <w:r>
        <w:t>shows the results for different meshes (the different vertical sections are labelled from 1–6 according to the mesh refinement) and simulation size (</w:t>
      </w:r>
      <w:r w:rsidR="006F385D">
        <w:t>colour</w:t>
      </w:r>
      <w:r>
        <w:t xml:space="preserve"> of the dots in each profile). The QD properties used for these simulations are V</w:t>
      </w:r>
      <w:r w:rsidR="006F385D">
        <w:t> </w:t>
      </w:r>
      <w:r>
        <w:t>=</w:t>
      </w:r>
      <w:r w:rsidR="006F385D">
        <w:t> </w:t>
      </w:r>
      <w:r>
        <w:t>1 eV, m</w:t>
      </w:r>
      <w:r w:rsidR="006F385D">
        <w:t> </w:t>
      </w:r>
      <w:r>
        <w:t>=</w:t>
      </w:r>
      <w:r w:rsidR="006F385D">
        <w:t> </w:t>
      </w:r>
      <w:r>
        <w:t>0.1m</w:t>
      </w:r>
      <w:r>
        <w:rPr>
          <w:vertAlign w:val="subscript"/>
        </w:rPr>
        <w:t>0</w:t>
      </w:r>
      <w:r>
        <w:t xml:space="preserve"> and QD radius of 3.5 nm.</w:t>
      </w:r>
    </w:p>
    <w:p w14:paraId="7EDF8F31" w14:textId="5AF2C0C5" w:rsidR="00734F90" w:rsidRDefault="008D5B20">
      <w:pPr>
        <w:pStyle w:val="ArticleBody"/>
      </w:pPr>
      <w:r>
        <w:t xml:space="preserve">As a rule of thumb, global mesh refinements bellow 3 do not seem to provide accurate results. Beyond 3, there is still a clear dependency on the simulation size (bigger simulation size does require more refinement steps to better resolve QD features). Furthermore, as the </w:t>
      </w:r>
      <w:r w:rsidR="00D90631">
        <w:rPr>
          <w:noProof/>
        </w:rPr>
        <mc:AlternateContent>
          <mc:Choice Requires="wps">
            <w:drawing>
              <wp:anchor distT="0" distB="0" distL="0" distR="0" simplePos="0" relativeHeight="4" behindDoc="0" locked="0" layoutInCell="0" allowOverlap="1" wp14:anchorId="6B8CDB41" wp14:editId="6F41AABE">
                <wp:simplePos x="0" y="0"/>
                <wp:positionH relativeFrom="column">
                  <wp:align>center</wp:align>
                </wp:positionH>
                <wp:positionV relativeFrom="paragraph">
                  <wp:posOffset>635</wp:posOffset>
                </wp:positionV>
                <wp:extent cx="5256530" cy="5303520"/>
                <wp:effectExtent l="0" t="0" r="1270" b="0"/>
                <wp:wrapSquare wrapText="largest"/>
                <wp:docPr id="1" name="Frame1"/>
                <wp:cNvGraphicFramePr/>
                <a:graphic xmlns:a="http://schemas.openxmlformats.org/drawingml/2006/main">
                  <a:graphicData uri="http://schemas.microsoft.com/office/word/2010/wordprocessingShape">
                    <wps:wsp>
                      <wps:cNvSpPr txBox="1"/>
                      <wps:spPr>
                        <a:xfrm>
                          <a:off x="0" y="0"/>
                          <a:ext cx="5256530" cy="5303520"/>
                        </a:xfrm>
                        <a:prstGeom prst="rect">
                          <a:avLst/>
                        </a:prstGeom>
                        <a:solidFill>
                          <a:srgbClr val="FFFFFF"/>
                        </a:solidFill>
                      </wps:spPr>
                      <wps:txbx>
                        <w:txbxContent>
                          <w:p w14:paraId="287435D5" w14:textId="77777777" w:rsidR="006F385D" w:rsidRDefault="003E285E">
                            <w:pPr>
                              <w:pStyle w:val="Figure"/>
                            </w:pPr>
                            <w:r>
                              <w:rPr>
                                <w:noProof/>
                              </w:rPr>
                              <w:drawing>
                                <wp:inline distT="0" distB="0" distL="0" distR="0" wp14:anchorId="6EEDEDD9" wp14:editId="38CA8EFA">
                                  <wp:extent cx="5256530" cy="426847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5256530" cy="4268470"/>
                                          </a:xfrm>
                                          <a:prstGeom prst="rect">
                                            <a:avLst/>
                                          </a:prstGeom>
                                        </pic:spPr>
                                      </pic:pic>
                                    </a:graphicData>
                                  </a:graphic>
                                </wp:inline>
                              </w:drawing>
                            </w:r>
                          </w:p>
                          <w:p w14:paraId="0EF4932E" w14:textId="73D3765E" w:rsidR="00734F90" w:rsidRDefault="003E285E">
                            <w:pPr>
                              <w:pStyle w:val="Figure"/>
                            </w:pPr>
                            <w:bookmarkStart w:id="0" w:name="_Ref118380129"/>
                            <w:r>
                              <w:t>Figure S</w:t>
                            </w:r>
                            <w:r w:rsidR="00BE5E59">
                              <w:fldChar w:fldCharType="begin"/>
                            </w:r>
                            <w:r w:rsidR="00BE5E59">
                              <w:instrText xml:space="preserve"> SEQ Figure \* ARABIC </w:instrText>
                            </w:r>
                            <w:r w:rsidR="00BE5E59">
                              <w:fldChar w:fldCharType="separate"/>
                            </w:r>
                            <w:r w:rsidR="00D90631">
                              <w:rPr>
                                <w:noProof/>
                              </w:rPr>
                              <w:t>1</w:t>
                            </w:r>
                            <w:r w:rsidR="00BE5E59">
                              <w:rPr>
                                <w:noProof/>
                              </w:rPr>
                              <w:fldChar w:fldCharType="end"/>
                            </w:r>
                            <w:bookmarkEnd w:id="0"/>
                            <w:r>
                              <w:t xml:space="preserve">: Convergence results for the FEM analysis of the spherical well problem. </w:t>
                            </w:r>
                            <w:r w:rsidR="008D5B20">
                              <w:t>The top horizontal line</w:t>
                            </w:r>
                            <w:r>
                              <w:t xml:space="preserve"> represents the analytical solution. Each profile is subdivided into 6 different regions (for each refinement step in the algorithm) and in each region multiple simulation regions were tested (shown by different colo</w:t>
                            </w:r>
                            <w:r w:rsidR="00ED4AFC">
                              <w:t>u</w:t>
                            </w:r>
                            <w:r>
                              <w:t>r dots). The results are shown for a) first energy level; b) second energy level; c) third energy level; d) fourth energy level.</w:t>
                            </w:r>
                          </w:p>
                        </w:txbxContent>
                      </wps:txbx>
                      <wps:bodyPr lIns="0" tIns="0" rIns="0" bIns="0" anchor="t">
                        <a:noAutofit/>
                      </wps:bodyPr>
                    </wps:wsp>
                  </a:graphicData>
                </a:graphic>
                <wp14:sizeRelV relativeFrom="margin">
                  <wp14:pctHeight>0</wp14:pctHeight>
                </wp14:sizeRelV>
              </wp:anchor>
            </w:drawing>
          </mc:Choice>
          <mc:Fallback>
            <w:pict>
              <v:shapetype w14:anchorId="6B8CDB41" id="_x0000_t202" coordsize="21600,21600" o:spt="202" path="m,l,21600r21600,l21600,xe">
                <v:stroke joinstyle="miter"/>
                <v:path gradientshapeok="t" o:connecttype="rect"/>
              </v:shapetype>
              <v:shape id="Frame1" o:spid="_x0000_s1026" type="#_x0000_t202" style="position:absolute;left:0;text-align:left;margin-left:0;margin-top:.05pt;width:413.9pt;height:417.6pt;z-index:4;visibility:visible;mso-wrap-style:square;mso-height-percent:0;mso-wrap-distance-left:0;mso-wrap-distance-top:0;mso-wrap-distance-right:0;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" o:allowincell="f" stroked="f">
                <v:textbox inset="0,0,0,0">
                  <w:txbxContent>
                    <w:p w14:paraId="287435D5" w14:textId="77777777" w:rsidR="006F385D" w:rsidRDefault="003E285E">
                      <w:pPr>
                        <w:pStyle w:val="Figure"/>
                      </w:pPr>
                      <w:r>
                        <w:rPr>
                          <w:noProof/>
                        </w:rPr>
                        <w:drawing>
                          <wp:inline distT="0" distB="0" distL="0" distR="0" wp14:anchorId="6EEDEDD9" wp14:editId="38CA8EFA">
                            <wp:extent cx="5256530" cy="426847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5256530" cy="4268470"/>
                                    </a:xfrm>
                                    <a:prstGeom prst="rect">
                                      <a:avLst/>
                                    </a:prstGeom>
                                  </pic:spPr>
                                </pic:pic>
                              </a:graphicData>
                            </a:graphic>
                          </wp:inline>
                        </w:drawing>
                      </w:r>
                    </w:p>
                    <w:p w14:paraId="0EF4932E" w14:textId="73D3765E" w:rsidR="00734F90" w:rsidRDefault="003E285E">
                      <w:pPr>
                        <w:pStyle w:val="Figure"/>
                      </w:pPr>
                      <w:bookmarkStart w:id="1" w:name="_Ref118380129"/>
                      <w:r>
                        <w:t>Figure S</w:t>
                      </w:r>
                      <w:r w:rsidR="00BE5E59">
                        <w:fldChar w:fldCharType="begin"/>
                      </w:r>
                      <w:r w:rsidR="00BE5E59">
                        <w:instrText xml:space="preserve"> SEQ Figure \* ARABIC </w:instrText>
                      </w:r>
                      <w:r w:rsidR="00BE5E59">
                        <w:fldChar w:fldCharType="separate"/>
                      </w:r>
                      <w:r w:rsidR="00D90631">
                        <w:rPr>
                          <w:noProof/>
                        </w:rPr>
                        <w:t>1</w:t>
                      </w:r>
                      <w:r w:rsidR="00BE5E59">
                        <w:rPr>
                          <w:noProof/>
                        </w:rPr>
                        <w:fldChar w:fldCharType="end"/>
                      </w:r>
                      <w:bookmarkEnd w:id="1"/>
                      <w:r>
                        <w:t xml:space="preserve">: Convergence results for the FEM analysis of the spherical well problem. </w:t>
                      </w:r>
                      <w:r w:rsidR="008D5B20">
                        <w:t>The top horizontal line</w:t>
                      </w:r>
                      <w:r>
                        <w:t xml:space="preserve"> represents the analytical solution. Each profile is subdivided into 6 different regions (for each refinement step in the algorithm) and in each region multiple simulation regions were tested (shown by different colo</w:t>
                      </w:r>
                      <w:r w:rsidR="00ED4AFC">
                        <w:t>u</w:t>
                      </w:r>
                      <w:r>
                        <w:t>r dots). The results are shown for a) first energy level; b) second energy level; c) third energy level; d) fourth energy level.</w:t>
                      </w:r>
                    </w:p>
                  </w:txbxContent>
                </v:textbox>
                <w10:wrap type="square" side="largest"/>
              </v:shape>
            </w:pict>
          </mc:Fallback>
        </mc:AlternateContent>
      </w:r>
      <w:r>
        <w:t xml:space="preserve">energy levels increase there is also a tendency for the error to increase. This could be from the increasing delocalization of the wavefunction as the energy level increases. For the Main Manuscript results, the authors only used the first energy level. As such, a global mesh refinement of 5 was used, </w:t>
      </w:r>
      <w:r w:rsidR="006F385D">
        <w:t xml:space="preserve">as </w:t>
      </w:r>
      <w:r w:rsidR="006F385D">
        <w:fldChar w:fldCharType="begin"/>
      </w:r>
      <w:r w:rsidR="006F385D">
        <w:instrText xml:space="preserve"> REF _Ref118380129 \h </w:instrText>
      </w:r>
      <w:r w:rsidR="006F385D">
        <w:fldChar w:fldCharType="separate"/>
      </w:r>
      <w:r w:rsidR="006F385D">
        <w:t>Figure S1</w:t>
      </w:r>
      <w:r w:rsidR="006F385D">
        <w:fldChar w:fldCharType="end"/>
      </w:r>
      <w:r w:rsidR="006F385D">
        <w:t xml:space="preserve"> </w:t>
      </w:r>
      <w:r>
        <w:t>a) clearly shows this mesh to be independent of the simulation size and thus the ratio QD Size/Simulation Size.</w:t>
      </w:r>
    </w:p>
    <w:p w14:paraId="618548AE" w14:textId="77777777" w:rsidR="00734F90" w:rsidRDefault="003E285E">
      <w:pPr>
        <w:pStyle w:val="SMHeading"/>
        <w:tabs>
          <w:tab w:val="num" w:pos="720"/>
        </w:tabs>
      </w:pPr>
      <w:r>
        <w:t>Bandgap Studies</w:t>
      </w:r>
    </w:p>
    <w:p w14:paraId="70145B0C" w14:textId="47EAA292" w:rsidR="00734F90" w:rsidRDefault="008D5B20">
      <w:pPr>
        <w:pStyle w:val="ArticleBody"/>
      </w:pPr>
      <w:r>
        <w:fldChar w:fldCharType="begin"/>
      </w:r>
      <w:r>
        <w:instrText xml:space="preserve"> REF _Ref118451236 \h </w:instrText>
      </w:r>
      <w:r>
        <w:fldChar w:fldCharType="separate"/>
      </w:r>
      <w:r>
        <w:t>Figure S</w:t>
      </w:r>
      <w:r>
        <w:rPr>
          <w:noProof/>
        </w:rPr>
        <w:t>2</w:t>
      </w:r>
      <w:r>
        <w:fldChar w:fldCharType="end"/>
      </w:r>
      <w:r>
        <w:t xml:space="preserve"> summarizes the dependency of the QD </w:t>
      </w:r>
      <w:r w:rsidR="003F7AB8">
        <w:t>b</w:t>
      </w:r>
      <w:r>
        <w:t>andgap (</w:t>
      </w:r>
      <w:proofErr w:type="spellStart"/>
      <w:r w:rsidR="003F7AB8">
        <w:t>E</w:t>
      </w:r>
      <w:r w:rsidR="003F7AB8" w:rsidRPr="00D917EF">
        <w:rPr>
          <w:vertAlign w:val="subscript"/>
        </w:rPr>
        <w:t>g</w:t>
      </w:r>
      <w:proofErr w:type="spellEnd"/>
      <w:r w:rsidR="003F7AB8" w:rsidRPr="00D917EF">
        <w:rPr>
          <w:vertAlign w:val="subscript"/>
        </w:rPr>
        <w:t>-QD</w:t>
      </w:r>
      <w:r>
        <w:t xml:space="preserve">) on different factors. Firstly, the QD </w:t>
      </w:r>
      <w:r w:rsidR="003F7AB8">
        <w:t>r</w:t>
      </w:r>
      <w:r>
        <w:t>adius, expectedly, shows a decrease in</w:t>
      </w:r>
      <w:r w:rsidR="003F7AB8">
        <w:t xml:space="preserve"> </w:t>
      </w:r>
      <w:proofErr w:type="spellStart"/>
      <w:r w:rsidR="003F7AB8">
        <w:t>E</w:t>
      </w:r>
      <w:r w:rsidR="003F7AB8" w:rsidRPr="00D917EF">
        <w:rPr>
          <w:vertAlign w:val="subscript"/>
        </w:rPr>
        <w:t>g</w:t>
      </w:r>
      <w:proofErr w:type="spellEnd"/>
      <w:r w:rsidR="003F7AB8" w:rsidRPr="00D917EF">
        <w:rPr>
          <w:vertAlign w:val="subscript"/>
        </w:rPr>
        <w:t>-QD</w:t>
      </w:r>
      <w:r>
        <w:t xml:space="preserve"> as the size increases, with the arrows on the right side of the plot indicating </w:t>
      </w:r>
      <w:r w:rsidR="003F7AB8">
        <w:t>an</w:t>
      </w:r>
      <w:r>
        <w:t xml:space="preserve"> exponential-like behaviour, also clearly seen in Figure </w:t>
      </w:r>
      <w:r w:rsidR="00ED4AFC">
        <w:t>2</w:t>
      </w:r>
      <w:r>
        <w:t xml:space="preserve"> of the Main Manuscript. The Host Bandgap (</w:t>
      </w:r>
      <w:proofErr w:type="spellStart"/>
      <w:r w:rsidR="003F7AB8">
        <w:t>E</w:t>
      </w:r>
      <w:r w:rsidR="003F7AB8" w:rsidRPr="00D917EF">
        <w:rPr>
          <w:vertAlign w:val="subscript"/>
        </w:rPr>
        <w:t>g</w:t>
      </w:r>
      <w:proofErr w:type="spellEnd"/>
      <w:r w:rsidR="003F7AB8" w:rsidRPr="00D917EF">
        <w:rPr>
          <w:vertAlign w:val="subscript"/>
        </w:rPr>
        <w:t>-Host</w:t>
      </w:r>
      <w:r w:rsidR="003F7AB8">
        <w:t xml:space="preserve">) </w:t>
      </w:r>
      <w:r>
        <w:t xml:space="preserve">shows a more pronounced influence for lower QD </w:t>
      </w:r>
      <w:r w:rsidR="003F7AB8">
        <w:t>s</w:t>
      </w:r>
      <w:r>
        <w:t xml:space="preserve">izes. As the QD size increases the energy levels tend to become more static (less influenced by size/potential changes). As the Host Bandgap increases there is a general trend to increase the QD </w:t>
      </w:r>
      <w:r w:rsidR="003F7AB8">
        <w:t>bandgap</w:t>
      </w:r>
      <w:r>
        <w:t xml:space="preserve">, </w:t>
      </w:r>
      <w:r w:rsidR="00ED4AFC">
        <w:t>which</w:t>
      </w:r>
      <w:r>
        <w:t xml:space="preserve"> conforms with the idea that</w:t>
      </w:r>
      <w:r w:rsidR="006C7C0A">
        <w:t>,</w:t>
      </w:r>
      <w:r>
        <w:t xml:space="preserve"> in the limit of </w:t>
      </w:r>
      <w:r w:rsidR="006C7C0A">
        <w:t xml:space="preserve">the </w:t>
      </w:r>
      <w:r w:rsidR="003F7AB8">
        <w:t>h</w:t>
      </w:r>
      <w:r>
        <w:t xml:space="preserve">ost </w:t>
      </w:r>
      <w:r w:rsidR="003F7AB8">
        <w:t xml:space="preserve">bandgap </w:t>
      </w:r>
      <w:r>
        <w:t>tending to infinity</w:t>
      </w:r>
      <w:r w:rsidR="006C7C0A">
        <w:t>,</w:t>
      </w:r>
      <w:r>
        <w:t xml:space="preserve"> the results should tend to the infinite well </w:t>
      </w:r>
      <w:r w:rsidR="00AF49BA">
        <w:rPr>
          <w:noProof/>
        </w:rPr>
        <mc:AlternateContent>
          <mc:Choice Requires="wps">
            <w:drawing>
              <wp:anchor distT="0" distB="0" distL="0" distR="0" simplePos="0" relativeHeight="15" behindDoc="0" locked="0" layoutInCell="0" allowOverlap="1" wp14:anchorId="242BBD79" wp14:editId="2127E496">
                <wp:simplePos x="0" y="0"/>
                <wp:positionH relativeFrom="column">
                  <wp:align>center</wp:align>
                </wp:positionH>
                <wp:positionV relativeFrom="paragraph">
                  <wp:posOffset>635</wp:posOffset>
                </wp:positionV>
                <wp:extent cx="5431790" cy="3402965"/>
                <wp:effectExtent l="0" t="0" r="0" b="6985"/>
                <wp:wrapTopAndBottom/>
                <wp:docPr id="4" name="Frame2"/>
                <wp:cNvGraphicFramePr/>
                <a:graphic xmlns:a="http://schemas.openxmlformats.org/drawingml/2006/main">
                  <a:graphicData uri="http://schemas.microsoft.com/office/word/2010/wordprocessingShape">
                    <wps:wsp>
                      <wps:cNvSpPr txBox="1"/>
                      <wps:spPr>
                        <a:xfrm>
                          <a:off x="0" y="0"/>
                          <a:ext cx="5431790" cy="3403158"/>
                        </a:xfrm>
                        <a:prstGeom prst="rect">
                          <a:avLst/>
                        </a:prstGeom>
                        <a:solidFill>
                          <a:srgbClr val="FFFFFF"/>
                        </a:solidFill>
                      </wps:spPr>
                      <wps:txbx>
                        <w:txbxContent>
                          <w:p w14:paraId="1269B771" w14:textId="77777777" w:rsidR="006F385D" w:rsidRDefault="003E285E" w:rsidP="006F385D">
                            <w:pPr>
                              <w:pStyle w:val="Figure"/>
                              <w:jc w:val="center"/>
                            </w:pPr>
                            <w:r>
                              <w:rPr>
                                <w:noProof/>
                              </w:rPr>
                              <w:drawing>
                                <wp:inline distT="0" distB="0" distL="0" distR="0" wp14:anchorId="4DDBD679" wp14:editId="7138290E">
                                  <wp:extent cx="3402418" cy="2721934"/>
                                  <wp:effectExtent l="0" t="0" r="0" b="254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06746" cy="2725396"/>
                                          </a:xfrm>
                                          <a:prstGeom prst="rect">
                                            <a:avLst/>
                                          </a:prstGeom>
                                        </pic:spPr>
                                      </pic:pic>
                                    </a:graphicData>
                                  </a:graphic>
                                </wp:inline>
                              </w:drawing>
                            </w:r>
                          </w:p>
                          <w:p w14:paraId="553C8703" w14:textId="4149E072" w:rsidR="00734F90" w:rsidRDefault="003E285E">
                            <w:pPr>
                              <w:pStyle w:val="Figure"/>
                            </w:pPr>
                            <w:bookmarkStart w:id="2" w:name="_Ref118451236"/>
                            <w:r>
                              <w:t>Figure S</w:t>
                            </w:r>
                            <w:r w:rsidR="00BE5E59">
                              <w:fldChar w:fldCharType="begin"/>
                            </w:r>
                            <w:r w:rsidR="00BE5E59">
                              <w:instrText xml:space="preserve"> SEQ Figure \* ARABIC </w:instrText>
                            </w:r>
                            <w:r w:rsidR="00BE5E59">
                              <w:fldChar w:fldCharType="separate"/>
                            </w:r>
                            <w:r w:rsidR="00D90631">
                              <w:rPr>
                                <w:noProof/>
                              </w:rPr>
                              <w:t>2</w:t>
                            </w:r>
                            <w:r w:rsidR="00BE5E59">
                              <w:rPr>
                                <w:noProof/>
                              </w:rPr>
                              <w:fldChar w:fldCharType="end"/>
                            </w:r>
                            <w:bookmarkEnd w:id="2"/>
                            <w:r>
                              <w:t xml:space="preserve">: Quantum Dot </w:t>
                            </w:r>
                            <w:r w:rsidR="00BA7349">
                              <w:t>B</w:t>
                            </w:r>
                            <w:r w:rsidR="003F7AB8">
                              <w:t>andgap</w:t>
                            </w:r>
                            <w:r>
                              <w:t xml:space="preserve"> dependency on the </w:t>
                            </w:r>
                            <w:r w:rsidR="00BA7349">
                              <w:t>H</w:t>
                            </w:r>
                            <w:r w:rsidR="003F7AB8">
                              <w:t>os</w:t>
                            </w:r>
                            <w:r>
                              <w:t xml:space="preserve">t Bandgap, QD </w:t>
                            </w:r>
                            <w:r w:rsidR="003F7AB8">
                              <w:t>r</w:t>
                            </w:r>
                            <w:r>
                              <w:t xml:space="preserve">adius </w:t>
                            </w:r>
                            <w:r w:rsidR="008752F0">
                              <w:t>(from 3 to 8 nm for different</w:t>
                            </w:r>
                            <w:r>
                              <w:t xml:space="preserve"> colo</w:t>
                            </w:r>
                            <w:r w:rsidR="00ED4AFC">
                              <w:t>u</w:t>
                            </w:r>
                            <w:r>
                              <w:t>red lines</w:t>
                            </w:r>
                            <w:r w:rsidR="008752F0">
                              <w:t>, in steps of 1 nm)</w:t>
                            </w:r>
                            <w:r>
                              <w:t xml:space="preserve"> and Potential offset (</w:t>
                            </w:r>
                            <w:r w:rsidR="008752F0">
                              <w:t>0</w:t>
                            </w:r>
                            <w:r w:rsidR="001D5EF1">
                              <w:t>.5, 0.4, 0.3 and 0.2</w:t>
                            </w:r>
                            <w:r w:rsidR="008752F0">
                              <w:t>, as represented in Fig</w:t>
                            </w:r>
                            <w:r w:rsidR="00D917EF">
                              <w:t>ure</w:t>
                            </w:r>
                            <w:r w:rsidR="008752F0">
                              <w:t xml:space="preserve"> 1 c), </w:t>
                            </w:r>
                            <w:r w:rsidR="001D5EF1">
                              <w:t>from the solid, dashed, dot dashed and small dash lines, respectively</w:t>
                            </w:r>
                            <w:r>
                              <w:t>).</w:t>
                            </w:r>
                          </w:p>
                        </w:txbxContent>
                      </wps:txbx>
                      <wps:bodyPr lIns="0" tIns="0" rIns="0" bIns="0" anchor="t">
                        <a:noAutofit/>
                      </wps:bodyPr>
                    </wps:wsp>
                  </a:graphicData>
                </a:graphic>
                <wp14:sizeRelV relativeFrom="margin">
                  <wp14:pctHeight>0</wp14:pctHeight>
                </wp14:sizeRelV>
              </wp:anchor>
            </w:drawing>
          </mc:Choice>
          <mc:Fallback>
            <w:pict>
              <v:shape w14:anchorId="242BBD79" id="Frame2" o:spid="_x0000_s1027" type="#_x0000_t202" style="position:absolute;left:0;text-align:left;margin-left:0;margin-top:.05pt;width:427.7pt;height:267.95pt;z-index:15;visibility:visible;mso-wrap-style:square;mso-height-percent:0;mso-wrap-distance-left:0;mso-wrap-distance-top:0;mso-wrap-distance-right:0;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" o:allowincell="f" stroked="f">
                <v:textbox inset="0,0,0,0">
                  <w:txbxContent>
                    <w:p w14:paraId="1269B771" w14:textId="77777777" w:rsidR="006F385D" w:rsidRDefault="003E285E" w:rsidP="006F385D">
                      <w:pPr>
                        <w:pStyle w:val="Figure"/>
                        <w:jc w:val="center"/>
                      </w:pPr>
                      <w:r>
                        <w:rPr>
                          <w:noProof/>
                        </w:rPr>
                        <w:drawing>
                          <wp:inline distT="0" distB="0" distL="0" distR="0" wp14:anchorId="4DDBD679" wp14:editId="7138290E">
                            <wp:extent cx="3402418" cy="2721934"/>
                            <wp:effectExtent l="0" t="0" r="0" b="254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06746" cy="2725396"/>
                                    </a:xfrm>
                                    <a:prstGeom prst="rect">
                                      <a:avLst/>
                                    </a:prstGeom>
                                  </pic:spPr>
                                </pic:pic>
                              </a:graphicData>
                            </a:graphic>
                          </wp:inline>
                        </w:drawing>
                      </w:r>
                    </w:p>
                    <w:p w14:paraId="553C8703" w14:textId="4149E072" w:rsidR="00734F90" w:rsidRDefault="003E285E">
                      <w:pPr>
                        <w:pStyle w:val="Figure"/>
                      </w:pPr>
                      <w:bookmarkStart w:id="3" w:name="_Ref118451236"/>
                      <w:r>
                        <w:t>Figure S</w:t>
                      </w:r>
                      <w:r w:rsidR="00BE5E59">
                        <w:fldChar w:fldCharType="begin"/>
                      </w:r>
                      <w:r w:rsidR="00BE5E59">
                        <w:instrText xml:space="preserve"> SEQ Figure \* ARABIC </w:instrText>
                      </w:r>
                      <w:r w:rsidR="00BE5E59">
                        <w:fldChar w:fldCharType="separate"/>
                      </w:r>
                      <w:r w:rsidR="00D90631">
                        <w:rPr>
                          <w:noProof/>
                        </w:rPr>
                        <w:t>2</w:t>
                      </w:r>
                      <w:r w:rsidR="00BE5E59">
                        <w:rPr>
                          <w:noProof/>
                        </w:rPr>
                        <w:fldChar w:fldCharType="end"/>
                      </w:r>
                      <w:bookmarkEnd w:id="3"/>
                      <w:r>
                        <w:t xml:space="preserve">: Quantum Dot </w:t>
                      </w:r>
                      <w:r w:rsidR="00BA7349">
                        <w:t>B</w:t>
                      </w:r>
                      <w:r w:rsidR="003F7AB8">
                        <w:t>andgap</w:t>
                      </w:r>
                      <w:r>
                        <w:t xml:space="preserve"> dependency on the </w:t>
                      </w:r>
                      <w:r w:rsidR="00BA7349">
                        <w:t>H</w:t>
                      </w:r>
                      <w:r w:rsidR="003F7AB8">
                        <w:t>os</w:t>
                      </w:r>
                      <w:r>
                        <w:t xml:space="preserve">t Bandgap, QD </w:t>
                      </w:r>
                      <w:r w:rsidR="003F7AB8">
                        <w:t>r</w:t>
                      </w:r>
                      <w:r>
                        <w:t xml:space="preserve">adius </w:t>
                      </w:r>
                      <w:r w:rsidR="008752F0">
                        <w:t>(from 3 to 8 nm for different</w:t>
                      </w:r>
                      <w:r>
                        <w:t xml:space="preserve"> colo</w:t>
                      </w:r>
                      <w:r w:rsidR="00ED4AFC">
                        <w:t>u</w:t>
                      </w:r>
                      <w:r>
                        <w:t>red lines</w:t>
                      </w:r>
                      <w:r w:rsidR="008752F0">
                        <w:t>, in steps of 1 nm)</w:t>
                      </w:r>
                      <w:r>
                        <w:t xml:space="preserve"> and Potential offset (</w:t>
                      </w:r>
                      <w:r w:rsidR="008752F0">
                        <w:t>0</w:t>
                      </w:r>
                      <w:r w:rsidR="001D5EF1">
                        <w:t>.5, 0.4, 0.3 and 0.2</w:t>
                      </w:r>
                      <w:r w:rsidR="008752F0">
                        <w:t>, as represented in Fig</w:t>
                      </w:r>
                      <w:r w:rsidR="00D917EF">
                        <w:t>ure</w:t>
                      </w:r>
                      <w:r w:rsidR="008752F0">
                        <w:t xml:space="preserve"> 1 c), </w:t>
                      </w:r>
                      <w:r w:rsidR="001D5EF1">
                        <w:t>from the solid, dashed, dot dashed and small dash lines, respectively</w:t>
                      </w:r>
                      <w:r>
                        <w:t>).</w:t>
                      </w:r>
                    </w:p>
                  </w:txbxContent>
                </v:textbox>
                <w10:wrap type="topAndBottom"/>
              </v:shape>
            </w:pict>
          </mc:Fallback>
        </mc:AlternateContent>
      </w:r>
      <w:r>
        <w:t xml:space="preserve">problem, as marked </w:t>
      </w:r>
      <w:r w:rsidR="003F7AB8">
        <w:t xml:space="preserve">in Figure </w:t>
      </w:r>
      <w:r w:rsidR="00ED4AFC">
        <w:t>2</w:t>
      </w:r>
      <w:r w:rsidR="003F7AB8">
        <w:t xml:space="preserve"> </w:t>
      </w:r>
      <w:r>
        <w:t xml:space="preserve">in the Main Manuscript. There is also an influence of the </w:t>
      </w:r>
      <w:r w:rsidR="003F7AB8">
        <w:t>p</w:t>
      </w:r>
      <w:r>
        <w:t>otential offset (difference between the potential height in the CB and VB</w:t>
      </w:r>
      <w:r w:rsidR="008752F0">
        <w:t>, as defined in Fig</w:t>
      </w:r>
      <w:r w:rsidR="00D917EF">
        <w:t>ure</w:t>
      </w:r>
      <w:r w:rsidR="008752F0">
        <w:t xml:space="preserve"> 1 c)</w:t>
      </w:r>
      <w:r>
        <w:t xml:space="preserve">) on the QD </w:t>
      </w:r>
      <w:r w:rsidR="003F7AB8">
        <w:t>bandgap</w:t>
      </w:r>
      <w:r>
        <w:t xml:space="preserve">. </w:t>
      </w:r>
      <w:r w:rsidR="0092492D">
        <w:t>Offset values bellow 0.5 (bandgaps alignment corresponding to V</w:t>
      </w:r>
      <w:r w:rsidR="0092492D" w:rsidRPr="00526404">
        <w:rPr>
          <w:vertAlign w:val="subscript"/>
        </w:rPr>
        <w:t>CB</w:t>
      </w:r>
      <w:r w:rsidR="0092492D">
        <w:t>=V</w:t>
      </w:r>
      <w:r w:rsidR="0092492D" w:rsidRPr="00526404">
        <w:rPr>
          <w:vertAlign w:val="subscript"/>
        </w:rPr>
        <w:t>VB</w:t>
      </w:r>
      <w:r w:rsidR="0092492D">
        <w:t>)</w:t>
      </w:r>
      <w:r>
        <w:t xml:space="preserve"> essentially shift the results down</w:t>
      </w:r>
      <w:r w:rsidR="00357D64">
        <w:t xml:space="preserve"> as </w:t>
      </w:r>
      <w:r w:rsidR="0092492D">
        <w:t xml:space="preserve">represented </w:t>
      </w:r>
      <w:r w:rsidR="00357D64">
        <w:t xml:space="preserve">in </w:t>
      </w:r>
      <w:r w:rsidR="00357D64">
        <w:fldChar w:fldCharType="begin"/>
      </w:r>
      <w:r w:rsidR="00357D64">
        <w:instrText xml:space="preserve"> REF _Ref118451236 \h </w:instrText>
      </w:r>
      <w:r w:rsidR="00357D64">
        <w:fldChar w:fldCharType="separate"/>
      </w:r>
      <w:r w:rsidR="00357D64">
        <w:t>Figure S</w:t>
      </w:r>
      <w:r w:rsidR="00357D64">
        <w:rPr>
          <w:noProof/>
        </w:rPr>
        <w:t>2</w:t>
      </w:r>
      <w:r w:rsidR="00357D64">
        <w:fldChar w:fldCharType="end"/>
      </w:r>
      <w:r w:rsidR="00357D64">
        <w:t>.</w:t>
      </w:r>
    </w:p>
    <w:p w14:paraId="57F5C455" w14:textId="70CEA4BA" w:rsidR="00734F90" w:rsidRDefault="003E285E">
      <w:pPr>
        <w:pStyle w:val="SMHeading"/>
        <w:tabs>
          <w:tab w:val="num" w:pos="720"/>
        </w:tabs>
      </w:pPr>
      <w:r>
        <w:t>Convergence Tests</w:t>
      </w:r>
    </w:p>
    <w:p w14:paraId="45359E97" w14:textId="05360573" w:rsidR="0034733A" w:rsidRDefault="0034733A" w:rsidP="0034733A">
      <w:pPr>
        <w:pStyle w:val="ArticleBody"/>
      </w:pPr>
      <w:r>
        <w:t xml:space="preserve">This section has 2 different parts. Firstly, the authors provide a heat map plot that describes the number of energy levels </w:t>
      </w:r>
      <w:r w:rsidR="006C7C0A">
        <w:t>present in</w:t>
      </w:r>
      <w:r>
        <w:t xml:space="preserve"> a</w:t>
      </w:r>
      <w:r w:rsidR="001D5EF1">
        <w:t xml:space="preserve"> single band of</w:t>
      </w:r>
      <w:r>
        <w:t xml:space="preserve"> </w:t>
      </w:r>
      <w:r w:rsidR="0092492D">
        <w:t xml:space="preserve">the </w:t>
      </w:r>
      <w:r>
        <w:t>QD system (</w:t>
      </w:r>
      <w:r>
        <w:fldChar w:fldCharType="begin"/>
      </w:r>
      <w:r>
        <w:instrText xml:space="preserve"> REF _Ref118391827 \h </w:instrText>
      </w:r>
      <w:r>
        <w:fldChar w:fldCharType="separate"/>
      </w:r>
      <w:r>
        <w:t>Figure S</w:t>
      </w:r>
      <w:r>
        <w:rPr>
          <w:noProof/>
        </w:rPr>
        <w:t>3</w:t>
      </w:r>
      <w:r>
        <w:fldChar w:fldCharType="end"/>
      </w:r>
      <w:r>
        <w:t>), depending on the size of the potential barrier and on the radius of the QD. This is important as it defines a good lower limit for the QD radius during the simulations</w:t>
      </w:r>
      <w:r w:rsidR="00B8278A">
        <w:t>, since a</w:t>
      </w:r>
      <w:r w:rsidR="00894AE3">
        <w:t>t least one</w:t>
      </w:r>
      <w:r w:rsidR="00B8278A">
        <w:t xml:space="preserve"> level is needed</w:t>
      </w:r>
      <w:r w:rsidR="00894AE3">
        <w:t xml:space="preserve"> in the QD CB</w:t>
      </w:r>
      <w:r w:rsidR="00B8278A">
        <w:t xml:space="preserve"> to calculate the </w:t>
      </w:r>
      <w:proofErr w:type="spellStart"/>
      <w:r w:rsidR="0092492D">
        <w:t>interband</w:t>
      </w:r>
      <w:proofErr w:type="spellEnd"/>
      <w:r w:rsidR="0092492D">
        <w:t xml:space="preserve"> </w:t>
      </w:r>
      <w:r w:rsidR="00B8278A">
        <w:t>transition properties.</w:t>
      </w:r>
      <w:r>
        <w:t xml:space="preserve"> From the plot </w:t>
      </w:r>
      <w:proofErr w:type="gramStart"/>
      <w:r>
        <w:t>it can be seen that 3</w:t>
      </w:r>
      <w:proofErr w:type="gramEnd"/>
      <w:r>
        <w:t xml:space="preserve"> nm </w:t>
      </w:r>
      <w:r w:rsidR="00894AE3">
        <w:t>is a minimum radius</w:t>
      </w:r>
      <w:r>
        <w:t xml:space="preserve"> that can be used independently of the potential barrier.</w:t>
      </w:r>
    </w:p>
    <w:p w14:paraId="783EEEAC" w14:textId="77777777" w:rsidR="0034733A" w:rsidRDefault="0034733A" w:rsidP="00284914">
      <w:pPr>
        <w:pStyle w:val="Figure"/>
        <w:jc w:val="center"/>
      </w:pPr>
      <w:r w:rsidRPr="00284914">
        <w:rPr>
          <w:noProof/>
        </w:rPr>
        <w:drawing>
          <wp:inline distT="0" distB="0" distL="0" distR="0" wp14:anchorId="0B95006A" wp14:editId="568890A8">
            <wp:extent cx="2684175" cy="2057400"/>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8722" cy="2099210"/>
                    </a:xfrm>
                    <a:prstGeom prst="rect">
                      <a:avLst/>
                    </a:prstGeom>
                    <a:noFill/>
                    <a:ln>
                      <a:noFill/>
                    </a:ln>
                  </pic:spPr>
                </pic:pic>
              </a:graphicData>
            </a:graphic>
          </wp:inline>
        </w:drawing>
      </w:r>
    </w:p>
    <w:p w14:paraId="6C61A13D" w14:textId="27C91E1F" w:rsidR="0034733A" w:rsidRPr="0034733A" w:rsidRDefault="0034733A" w:rsidP="001D5EF1">
      <w:pPr>
        <w:pStyle w:val="Caption"/>
        <w:jc w:val="both"/>
      </w:pPr>
      <w:bookmarkStart w:id="4" w:name="_Ref118391827"/>
      <w:r>
        <w:t>Figure S</w:t>
      </w:r>
      <w:r w:rsidR="00BE5E59">
        <w:fldChar w:fldCharType="begin"/>
      </w:r>
      <w:r w:rsidR="00BE5E59">
        <w:instrText xml:space="preserve"> SEQ Figure \* ARABI</w:instrText>
      </w:r>
      <w:r w:rsidR="00BE5E59">
        <w:instrText xml:space="preserve">C </w:instrText>
      </w:r>
      <w:r w:rsidR="00BE5E59">
        <w:fldChar w:fldCharType="separate"/>
      </w:r>
      <w:r w:rsidR="00D90631">
        <w:rPr>
          <w:noProof/>
        </w:rPr>
        <w:t>3</w:t>
      </w:r>
      <w:r w:rsidR="00BE5E59">
        <w:rPr>
          <w:noProof/>
        </w:rPr>
        <w:fldChar w:fldCharType="end"/>
      </w:r>
      <w:bookmarkEnd w:id="4"/>
      <w:r>
        <w:t>: Heat map plot that indicates the number of energy levels present in</w:t>
      </w:r>
      <w:r w:rsidR="0092492D">
        <w:t xml:space="preserve"> a single band of</w:t>
      </w:r>
      <w:r>
        <w:t xml:space="preserve"> the QD system, for changing QD radius and potential barrier</w:t>
      </w:r>
      <w:r w:rsidR="00196586">
        <w:t>.</w:t>
      </w:r>
      <w:r w:rsidR="0092492D">
        <w:t xml:space="preserve"> At least one level (marked by the white contour) is necessary </w:t>
      </w:r>
      <w:proofErr w:type="gramStart"/>
      <w:r w:rsidR="005A604D">
        <w:t>in order to</w:t>
      </w:r>
      <w:proofErr w:type="gramEnd"/>
      <w:r w:rsidR="005A604D">
        <w:t xml:space="preserve"> allow </w:t>
      </w:r>
      <w:r w:rsidR="0092492D">
        <w:t>calculat</w:t>
      </w:r>
      <w:r w:rsidR="005A604D">
        <w:t xml:space="preserve">ing </w:t>
      </w:r>
      <w:proofErr w:type="spellStart"/>
      <w:r w:rsidR="0092492D">
        <w:t>interband</w:t>
      </w:r>
      <w:proofErr w:type="spellEnd"/>
      <w:r w:rsidR="0092492D">
        <w:t xml:space="preserve"> transitions.</w:t>
      </w:r>
    </w:p>
    <w:p w14:paraId="22AC1F65" w14:textId="2C676AE3" w:rsidR="006F385D" w:rsidRPr="006F385D" w:rsidRDefault="000121FA" w:rsidP="006F385D">
      <w:pPr>
        <w:pStyle w:val="ArticleBody"/>
      </w:pPr>
      <w:r>
        <w:rPr>
          <w:noProof/>
        </w:rPr>
        <mc:AlternateContent>
          <mc:Choice Requires="wps">
            <w:drawing>
              <wp:inline distT="0" distB="0" distL="0" distR="0" wp14:anchorId="1F482F1C" wp14:editId="231DCAF9">
                <wp:extent cx="5256530" cy="7368363"/>
                <wp:effectExtent l="0" t="0" r="1270" b="4445"/>
                <wp:docPr id="10" name="Frame4"/>
                <wp:cNvGraphicFramePr/>
                <a:graphic xmlns:a="http://schemas.openxmlformats.org/drawingml/2006/main">
                  <a:graphicData uri="http://schemas.microsoft.com/office/word/2010/wordprocessingShape">
                    <wps:wsp>
                      <wps:cNvSpPr txBox="1"/>
                      <wps:spPr>
                        <a:xfrm>
                          <a:off x="0" y="0"/>
                          <a:ext cx="5256530" cy="7368363"/>
                        </a:xfrm>
                        <a:prstGeom prst="rect">
                          <a:avLst/>
                        </a:prstGeom>
                        <a:solidFill>
                          <a:srgbClr val="FFFFFF"/>
                        </a:solidFill>
                      </wps:spPr>
                      <wps:txbx>
                        <w:txbxContent>
                          <w:p w14:paraId="33C517BB" w14:textId="1F4FF073" w:rsidR="006F385D" w:rsidRPr="00E96AD4" w:rsidRDefault="003E285E" w:rsidP="006F385D">
                            <w:pPr>
                              <w:pStyle w:val="Figure"/>
                              <w:jc w:val="center"/>
                            </w:pPr>
                            <w:r w:rsidRPr="00E96AD4">
                              <w:rPr>
                                <w:noProof/>
                              </w:rPr>
                              <w:drawing>
                                <wp:inline distT="0" distB="0" distL="0" distR="0" wp14:anchorId="1493E5F8" wp14:editId="362E2DE6">
                                  <wp:extent cx="5190255" cy="6488468"/>
                                  <wp:effectExtent l="0" t="0" r="0" b="762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90255" cy="6488468"/>
                                          </a:xfrm>
                                          <a:prstGeom prst="rect">
                                            <a:avLst/>
                                          </a:prstGeom>
                                        </pic:spPr>
                                      </pic:pic>
                                    </a:graphicData>
                                  </a:graphic>
                                </wp:inline>
                              </w:drawing>
                            </w:r>
                          </w:p>
                          <w:p w14:paraId="0469A01A" w14:textId="07E7255E" w:rsidR="00734F90" w:rsidRPr="00E96AD4" w:rsidRDefault="003E285E" w:rsidP="005A3917">
                            <w:pPr>
                              <w:pStyle w:val="Figure"/>
                            </w:pPr>
                            <w:bookmarkStart w:id="5" w:name="_Ref118391964"/>
                            <w:r w:rsidRPr="00E96AD4">
                              <w:t>Figure S</w:t>
                            </w:r>
                            <w:r w:rsidR="00BE5E59">
                              <w:fldChar w:fldCharType="begin"/>
                            </w:r>
                            <w:r w:rsidR="00BE5E59">
                              <w:instrText xml:space="preserve"> SEQ Figure \* ARABIC </w:instrText>
                            </w:r>
                            <w:r w:rsidR="00BE5E59">
                              <w:fldChar w:fldCharType="separate"/>
                            </w:r>
                            <w:r w:rsidR="00D90631" w:rsidRPr="00E96AD4">
                              <w:rPr>
                                <w:noProof/>
                              </w:rPr>
                              <w:t>4</w:t>
                            </w:r>
                            <w:r w:rsidR="00BE5E59">
                              <w:rPr>
                                <w:noProof/>
                              </w:rPr>
                              <w:fldChar w:fldCharType="end"/>
                            </w:r>
                            <w:bookmarkEnd w:id="5"/>
                            <w:r w:rsidRPr="00E96AD4">
                              <w:t>: Convergence tests for the simulation size (SSize) dependency. a), b) dependency for changes in the electron and holes effective masses, respectively; c), d) changes on the longitudinal</w:t>
                            </w:r>
                            <w:r w:rsidR="00894AE3" w:rsidRPr="00E96AD4">
                              <w:t xml:space="preserve"> (P</w:t>
                            </w:r>
                            <w:r w:rsidR="00894AE3" w:rsidRPr="00E96AD4">
                              <w:rPr>
                                <w:vertAlign w:val="subscript"/>
                              </w:rPr>
                              <w:t>l</w:t>
                            </w:r>
                            <w:r w:rsidR="00894AE3" w:rsidRPr="00E96AD4">
                              <w:t>)</w:t>
                            </w:r>
                            <w:r w:rsidRPr="00E96AD4">
                              <w:t xml:space="preserve"> and transverse </w:t>
                            </w:r>
                            <w:r w:rsidR="00894AE3" w:rsidRPr="00E96AD4">
                              <w:t>(P</w:t>
                            </w:r>
                            <w:r w:rsidR="00894AE3" w:rsidRPr="00E96AD4">
                              <w:rPr>
                                <w:vertAlign w:val="subscript"/>
                              </w:rPr>
                              <w:t>t</w:t>
                            </w:r>
                            <w:r w:rsidR="00894AE3" w:rsidRPr="00E96AD4">
                              <w:t xml:space="preserve">) </w:t>
                            </w:r>
                            <w:r w:rsidRPr="00E96AD4">
                              <w:t>momentum matrix elements, respectively; e) dependency on the QD radius and f) dependency on the lattice size.</w:t>
                            </w:r>
                          </w:p>
                        </w:txbxContent>
                      </wps:txbx>
                      <wps:bodyPr lIns="0" tIns="0" rIns="0" bIns="0" anchor="t">
                        <a:noAutofit/>
                      </wps:bodyPr>
                    </wps:wsp>
                  </a:graphicData>
                </a:graphic>
              </wp:inline>
            </w:drawing>
          </mc:Choice>
          <mc:Fallback>
            <w:pict>
              <v:shape w14:anchorId="1F482F1C" id="Frame4" o:spid="_x0000_s1028" type="#_x0000_t202" style="width:413.9pt;height:5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" stroked="f">
                <v:textbox inset="0,0,0,0">
                  <w:txbxContent>
                    <w:p w14:paraId="33C517BB" w14:textId="1F4FF073" w:rsidR="006F385D" w:rsidRPr="00E96AD4" w:rsidRDefault="003E285E" w:rsidP="006F385D">
                      <w:pPr>
                        <w:pStyle w:val="Figure"/>
                        <w:jc w:val="center"/>
                      </w:pPr>
                      <w:r w:rsidRPr="00E96AD4">
                        <w:rPr>
                          <w:noProof/>
                        </w:rPr>
                        <w:drawing>
                          <wp:inline distT="0" distB="0" distL="0" distR="0" wp14:anchorId="1493E5F8" wp14:editId="362E2DE6">
                            <wp:extent cx="5190255" cy="6488468"/>
                            <wp:effectExtent l="0" t="0" r="0" b="762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90255" cy="6488468"/>
                                    </a:xfrm>
                                    <a:prstGeom prst="rect">
                                      <a:avLst/>
                                    </a:prstGeom>
                                  </pic:spPr>
                                </pic:pic>
                              </a:graphicData>
                            </a:graphic>
                          </wp:inline>
                        </w:drawing>
                      </w:r>
                    </w:p>
                    <w:p w14:paraId="0469A01A" w14:textId="07E7255E" w:rsidR="00734F90" w:rsidRPr="00E96AD4" w:rsidRDefault="003E285E" w:rsidP="005A3917">
                      <w:pPr>
                        <w:pStyle w:val="Figure"/>
                      </w:pPr>
                      <w:bookmarkStart w:id="6" w:name="_Ref118391964"/>
                      <w:r w:rsidRPr="00E96AD4">
                        <w:t>Figure S</w:t>
                      </w:r>
                      <w:r w:rsidR="00BE5E59">
                        <w:fldChar w:fldCharType="begin"/>
                      </w:r>
                      <w:r w:rsidR="00BE5E59">
                        <w:instrText xml:space="preserve"> SEQ Figure \* ARABIC </w:instrText>
                      </w:r>
                      <w:r w:rsidR="00BE5E59">
                        <w:fldChar w:fldCharType="separate"/>
                      </w:r>
                      <w:r w:rsidR="00D90631" w:rsidRPr="00E96AD4">
                        <w:rPr>
                          <w:noProof/>
                        </w:rPr>
                        <w:t>4</w:t>
                      </w:r>
                      <w:r w:rsidR="00BE5E59">
                        <w:rPr>
                          <w:noProof/>
                        </w:rPr>
                        <w:fldChar w:fldCharType="end"/>
                      </w:r>
                      <w:bookmarkEnd w:id="6"/>
                      <w:r w:rsidRPr="00E96AD4">
                        <w:t>: Convergence tests for the simulation size (SSize) dependency. a), b) dependency for changes in the electron and holes effective masses, respectively; c), d) changes on the longitudinal</w:t>
                      </w:r>
                      <w:r w:rsidR="00894AE3" w:rsidRPr="00E96AD4">
                        <w:t xml:space="preserve"> (P</w:t>
                      </w:r>
                      <w:r w:rsidR="00894AE3" w:rsidRPr="00E96AD4">
                        <w:rPr>
                          <w:vertAlign w:val="subscript"/>
                        </w:rPr>
                        <w:t>l</w:t>
                      </w:r>
                      <w:r w:rsidR="00894AE3" w:rsidRPr="00E96AD4">
                        <w:t>)</w:t>
                      </w:r>
                      <w:r w:rsidRPr="00E96AD4">
                        <w:t xml:space="preserve"> and transverse </w:t>
                      </w:r>
                      <w:r w:rsidR="00894AE3" w:rsidRPr="00E96AD4">
                        <w:t>(P</w:t>
                      </w:r>
                      <w:r w:rsidR="00894AE3" w:rsidRPr="00E96AD4">
                        <w:rPr>
                          <w:vertAlign w:val="subscript"/>
                        </w:rPr>
                        <w:t>t</w:t>
                      </w:r>
                      <w:r w:rsidR="00894AE3" w:rsidRPr="00E96AD4">
                        <w:t xml:space="preserve">) </w:t>
                      </w:r>
                      <w:r w:rsidRPr="00E96AD4">
                        <w:t>momentum matrix elements, respectively; e) dependency on the QD radius and f) dependency on the lattice size.</w:t>
                      </w:r>
                    </w:p>
                  </w:txbxContent>
                </v:textbox>
                <w10:anchorlock/>
              </v:shape>
            </w:pict>
          </mc:Fallback>
        </mc:AlternateContent>
      </w:r>
      <w:r w:rsidR="0034733A">
        <w:t>The second set of results show the dependency of the several parameters on the simulations size (</w:t>
      </w:r>
      <w:proofErr w:type="spellStart"/>
      <w:r w:rsidR="0034733A">
        <w:t>SSize</w:t>
      </w:r>
      <w:proofErr w:type="spellEnd"/>
      <w:r w:rsidR="0034733A">
        <w:t xml:space="preserve"> - </w:t>
      </w:r>
      <w:r w:rsidR="0034733A">
        <w:fldChar w:fldCharType="begin"/>
      </w:r>
      <w:r w:rsidR="0034733A">
        <w:instrText xml:space="preserve"> REF _Ref118391964 \h </w:instrText>
      </w:r>
      <w:r w:rsidR="0034733A">
        <w:fldChar w:fldCharType="separate"/>
      </w:r>
      <w:r w:rsidR="0034733A">
        <w:t>Figure S</w:t>
      </w:r>
      <w:r w:rsidR="0034733A">
        <w:rPr>
          <w:noProof/>
        </w:rPr>
        <w:t>4</w:t>
      </w:r>
      <w:r w:rsidR="0034733A">
        <w:fldChar w:fldCharType="end"/>
      </w:r>
      <w:r w:rsidR="0034733A">
        <w:t>) and lattice size (</w:t>
      </w:r>
      <w:proofErr w:type="spellStart"/>
      <w:r w:rsidR="0034733A">
        <w:t>LSize</w:t>
      </w:r>
      <w:proofErr w:type="spellEnd"/>
      <w:r w:rsidR="0034733A">
        <w:t xml:space="preserve"> - </w:t>
      </w:r>
      <w:r w:rsidR="0034733A">
        <w:fldChar w:fldCharType="begin"/>
      </w:r>
      <w:r w:rsidR="0034733A">
        <w:instrText xml:space="preserve"> REF _Ref118391973 \h </w:instrText>
      </w:r>
      <w:r w:rsidR="0034733A">
        <w:fldChar w:fldCharType="separate"/>
      </w:r>
      <w:r w:rsidR="0034733A">
        <w:t>Figure S</w:t>
      </w:r>
      <w:r w:rsidR="0034733A">
        <w:rPr>
          <w:noProof/>
        </w:rPr>
        <w:t>5</w:t>
      </w:r>
      <w:r w:rsidR="0034733A">
        <w:fldChar w:fldCharType="end"/>
      </w:r>
      <w:r w:rsidR="0034733A">
        <w:t xml:space="preserve">). The objective here is to determine the best simulation conditions that provide the best accuracy. The results do show that the simulation size, even though </w:t>
      </w:r>
      <w:r>
        <w:t xml:space="preserve">with some noise, does not have a significant impact on the results. Nevertheless, it is clear from the interaction with the lattice size, that lower values of the latter are preferred. From the lattice size results, it is also clear that lower values are preferred, as the results do show a general trend to increase with increased </w:t>
      </w:r>
      <w:proofErr w:type="spellStart"/>
      <w:r>
        <w:t>LSize</w:t>
      </w:r>
      <w:proofErr w:type="spellEnd"/>
      <w:r>
        <w:t xml:space="preserve">. </w:t>
      </w:r>
      <w:r w:rsidR="00D12114">
        <w:rPr>
          <w:noProof/>
        </w:rPr>
        <mc:AlternateContent>
          <mc:Choice Requires="wps">
            <w:drawing>
              <wp:anchor distT="0" distB="0" distL="0" distR="0" simplePos="0" relativeHeight="18" behindDoc="0" locked="0" layoutInCell="0" allowOverlap="1" wp14:anchorId="416CA4D8" wp14:editId="28D68D9D">
                <wp:simplePos x="0" y="0"/>
                <wp:positionH relativeFrom="column">
                  <wp:posOffset>75565</wp:posOffset>
                </wp:positionH>
                <wp:positionV relativeFrom="paragraph">
                  <wp:posOffset>99060</wp:posOffset>
                </wp:positionV>
                <wp:extent cx="5256530" cy="7582535"/>
                <wp:effectExtent l="0" t="0" r="1270" b="0"/>
                <wp:wrapSquare wrapText="largest"/>
                <wp:docPr id="7" name="Frame3"/>
                <wp:cNvGraphicFramePr/>
                <a:graphic xmlns:a="http://schemas.openxmlformats.org/drawingml/2006/main">
                  <a:graphicData uri="http://schemas.microsoft.com/office/word/2010/wordprocessingShape">
                    <wps:wsp>
                      <wps:cNvSpPr txBox="1"/>
                      <wps:spPr>
                        <a:xfrm>
                          <a:off x="0" y="0"/>
                          <a:ext cx="5256530" cy="7582535"/>
                        </a:xfrm>
                        <a:prstGeom prst="rect">
                          <a:avLst/>
                        </a:prstGeom>
                        <a:solidFill>
                          <a:srgbClr val="FFFFFF"/>
                        </a:solidFill>
                      </wps:spPr>
                      <wps:txbx>
                        <w:txbxContent>
                          <w:p w14:paraId="00558B8A" w14:textId="77777777" w:rsidR="006F385D" w:rsidRDefault="003E285E">
                            <w:pPr>
                              <w:pStyle w:val="Figure"/>
                            </w:pPr>
                            <w:r w:rsidRPr="006708D8">
                              <w:rPr>
                                <w:noProof/>
                              </w:rPr>
                              <w:drawing>
                                <wp:inline distT="0" distB="0" distL="0" distR="0" wp14:anchorId="2A75142F" wp14:editId="0B3FD265">
                                  <wp:extent cx="5438085" cy="6721432"/>
                                  <wp:effectExtent l="0" t="0" r="0" b="381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38085" cy="6721432"/>
                                          </a:xfrm>
                                          <a:prstGeom prst="rect">
                                            <a:avLst/>
                                          </a:prstGeom>
                                        </pic:spPr>
                                      </pic:pic>
                                    </a:graphicData>
                                  </a:graphic>
                                </wp:inline>
                              </w:drawing>
                            </w:r>
                          </w:p>
                          <w:p w14:paraId="41BF861E" w14:textId="5001B814" w:rsidR="00734F90" w:rsidRDefault="003E285E">
                            <w:pPr>
                              <w:pStyle w:val="Figure"/>
                            </w:pPr>
                            <w:bookmarkStart w:id="7" w:name="_Ref118391973"/>
                            <w:r>
                              <w:t>Figure S</w:t>
                            </w:r>
                            <w:r w:rsidR="00BE5E59">
                              <w:fldChar w:fldCharType="begin"/>
                            </w:r>
                            <w:r w:rsidR="00BE5E59">
                              <w:instrText xml:space="preserve"> SEQ Figure \* ARABIC </w:instrText>
                            </w:r>
                            <w:r w:rsidR="00BE5E59">
                              <w:fldChar w:fldCharType="separate"/>
                            </w:r>
                            <w:r w:rsidR="00D90631">
                              <w:rPr>
                                <w:noProof/>
                              </w:rPr>
                              <w:t>5</w:t>
                            </w:r>
                            <w:r w:rsidR="00BE5E59">
                              <w:rPr>
                                <w:noProof/>
                              </w:rPr>
                              <w:fldChar w:fldCharType="end"/>
                            </w:r>
                            <w:bookmarkEnd w:id="7"/>
                            <w:r>
                              <w:t>: Convergence tests for the lattice size (LSize) dependency. a), b) dependency for changes in the electron and holes effective masses, respectively; c), d) changes on the longitudinal and transverse momentum matrix elements, respectively; e) dependency on the QD radius and f) dependency on the simulation size.</w:t>
                            </w:r>
                          </w:p>
                        </w:txbxContent>
                      </wps:txbx>
                      <wps:bodyPr lIns="0" tIns="0" rIns="0" bIns="0" anchor="t">
                        <a:noAutofit/>
                      </wps:bodyPr>
                    </wps:wsp>
                  </a:graphicData>
                </a:graphic>
                <wp14:sizeRelV relativeFrom="margin">
                  <wp14:pctHeight>0</wp14:pctHeight>
                </wp14:sizeRelV>
              </wp:anchor>
            </w:drawing>
          </mc:Choice>
          <mc:Fallback>
            <w:pict>
              <v:shape w14:anchorId="416CA4D8" id="Frame3" o:spid="_x0000_s1029" type="#_x0000_t202" style="position:absolute;left:0;text-align:left;margin-left:5.95pt;margin-top:7.8pt;width:413.9pt;height:597.05pt;z-index:1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" o:allowincell="f" stroked="f">
                <v:textbox inset="0,0,0,0">
                  <w:txbxContent>
                    <w:p w14:paraId="00558B8A" w14:textId="77777777" w:rsidR="006F385D" w:rsidRDefault="003E285E">
                      <w:pPr>
                        <w:pStyle w:val="Figure"/>
                      </w:pPr>
                      <w:r w:rsidRPr="006708D8">
                        <w:rPr>
                          <w:noProof/>
                        </w:rPr>
                        <w:drawing>
                          <wp:inline distT="0" distB="0" distL="0" distR="0" wp14:anchorId="2A75142F" wp14:editId="0B3FD265">
                            <wp:extent cx="5438085" cy="6721432"/>
                            <wp:effectExtent l="0" t="0" r="0" b="381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38085" cy="6721432"/>
                                    </a:xfrm>
                                    <a:prstGeom prst="rect">
                                      <a:avLst/>
                                    </a:prstGeom>
                                  </pic:spPr>
                                </pic:pic>
                              </a:graphicData>
                            </a:graphic>
                          </wp:inline>
                        </w:drawing>
                      </w:r>
                    </w:p>
                    <w:p w14:paraId="41BF861E" w14:textId="5001B814" w:rsidR="00734F90" w:rsidRDefault="003E285E">
                      <w:pPr>
                        <w:pStyle w:val="Figure"/>
                      </w:pPr>
                      <w:bookmarkStart w:id="8" w:name="_Ref118391973"/>
                      <w:r>
                        <w:t>Figure S</w:t>
                      </w:r>
                      <w:r w:rsidR="00BE5E59">
                        <w:fldChar w:fldCharType="begin"/>
                      </w:r>
                      <w:r w:rsidR="00BE5E59">
                        <w:instrText xml:space="preserve"> SEQ Figure \* ARABIC </w:instrText>
                      </w:r>
                      <w:r w:rsidR="00BE5E59">
                        <w:fldChar w:fldCharType="separate"/>
                      </w:r>
                      <w:r w:rsidR="00D90631">
                        <w:rPr>
                          <w:noProof/>
                        </w:rPr>
                        <w:t>5</w:t>
                      </w:r>
                      <w:r w:rsidR="00BE5E59">
                        <w:rPr>
                          <w:noProof/>
                        </w:rPr>
                        <w:fldChar w:fldCharType="end"/>
                      </w:r>
                      <w:bookmarkEnd w:id="8"/>
                      <w:r>
                        <w:t>: Convergence tests for the lattice size (LSize) dependency. a), b) dependency for changes in the electron and holes effective masses, respectively; c), d) changes on the longitudinal and transverse momentum matrix elements, respectively; e) dependency on the QD radius and f) dependency on the simulation size.</w:t>
                      </w:r>
                    </w:p>
                  </w:txbxContent>
                </v:textbox>
                <w10:wrap type="square" side="largest"/>
              </v:shape>
            </w:pict>
          </mc:Fallback>
        </mc:AlternateContent>
      </w:r>
      <w:r>
        <w:t>Furthermore, the actual parameters also have little impact on the results, as for the most part, changing these parameters simply moves the curves upward</w:t>
      </w:r>
      <w:r w:rsidR="00DE5915">
        <w:t>s</w:t>
      </w:r>
      <w:r>
        <w:t xml:space="preserve"> or downward</w:t>
      </w:r>
      <w:r w:rsidR="00DE5915">
        <w:t>s</w:t>
      </w:r>
      <w:r>
        <w:t>, which is a consequence of the actual effect of the parameter rather than lower accuracy in the calculations.</w:t>
      </w:r>
    </w:p>
    <w:p w14:paraId="11EB0314" w14:textId="77777777" w:rsidR="00734F90" w:rsidRDefault="003E285E">
      <w:pPr>
        <w:pStyle w:val="SMHeading"/>
        <w:tabs>
          <w:tab w:val="num" w:pos="720"/>
        </w:tabs>
      </w:pPr>
      <w:r>
        <w:t>Averaging Transitions</w:t>
      </w:r>
    </w:p>
    <w:p w14:paraId="7FE1DA12" w14:textId="0427DC0A" w:rsidR="00734F90" w:rsidRDefault="00D12114">
      <w:pPr>
        <w:pStyle w:val="ArticleBody"/>
      </w:pPr>
      <w:r>
        <w:rPr>
          <w:noProof/>
        </w:rPr>
        <mc:AlternateContent>
          <mc:Choice Requires="wps">
            <w:drawing>
              <wp:anchor distT="0" distB="0" distL="0" distR="0" simplePos="0" relativeHeight="22" behindDoc="0" locked="0" layoutInCell="0" allowOverlap="1" wp14:anchorId="5D1CD02F" wp14:editId="0505F80D">
                <wp:simplePos x="0" y="0"/>
                <wp:positionH relativeFrom="margin">
                  <wp:align>center</wp:align>
                </wp:positionH>
                <wp:positionV relativeFrom="paragraph">
                  <wp:posOffset>1304925</wp:posOffset>
                </wp:positionV>
                <wp:extent cx="5256530" cy="2724150"/>
                <wp:effectExtent l="0" t="0" r="1270" b="0"/>
                <wp:wrapSquare wrapText="largest"/>
                <wp:docPr id="13" name="Frame5"/>
                <wp:cNvGraphicFramePr/>
                <a:graphic xmlns:a="http://schemas.openxmlformats.org/drawingml/2006/main">
                  <a:graphicData uri="http://schemas.microsoft.com/office/word/2010/wordprocessingShape">
                    <wps:wsp>
                      <wps:cNvSpPr txBox="1"/>
                      <wps:spPr>
                        <a:xfrm>
                          <a:off x="0" y="0"/>
                          <a:ext cx="5256530" cy="2724150"/>
                        </a:xfrm>
                        <a:prstGeom prst="rect">
                          <a:avLst/>
                        </a:prstGeom>
                        <a:solidFill>
                          <a:srgbClr val="FFFFFF"/>
                        </a:solidFill>
                      </wps:spPr>
                      <wps:txbx>
                        <w:txbxContent>
                          <w:p w14:paraId="61640A14" w14:textId="17CE40EC" w:rsidR="00D90631" w:rsidRDefault="000F5BCE">
                            <w:pPr>
                              <w:pStyle w:val="Figure"/>
                            </w:pPr>
                            <w:r>
                              <w:rPr>
                                <w:noProof/>
                              </w:rPr>
                              <w:drawing>
                                <wp:inline distT="0" distB="0" distL="0" distR="0" wp14:anchorId="5E9D59C0" wp14:editId="5589078B">
                                  <wp:extent cx="5256529" cy="2315347"/>
                                  <wp:effectExtent l="0" t="0" r="1905" b="8890"/>
                                  <wp:docPr id="1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6529" cy="2315347"/>
                                          </a:xfrm>
                                          <a:prstGeom prst="rect">
                                            <a:avLst/>
                                          </a:prstGeom>
                                        </pic:spPr>
                                      </pic:pic>
                                    </a:graphicData>
                                  </a:graphic>
                                </wp:inline>
                              </w:drawing>
                            </w:r>
                          </w:p>
                          <w:p w14:paraId="37F011C1" w14:textId="3B8E6922" w:rsidR="00734F90" w:rsidRDefault="003E285E">
                            <w:pPr>
                              <w:pStyle w:val="Figure"/>
                            </w:pPr>
                            <w:r>
                              <w:t>Figure S</w:t>
                            </w:r>
                            <w:r w:rsidR="00BE5E59">
                              <w:fldChar w:fldCharType="begin"/>
                            </w:r>
                            <w:r w:rsidR="00BE5E59">
                              <w:instrText xml:space="preserve"> SEQ Figure \* ARABIC </w:instrText>
                            </w:r>
                            <w:r w:rsidR="00BE5E59">
                              <w:fldChar w:fldCharType="separate"/>
                            </w:r>
                            <w:r w:rsidR="00D90631">
                              <w:rPr>
                                <w:noProof/>
                              </w:rPr>
                              <w:t>6</w:t>
                            </w:r>
                            <w:r w:rsidR="00BE5E59">
                              <w:rPr>
                                <w:noProof/>
                              </w:rPr>
                              <w:fldChar w:fldCharType="end"/>
                            </w:r>
                            <w:r>
                              <w:t>: Graphical representation of the 2-step averaging process of the transition rates.</w:t>
                            </w:r>
                          </w:p>
                        </w:txbxContent>
                      </wps:txbx>
                      <wps:bodyPr lIns="0" tIns="0" rIns="0" bIns="0" anchor="t">
                        <a:noAutofit/>
                      </wps:bodyPr>
                    </wps:wsp>
                  </a:graphicData>
                </a:graphic>
                <wp14:sizeRelV relativeFrom="margin">
                  <wp14:pctHeight>0</wp14:pctHeight>
                </wp14:sizeRelV>
              </wp:anchor>
            </w:drawing>
          </mc:Choice>
          <mc:Fallback>
            <w:pict>
              <v:shape w14:anchorId="5D1CD02F" id="Frame5" o:spid="_x0000_s1030" type="#_x0000_t202" style="position:absolute;left:0;text-align:left;margin-left:0;margin-top:102.75pt;width:413.9pt;height:214.5pt;z-index:22;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" o:allowincell="f" stroked="f">
                <v:textbox inset="0,0,0,0">
                  <w:txbxContent>
                    <w:p w14:paraId="61640A14" w14:textId="17CE40EC" w:rsidR="00D90631" w:rsidRDefault="000F5BCE">
                      <w:pPr>
                        <w:pStyle w:val="Figure"/>
                      </w:pPr>
                      <w:r>
                        <w:rPr>
                          <w:noProof/>
                        </w:rPr>
                        <w:drawing>
                          <wp:inline distT="0" distB="0" distL="0" distR="0" wp14:anchorId="5E9D59C0" wp14:editId="5589078B">
                            <wp:extent cx="5256529" cy="2315347"/>
                            <wp:effectExtent l="0" t="0" r="1905" b="8890"/>
                            <wp:docPr id="1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6529" cy="2315347"/>
                                    </a:xfrm>
                                    <a:prstGeom prst="rect">
                                      <a:avLst/>
                                    </a:prstGeom>
                                  </pic:spPr>
                                </pic:pic>
                              </a:graphicData>
                            </a:graphic>
                          </wp:inline>
                        </w:drawing>
                      </w:r>
                    </w:p>
                    <w:p w14:paraId="37F011C1" w14:textId="3B8E6922" w:rsidR="00734F90" w:rsidRDefault="003E285E">
                      <w:pPr>
                        <w:pStyle w:val="Figure"/>
                      </w:pPr>
                      <w:r>
                        <w:t>Figure S</w:t>
                      </w:r>
                      <w:r w:rsidR="00BE5E59">
                        <w:fldChar w:fldCharType="begin"/>
                      </w:r>
                      <w:r w:rsidR="00BE5E59">
                        <w:instrText xml:space="preserve"> SEQ Figure \* ARABIC </w:instrText>
                      </w:r>
                      <w:r w:rsidR="00BE5E59">
                        <w:fldChar w:fldCharType="separate"/>
                      </w:r>
                      <w:r w:rsidR="00D90631">
                        <w:rPr>
                          <w:noProof/>
                        </w:rPr>
                        <w:t>6</w:t>
                      </w:r>
                      <w:r w:rsidR="00BE5E59">
                        <w:rPr>
                          <w:noProof/>
                        </w:rPr>
                        <w:fldChar w:fldCharType="end"/>
                      </w:r>
                      <w:r>
                        <w:t>: Graphical representation of the 2-step averaging process of the transition rates.</w:t>
                      </w:r>
                    </w:p>
                  </w:txbxContent>
                </v:textbox>
                <w10:wrap type="square" side="largest" anchorx="margin"/>
              </v:shape>
            </w:pict>
          </mc:Fallback>
        </mc:AlternateContent>
      </w:r>
      <w:r w:rsidR="003E285E">
        <w:t xml:space="preserve">This section describes </w:t>
      </w:r>
      <w:r w:rsidR="005A3917">
        <w:t>graphically</w:t>
      </w:r>
      <w:r w:rsidR="003E285E">
        <w:t xml:space="preserve"> the 2-step process used to average the 12 elements (combination of light polarization/incidence elements and band-to-band transitions) obtained from the transition properties. </w:t>
      </w:r>
      <w:r>
        <w:t>The process starts with the</w:t>
      </w:r>
      <w:r w:rsidR="003E285E">
        <w:t xml:space="preserve"> 12 elements, represented by the dashed lines, </w:t>
      </w:r>
      <w:r>
        <w:t xml:space="preserve">that </w:t>
      </w:r>
      <w:r w:rsidR="003E285E">
        <w:t xml:space="preserve">are </w:t>
      </w:r>
      <w:r>
        <w:t xml:space="preserve">then </w:t>
      </w:r>
      <w:r w:rsidR="003E285E">
        <w:t>angularly averaged obtaining 4 different results (</w:t>
      </w:r>
      <w:r w:rsidR="00180D7E">
        <w:t>solid</w:t>
      </w:r>
      <w:r w:rsidR="003E285E">
        <w:t xml:space="preserve"> lines). These results are then averaged again to obtain a final value that describes the entire problem (black line).</w:t>
      </w:r>
    </w:p>
    <w:p w14:paraId="25E31C21" w14:textId="0FED6654" w:rsidR="000121FA" w:rsidRDefault="00F5077C" w:rsidP="00F5077C">
      <w:pPr>
        <w:pStyle w:val="SMHeading"/>
      </w:pPr>
      <w:r>
        <w:t>Optical properties</w:t>
      </w:r>
    </w:p>
    <w:p w14:paraId="217B5047" w14:textId="5BB52262" w:rsidR="00F5077C" w:rsidRDefault="00A717FC" w:rsidP="00F5077C">
      <w:pPr>
        <w:pStyle w:val="ArticleBody"/>
      </w:pPr>
      <w:r>
        <w:t xml:space="preserve">In this section, the authors provide the </w:t>
      </w:r>
      <w:r w:rsidR="006C7C0A">
        <w:t xml:space="preserve">bulk refractive index spectra, obtained from </w:t>
      </w:r>
      <w:r>
        <w:t>literature</w:t>
      </w:r>
      <w:r w:rsidR="006C7C0A">
        <w:t xml:space="preserve">, </w:t>
      </w:r>
      <w:r>
        <w:t xml:space="preserve"> </w:t>
      </w:r>
      <w:r w:rsidR="00F34C49">
        <w:t xml:space="preserve">for the </w:t>
      </w:r>
      <w:r w:rsidR="00180D7E">
        <w:t xml:space="preserve">wide-bandgap </w:t>
      </w:r>
      <w:r w:rsidR="00F34C49">
        <w:t>perovskite</w:t>
      </w:r>
      <w:r w:rsidR="00D12114">
        <w:t xml:space="preserve"> </w:t>
      </w:r>
      <w:r w:rsidR="00D12114">
        <w:fldChar w:fldCharType="begin"/>
      </w:r>
      <w:r w:rsidR="00D12114">
        <w:instrText xml:space="preserve"> ADDIN ZOTERO_ITEM CSL_CITATION {"citationID":"Kv6KFiUN","properties":{"formattedCitation":"[4]","plainCitation":"[4]","noteIndex":0},"citationItems":[{"id":567,"uris":["http://zotero.org/users/6410717/items/CCZYHFD8"],"itemData":{"id":567,"type":"article-journal","abstract":"Lead-based, inorganic−organic hybrid perovskites have shown much promise in photovoltaics, and the ability to tune their band gap makes them attractive for tandem solar cells, photodetectors, light-emitting diodes, and lasers. A crucial ﬁrst step toward understanding a material’s behavior in such optoelectronic devices is determining its complex refractive index, n + ik; however, optically smooth ﬁlms of hybrid perovskites are challenging to produce, and the optical properties of ﬁlms of these materials have been shown to depend on the size of their crystallites. To address these challenges, this work reports quantitative reﬂectance and transmittance measurements performed on individual microcrystals of CH3NH3PbBr3, with thicknesses ranging from 155 to 1907 nm. The single crystals are formed by spin-coating a ﬁlm of precursor solution and then stamping it with polydimethylsiloxane (PDMS) during crystallization. By measuring crystals of varying thickness, n and k values at each wavelength (405−1100 nm) have been determined, which agree with recently reported values extracted by ellipsometry on millimeter-sized single crystals. This approach can be applied to determine the optical constants of any material that presents challenges in producing smooth ﬁlms over large areas, such as mixed-halide hybrid and inorganic perovskites, and to micro- or nanoplatelets.","container-title":"The Journal of Physical Chemistry C","DOI":"10.1021/acs.jpcc.5b11075","ISSN":"1932-7447, 1932-7455","issue":"1","journalAbbreviation":"J. Phys. Chem. C","language":"en","page":"616-620","source":"DOI.org (Crossref)","title":"Measuring &lt;i&gt;n&lt;/i&gt; and &lt;i&gt;k&lt;/i&gt; at the Microscale in Single Crystals of CH &lt;sub&gt;3&lt;/sub&gt; NH &lt;sub&gt;3&lt;/sub&gt; PbBr &lt;sub&gt;3&lt;/sub&gt; Perovskite","volume":"120","author":[{"family":"Brittman","given":"Sarah"},{"family":"Garnett","given":"Erik C."}],"issued":{"date-parts":[["2016",1,14]]}}}],"schema":"https://github.com/citation-style-language/schema/raw/master/csl-citation.json"} </w:instrText>
      </w:r>
      <w:r w:rsidR="00D12114">
        <w:fldChar w:fldCharType="separate"/>
      </w:r>
      <w:r w:rsidR="00D12114" w:rsidRPr="00D12114">
        <w:t>[4]</w:t>
      </w:r>
      <w:r w:rsidR="00D12114">
        <w:fldChar w:fldCharType="end"/>
      </w:r>
      <w:r w:rsidR="00D12114">
        <w:t xml:space="preserve"> </w:t>
      </w:r>
      <w:r w:rsidR="00F34C49">
        <w:t xml:space="preserve">and </w:t>
      </w:r>
      <w:proofErr w:type="spellStart"/>
      <w:r w:rsidR="00F34C49">
        <w:t>PbS</w:t>
      </w:r>
      <w:proofErr w:type="spellEnd"/>
      <w:r w:rsidR="00D12114">
        <w:t xml:space="preserve"> </w:t>
      </w:r>
      <w:r w:rsidR="00D12114">
        <w:fldChar w:fldCharType="begin"/>
      </w:r>
      <w:r w:rsidR="00D12114">
        <w:instrText xml:space="preserve"> ADDIN ZOTERO_ITEM CSL_CITATION {"citationID":"wK5s7QSu","properties":{"formattedCitation":"[5]","plainCitation":"[5]","noteIndex":0},"citationItems":[{"id":561,"uris":["http://zotero.org/users/6410717/items/8X27FD29"],"itemData":{"id":561,"type":"article-journal","abstract":"The crystal structure of thin lead sulfide (PbS) films prepared by chemical deposition from aqueous solutions on a glass substrate is studied by X-ray diffraction analysis. It is established that the PbS films studied have a cubic (space group Fm3¯m) D03-type crystal structure different from the B1-type structure. Electron microscopic investigation of a film microstructure has shown that about half of all particles have a size of 60nm and less. In the wavelength range from 300 to 3200nm the optical transmission of PbS nanostructured cubic films with D03 structure and thickness from </w:instrText>
      </w:r>
      <w:r w:rsidR="00D12114">
        <w:rPr>
          <w:rFonts w:ascii="Cambria Math" w:hAnsi="Cambria Math" w:cs="Cambria Math"/>
        </w:rPr>
        <w:instrText>∼</w:instrText>
      </w:r>
      <w:r w:rsidR="00D12114">
        <w:instrText xml:space="preserve">120 to </w:instrText>
      </w:r>
      <w:r w:rsidR="00D12114">
        <w:rPr>
          <w:rFonts w:ascii="Cambria Math" w:hAnsi="Cambria Math" w:cs="Cambria Math"/>
        </w:rPr>
        <w:instrText>∼</w:instrText>
      </w:r>
      <w:r w:rsidR="00D12114">
        <w:instrText xml:space="preserve">400nm is measured. Decreasing of average size of nanoparticles in PbS films leads to increasing of energy band gap Eg from 0.85 to 1.5eV. These values of band gap are larger than that of coarse-grained PbS equal to 0.41eV. It testifies on blue shift of the absorption band in studied nanostructured lead sulfide films.","container-title":"Journal of Alloys and Compounds","DOI":"10.1016/j.jallcom.2013.03.290","ISSN":"0925-8388","journalAbbreviation":"Journal of Alloys and Compounds","language":"en","page":"65-75","source":"ScienceDirect","title":"Structure and properties of PbS films","volume":"573","author":[{"family":"Sadovnikov","given":"S. I."},{"family":"Gusev","given":"A. I."}],"issued":{"date-parts":[["2013",10,5]]}}}],"schema":"https://github.com/citation-style-language/schema/raw/master/csl-citation.json"} </w:instrText>
      </w:r>
      <w:r w:rsidR="00D12114">
        <w:fldChar w:fldCharType="separate"/>
      </w:r>
      <w:r w:rsidR="00D12114" w:rsidRPr="00D12114">
        <w:t>[5]</w:t>
      </w:r>
      <w:r w:rsidR="00D12114">
        <w:fldChar w:fldCharType="end"/>
      </w:r>
      <w:r w:rsidR="00D12114">
        <w:t xml:space="preserve"> </w:t>
      </w:r>
      <w:r w:rsidR="00F34C49">
        <w:t xml:space="preserve">materials </w:t>
      </w:r>
      <w:r w:rsidR="006C7C0A">
        <w:t xml:space="preserve">employed in </w:t>
      </w:r>
      <w:r w:rsidR="00F34C49">
        <w:t>the calculation of the effective medium</w:t>
      </w:r>
      <w:r w:rsidR="00180D7E">
        <w:t>,</w:t>
      </w:r>
      <w:r w:rsidR="006C7C0A">
        <w:t xml:space="preserve"> following the </w:t>
      </w:r>
      <w:proofErr w:type="spellStart"/>
      <w:r w:rsidR="006C7C0A">
        <w:t>Bruggerman</w:t>
      </w:r>
      <w:proofErr w:type="spellEnd"/>
      <w:r w:rsidR="006C7C0A">
        <w:t xml:space="preserve"> formalism presented in the Main Manuscript</w:t>
      </w:r>
      <w:r w:rsidR="00F34C49">
        <w:t>.</w:t>
      </w:r>
    </w:p>
    <w:p w14:paraId="29D0CEE8" w14:textId="77777777" w:rsidR="00A717FC" w:rsidRDefault="00A717FC" w:rsidP="00F5077C">
      <w:pPr>
        <w:pStyle w:val="ArticleBody"/>
      </w:pPr>
    </w:p>
    <w:p w14:paraId="554ED6B3" w14:textId="77777777" w:rsidR="00A717FC" w:rsidRDefault="00A717FC" w:rsidP="00A717FC">
      <w:pPr>
        <w:pStyle w:val="ArticleBody"/>
        <w:keepNext/>
      </w:pPr>
      <w:r>
        <w:rPr>
          <w:noProof/>
        </w:rPr>
        <w:drawing>
          <wp:inline distT="0" distB="0" distL="0" distR="0" wp14:anchorId="0E57CA05" wp14:editId="73040251">
            <wp:extent cx="5419835" cy="2318154"/>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19835" cy="2318154"/>
                    </a:xfrm>
                    <a:prstGeom prst="rect">
                      <a:avLst/>
                    </a:prstGeom>
                    <a:noFill/>
                    <a:ln>
                      <a:noFill/>
                    </a:ln>
                  </pic:spPr>
                </pic:pic>
              </a:graphicData>
            </a:graphic>
          </wp:inline>
        </w:drawing>
      </w:r>
    </w:p>
    <w:p w14:paraId="7998F101" w14:textId="40AA957F" w:rsidR="00F5077C" w:rsidRDefault="00A717FC" w:rsidP="00A717FC">
      <w:pPr>
        <w:pStyle w:val="Caption"/>
        <w:jc w:val="both"/>
      </w:pPr>
      <w:r>
        <w:t xml:space="preserve">Figure </w:t>
      </w:r>
      <w:r w:rsidR="008D5B20">
        <w:t>S</w:t>
      </w:r>
      <w:r w:rsidR="00BE5E59">
        <w:fldChar w:fldCharType="begin"/>
      </w:r>
      <w:r w:rsidR="00BE5E59">
        <w:instrText xml:space="preserve"> SEQ Figure \* ARABIC </w:instrText>
      </w:r>
      <w:r w:rsidR="00BE5E59">
        <w:fldChar w:fldCharType="separate"/>
      </w:r>
      <w:r w:rsidR="00D90631">
        <w:rPr>
          <w:noProof/>
        </w:rPr>
        <w:t>7</w:t>
      </w:r>
      <w:r w:rsidR="00BE5E59">
        <w:rPr>
          <w:noProof/>
        </w:rPr>
        <w:fldChar w:fldCharType="end"/>
      </w:r>
      <w:r>
        <w:t xml:space="preserve">: Optical properties </w:t>
      </w:r>
      <w:r w:rsidR="006C7C0A">
        <w:t>taken for the constituent bulk materials</w:t>
      </w:r>
      <w:r w:rsidR="00180D7E">
        <w:t xml:space="preserve"> of </w:t>
      </w:r>
      <w:r w:rsidR="0092492D">
        <w:t xml:space="preserve">the </w:t>
      </w:r>
      <w:r w:rsidR="00180D7E">
        <w:t>QD (</w:t>
      </w:r>
      <w:proofErr w:type="spellStart"/>
      <w:r w:rsidR="00180D7E">
        <w:t>PbS</w:t>
      </w:r>
      <w:proofErr w:type="spellEnd"/>
      <w:proofErr w:type="gramStart"/>
      <w:r w:rsidR="00180D7E">
        <w:t>)</w:t>
      </w:r>
      <w:proofErr w:type="gramEnd"/>
      <w:r w:rsidR="00180D7E">
        <w:t xml:space="preserve"> and Host (wide-bandgap perovskite, MAPbBr3)</w:t>
      </w:r>
      <w:r>
        <w:t xml:space="preserve"> used for the </w:t>
      </w:r>
      <w:proofErr w:type="spellStart"/>
      <w:r w:rsidR="006C7C0A">
        <w:t>Bruggerman</w:t>
      </w:r>
      <w:proofErr w:type="spellEnd"/>
      <w:r w:rsidR="006C7C0A">
        <w:t xml:space="preserve"> effective medium</w:t>
      </w:r>
      <w:r>
        <w:t xml:space="preserve"> calculations.</w:t>
      </w:r>
    </w:p>
    <w:p w14:paraId="7334B38F" w14:textId="716DCB7C" w:rsidR="00A717FC" w:rsidRDefault="00D90631" w:rsidP="00D90631">
      <w:pPr>
        <w:pStyle w:val="SMHeading"/>
      </w:pPr>
      <w:r>
        <w:t>Non-Dimensional Figure of Merit</w:t>
      </w:r>
    </w:p>
    <w:p w14:paraId="62D23270" w14:textId="4F7FC54A" w:rsidR="00D90631" w:rsidRDefault="00D90631" w:rsidP="00D90631">
      <w:pPr>
        <w:pStyle w:val="ArticleBody"/>
      </w:pPr>
      <w:r>
        <w:t>Here, the authors provide the results for the dimensionl</w:t>
      </w:r>
      <w:r w:rsidR="0092492D">
        <w:t>ess</w:t>
      </w:r>
      <w:r>
        <w:t xml:space="preserve"> </w:t>
      </w:r>
      <w:proofErr w:type="spellStart"/>
      <w:r>
        <w:t>FoM</w:t>
      </w:r>
      <w:proofErr w:type="spellEnd"/>
      <w:r>
        <w:t xml:space="preserve"> (</w:t>
      </w:r>
      <w:r>
        <w:fldChar w:fldCharType="begin"/>
      </w:r>
      <w:r>
        <w:instrText xml:space="preserve"> REF _Ref120096974 \h </w:instrText>
      </w:r>
      <w:r>
        <w:fldChar w:fldCharType="separate"/>
      </w:r>
      <w:r>
        <w:t>Figure S</w:t>
      </w:r>
      <w:r>
        <w:rPr>
          <w:noProof/>
        </w:rPr>
        <w:t>8</w:t>
      </w:r>
      <w:r>
        <w:fldChar w:fldCharType="end"/>
      </w:r>
      <w:r>
        <w:t>) as calculated from the following equation.</w:t>
      </w:r>
    </w:p>
    <w:tbl>
      <w:tblPr>
        <w:tblW w:w="5053" w:type="pct"/>
        <w:tblLayout w:type="fixed"/>
        <w:tblCellMar>
          <w:top w:w="55" w:type="dxa"/>
          <w:left w:w="55" w:type="dxa"/>
          <w:bottom w:w="55" w:type="dxa"/>
          <w:right w:w="55" w:type="dxa"/>
        </w:tblCellMar>
        <w:tblLook w:val="04A0" w:firstRow="1" w:lastRow="0" w:firstColumn="1" w:lastColumn="0" w:noHBand="0" w:noVBand="1"/>
      </w:tblPr>
      <w:tblGrid>
        <w:gridCol w:w="7638"/>
        <w:gridCol w:w="956"/>
      </w:tblGrid>
      <w:tr w:rsidR="00D90631" w14:paraId="6CB143BC" w14:textId="77777777" w:rsidTr="00742056">
        <w:trPr>
          <w:trHeight w:val="1081"/>
          <w:tblHeader/>
        </w:trPr>
        <w:tc>
          <w:tcPr>
            <w:tcW w:w="7638" w:type="dxa"/>
            <w:vAlign w:val="center"/>
          </w:tcPr>
          <w:p w14:paraId="2ABB9C8C" w14:textId="3E17B132" w:rsidR="00D90631" w:rsidRDefault="00D90631" w:rsidP="00742056">
            <w:pPr>
              <w:pStyle w:val="TableContents"/>
            </w:pPr>
            <m:oMathPara>
              <m:oMathParaPr>
                <m:jc m:val="center"/>
              </m:oMathParaPr>
              <m:oMath>
                <m:r>
                  <w:rPr>
                    <w:rFonts w:ascii="Cambria Math" w:hAnsi="Cambria Math"/>
                  </w:rPr>
                  <m:t>FoM=</m:t>
                </m:r>
                <m:f>
                  <m:fPr>
                    <m:ctrlPr>
                      <w:rPr>
                        <w:rFonts w:ascii="Cambria Math" w:hAnsi="Cambria Math"/>
                      </w:rPr>
                    </m:ctrlPr>
                  </m:fPr>
                  <m:num>
                    <m:nary>
                      <m:naryPr>
                        <m:subHide m:val="1"/>
                        <m:supHide m:val="1"/>
                        <m:ctrlPr>
                          <w:rPr>
                            <w:rFonts w:ascii="Cambria Math" w:hAnsi="Cambria Math"/>
                          </w:rPr>
                        </m:ctrlPr>
                      </m:naryPr>
                      <m:sub/>
                      <m:sup/>
                      <m:e>
                        <m:r>
                          <w:rPr>
                            <w:rFonts w:ascii="Cambria Math" w:hAnsi="Cambria Math"/>
                          </w:rPr>
                          <m:t>α/ρ</m:t>
                        </m:r>
                      </m:e>
                    </m:nary>
                    <m:r>
                      <w:rPr>
                        <w:rFonts w:ascii="Cambria Math" w:hAnsi="Cambria Math"/>
                      </w:rPr>
                      <m:t>dλ</m:t>
                    </m:r>
                  </m:num>
                  <m:den>
                    <m: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level</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ideal</m:t>
                                </m:r>
                              </m:sub>
                            </m:sSub>
                          </m:num>
                          <m:den>
                            <m:sSub>
                              <m:sSubPr>
                                <m:ctrlPr>
                                  <w:rPr>
                                    <w:rFonts w:ascii="Cambria Math" w:hAnsi="Cambria Math"/>
                                  </w:rPr>
                                </m:ctrlPr>
                              </m:sSubPr>
                              <m:e>
                                <m:r>
                                  <w:rPr>
                                    <w:rFonts w:ascii="Cambria Math" w:hAnsi="Cambria Math"/>
                                  </w:rPr>
                                  <m:t>E</m:t>
                                </m:r>
                              </m:e>
                              <m:sub>
                                <m:r>
                                  <w:rPr>
                                    <w:rFonts w:ascii="Cambria Math" w:hAnsi="Cambria Math"/>
                                  </w:rPr>
                                  <m:t>ideal</m:t>
                                </m:r>
                              </m:sub>
                            </m:sSub>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Trn</m:t>
                        </m:r>
                      </m:sub>
                    </m:sSub>
                    <m:r>
                      <w:rPr>
                        <w:rFonts w:ascii="Cambria Math" w:hAnsi="Cambria Math"/>
                      </w:rPr>
                      <m:t>×</m:t>
                    </m:r>
                    <m:sSubSup>
                      <m:sSubSupPr>
                        <m:ctrlPr>
                          <w:rPr>
                            <w:rFonts w:ascii="Cambria Math" w:hAnsi="Cambria Math"/>
                            <w:i/>
                          </w:rPr>
                        </m:ctrlPr>
                      </m:sSubSupPr>
                      <m:e>
                        <m:r>
                          <w:rPr>
                            <w:rFonts w:ascii="Cambria Math" w:hAnsi="Cambria Math"/>
                          </w:rPr>
                          <m:t>QD</m:t>
                        </m:r>
                      </m:e>
                      <m:sub>
                        <m:r>
                          <w:rPr>
                            <w:rFonts w:ascii="Cambria Math" w:hAnsi="Cambria Math"/>
                          </w:rPr>
                          <m:t>radius</m:t>
                        </m:r>
                      </m:sub>
                      <m:sup>
                        <m:r>
                          <w:rPr>
                            <w:rFonts w:ascii="Cambria Math" w:hAnsi="Cambria Math"/>
                          </w:rPr>
                          <m:t>3</m:t>
                        </m:r>
                      </m:sup>
                    </m:sSubSup>
                  </m:den>
                </m:f>
              </m:oMath>
            </m:oMathPara>
          </w:p>
        </w:tc>
        <w:tc>
          <w:tcPr>
            <w:tcW w:w="956" w:type="dxa"/>
            <w:vAlign w:val="center"/>
          </w:tcPr>
          <w:p w14:paraId="7A716EB6" w14:textId="133F2A7E" w:rsidR="00D90631" w:rsidRDefault="00D90631" w:rsidP="00742056">
            <w:pPr>
              <w:pStyle w:val="TableContents"/>
              <w:jc w:val="right"/>
            </w:pPr>
            <w:r>
              <w:t>(S13)</w:t>
            </w:r>
          </w:p>
        </w:tc>
      </w:tr>
    </w:tbl>
    <w:p w14:paraId="642F4E7D" w14:textId="3549C0BC" w:rsidR="00D90631" w:rsidRDefault="00D90631" w:rsidP="00D90631">
      <w:pPr>
        <w:pStyle w:val="ArticleBody"/>
      </w:pPr>
      <w:r>
        <w:t xml:space="preserve">The setup is the same as the that of the Main Manuscript Equation 1, but with the added </w:t>
      </w:r>
      <w:proofErr w:type="spellStart"/>
      <w:r>
        <w:t>QD</w:t>
      </w:r>
      <w:r w:rsidRPr="00D90631">
        <w:rPr>
          <w:vertAlign w:val="subscript"/>
        </w:rPr>
        <w:t>radius</w:t>
      </w:r>
      <w:proofErr w:type="spellEnd"/>
      <w:r>
        <w:t xml:space="preserve"> factor cubed that guarantees the non-dimensionality of the </w:t>
      </w:r>
      <w:proofErr w:type="spellStart"/>
      <w:r>
        <w:t>FoM</w:t>
      </w:r>
      <w:proofErr w:type="spellEnd"/>
      <w:r>
        <w:t>.</w:t>
      </w:r>
    </w:p>
    <w:p w14:paraId="4214A814" w14:textId="77777777" w:rsidR="00D90631" w:rsidRDefault="00D90631" w:rsidP="00D90631">
      <w:pPr>
        <w:pStyle w:val="Figure"/>
        <w:jc w:val="center"/>
      </w:pPr>
      <w:r>
        <w:rPr>
          <w:noProof/>
        </w:rPr>
        <w:drawing>
          <wp:inline distT="0" distB="0" distL="0" distR="0" wp14:anchorId="0113D0A4" wp14:editId="038CCE2B">
            <wp:extent cx="5398770" cy="2393315"/>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2393315"/>
                    </a:xfrm>
                    <a:prstGeom prst="rect">
                      <a:avLst/>
                    </a:prstGeom>
                    <a:noFill/>
                    <a:ln>
                      <a:noFill/>
                    </a:ln>
                  </pic:spPr>
                </pic:pic>
              </a:graphicData>
            </a:graphic>
          </wp:inline>
        </w:drawing>
      </w:r>
    </w:p>
    <w:p w14:paraId="6DD50301" w14:textId="60898019" w:rsidR="00D90631" w:rsidRDefault="00D90631" w:rsidP="00D90631">
      <w:pPr>
        <w:pStyle w:val="Figure"/>
      </w:pPr>
      <w:bookmarkStart w:id="9" w:name="_Ref120096969"/>
      <w:bookmarkStart w:id="10" w:name="_Ref120096974"/>
      <w:r w:rsidRPr="00D90631">
        <w:t>Figure S</w:t>
      </w:r>
      <w:r>
        <w:fldChar w:fldCharType="begin"/>
      </w:r>
      <w:r w:rsidRPr="00D90631">
        <w:instrText xml:space="preserve"> SEQ Figure \* ARABIC </w:instrText>
      </w:r>
      <w:r>
        <w:fldChar w:fldCharType="separate"/>
      </w:r>
      <w:r w:rsidRPr="00D90631">
        <w:rPr>
          <w:noProof/>
        </w:rPr>
        <w:t>8</w:t>
      </w:r>
      <w:r>
        <w:fldChar w:fldCharType="end"/>
      </w:r>
      <w:bookmarkEnd w:id="9"/>
      <w:bookmarkEnd w:id="10"/>
      <w:r w:rsidRPr="00D90631">
        <w:t xml:space="preserve">: Non-dimensional </w:t>
      </w:r>
      <w:proofErr w:type="spellStart"/>
      <w:r w:rsidRPr="00D90631">
        <w:t>FoM</w:t>
      </w:r>
      <w:proofErr w:type="spellEnd"/>
      <w:r w:rsidRPr="00D90631">
        <w:t xml:space="preserve"> calculated from</w:t>
      </w:r>
      <w:r>
        <w:t xml:space="preserve"> Equation S13, for a QD effective mass of a) 0.08m</w:t>
      </w:r>
      <w:r w:rsidRPr="00D90631">
        <w:rPr>
          <w:vertAlign w:val="subscript"/>
        </w:rPr>
        <w:t>0</w:t>
      </w:r>
      <w:r w:rsidRPr="00D90631">
        <w:t xml:space="preserve"> </w:t>
      </w:r>
      <w:r>
        <w:t>and b) 0.15m</w:t>
      </w:r>
      <w:r w:rsidRPr="00D90631">
        <w:rPr>
          <w:vertAlign w:val="subscript"/>
        </w:rPr>
        <w:t>0</w:t>
      </w:r>
      <w:r>
        <w:t>.</w:t>
      </w:r>
    </w:p>
    <w:p w14:paraId="04D350DD" w14:textId="665DAA45" w:rsidR="00D90631" w:rsidRPr="00D90631" w:rsidRDefault="00D90631" w:rsidP="00D90631">
      <w:pPr>
        <w:pStyle w:val="ArticleBody"/>
      </w:pPr>
      <w:r>
        <w:t xml:space="preserve">As stated in the Main Manuscript, the results are quite </w:t>
      </w:r>
      <w:proofErr w:type="gramStart"/>
      <w:r w:rsidR="0092492D">
        <w:t>similar to</w:t>
      </w:r>
      <w:proofErr w:type="gramEnd"/>
      <w:r>
        <w:t xml:space="preserve"> those of Figure 5, with the slight reduction in the overall peak intensity, </w:t>
      </w:r>
      <w:r w:rsidR="00F05A81">
        <w:t xml:space="preserve">due to the extra factor in the denominator. Regardless, </w:t>
      </w:r>
      <w:r w:rsidR="00847243">
        <w:t>the</w:t>
      </w:r>
      <w:r w:rsidR="00F05A81">
        <w:t xml:space="preserve"> added effect does not </w:t>
      </w:r>
      <w:r w:rsidR="0092492D">
        <w:t xml:space="preserve">significantly </w:t>
      </w:r>
      <w:r w:rsidR="00F05A81">
        <w:t>influence the results already provided in the Main Manuscript.</w:t>
      </w:r>
      <w:r>
        <w:t xml:space="preserve"> </w:t>
      </w:r>
    </w:p>
    <w:p w14:paraId="39C8E884" w14:textId="10E1FCAA" w:rsidR="00734F90" w:rsidRPr="00D90631" w:rsidRDefault="003E285E">
      <w:pPr>
        <w:pStyle w:val="SMHeadingNoNumber"/>
      </w:pPr>
      <w:r w:rsidRPr="00D90631">
        <w:t>References</w:t>
      </w:r>
    </w:p>
    <w:p w14:paraId="2E13266F" w14:textId="77777777" w:rsidR="00D12114" w:rsidRPr="00D12114" w:rsidRDefault="0050746B" w:rsidP="00D12114">
      <w:pPr>
        <w:pStyle w:val="Bibliography"/>
        <w:rPr>
          <w:sz w:val="20"/>
        </w:rPr>
      </w:pPr>
      <w:r w:rsidRPr="0050746B">
        <w:rPr>
          <w:sz w:val="20"/>
          <w:szCs w:val="20"/>
        </w:rPr>
        <w:fldChar w:fldCharType="begin"/>
      </w:r>
      <w:r w:rsidR="00D12114">
        <w:rPr>
          <w:sz w:val="20"/>
          <w:szCs w:val="20"/>
        </w:rPr>
        <w:instrText xml:space="preserve"> ADDIN ZOTERO_BIBL {"uncited":[],"omitted":[],"custom":[]} CSL_BIBLIOGRAPHY </w:instrText>
      </w:r>
      <w:r w:rsidRPr="0050746B">
        <w:rPr>
          <w:sz w:val="20"/>
          <w:szCs w:val="20"/>
        </w:rPr>
        <w:fldChar w:fldCharType="separate"/>
      </w:r>
      <w:r w:rsidR="00D12114" w:rsidRPr="00D12114">
        <w:rPr>
          <w:sz w:val="20"/>
        </w:rPr>
        <w:t>[1]</w:t>
      </w:r>
      <w:r w:rsidR="00D12114" w:rsidRPr="00D12114">
        <w:rPr>
          <w:sz w:val="20"/>
        </w:rPr>
        <w:tab/>
        <w:t>M. Alexandre, H. Águas, E. Fortunato, R. Martins, M.J. Mendes, Light management with quantum nanostructured dots-in-host semiconductors, Light Sci. Appl. 10 (2021) 231. https://doi.org/10.1038/s41377-021-00671-x.</w:t>
      </w:r>
    </w:p>
    <w:p w14:paraId="2FB64A17" w14:textId="77777777" w:rsidR="00D12114" w:rsidRPr="00D12114" w:rsidRDefault="00D12114" w:rsidP="00D12114">
      <w:pPr>
        <w:pStyle w:val="Bibliography"/>
        <w:rPr>
          <w:sz w:val="20"/>
        </w:rPr>
      </w:pPr>
      <w:r w:rsidRPr="00D12114">
        <w:rPr>
          <w:sz w:val="20"/>
        </w:rPr>
        <w:t>[2]</w:t>
      </w:r>
      <w:r w:rsidRPr="00D12114">
        <w:rPr>
          <w:sz w:val="20"/>
        </w:rPr>
        <w:tab/>
        <w:t>perspe, 4-band k.p-based Method to Solve QD@Host Problems, (2022). https://github.com/perspe/qd-host (accessed November 3, 2022).</w:t>
      </w:r>
    </w:p>
    <w:p w14:paraId="7F451F0E" w14:textId="77777777" w:rsidR="00D12114" w:rsidRPr="00D12114" w:rsidRDefault="00D12114" w:rsidP="00D12114">
      <w:pPr>
        <w:pStyle w:val="Bibliography"/>
        <w:rPr>
          <w:sz w:val="20"/>
        </w:rPr>
      </w:pPr>
      <w:r w:rsidRPr="00D12114">
        <w:rPr>
          <w:sz w:val="20"/>
        </w:rPr>
        <w:t>[3]</w:t>
      </w:r>
      <w:r w:rsidRPr="00D12114">
        <w:rPr>
          <w:sz w:val="20"/>
        </w:rPr>
        <w:tab/>
        <w:t>The deal.II Finite Element Library, (n.d.). https://dealii.org/ (accessed November 3, 2022).</w:t>
      </w:r>
    </w:p>
    <w:p w14:paraId="19C55FF6" w14:textId="77777777" w:rsidR="00D12114" w:rsidRPr="00D12114" w:rsidRDefault="00D12114" w:rsidP="00D12114">
      <w:pPr>
        <w:pStyle w:val="Bibliography"/>
        <w:rPr>
          <w:sz w:val="20"/>
        </w:rPr>
      </w:pPr>
      <w:r w:rsidRPr="00D12114">
        <w:rPr>
          <w:sz w:val="20"/>
        </w:rPr>
        <w:t>[4]</w:t>
      </w:r>
      <w:r w:rsidRPr="00D12114">
        <w:rPr>
          <w:sz w:val="20"/>
        </w:rPr>
        <w:tab/>
        <w:t xml:space="preserve">S. Brittman, E.C. Garnett, Measuring </w:t>
      </w:r>
      <w:r w:rsidRPr="00D12114">
        <w:rPr>
          <w:i/>
          <w:iCs/>
          <w:sz w:val="20"/>
        </w:rPr>
        <w:t>n</w:t>
      </w:r>
      <w:r w:rsidRPr="00D12114">
        <w:rPr>
          <w:sz w:val="20"/>
        </w:rPr>
        <w:t xml:space="preserve"> and </w:t>
      </w:r>
      <w:r w:rsidRPr="00D12114">
        <w:rPr>
          <w:i/>
          <w:iCs/>
          <w:sz w:val="20"/>
        </w:rPr>
        <w:t>k</w:t>
      </w:r>
      <w:r w:rsidRPr="00D12114">
        <w:rPr>
          <w:sz w:val="20"/>
        </w:rPr>
        <w:t xml:space="preserve"> at the Microscale in Single Crystals of CH </w:t>
      </w:r>
      <w:r w:rsidRPr="00D12114">
        <w:rPr>
          <w:sz w:val="20"/>
          <w:vertAlign w:val="subscript"/>
        </w:rPr>
        <w:t>3</w:t>
      </w:r>
      <w:r w:rsidRPr="00D12114">
        <w:rPr>
          <w:sz w:val="20"/>
        </w:rPr>
        <w:t xml:space="preserve"> NH </w:t>
      </w:r>
      <w:r w:rsidRPr="00D12114">
        <w:rPr>
          <w:sz w:val="20"/>
          <w:vertAlign w:val="subscript"/>
        </w:rPr>
        <w:t>3</w:t>
      </w:r>
      <w:r w:rsidRPr="00D12114">
        <w:rPr>
          <w:sz w:val="20"/>
        </w:rPr>
        <w:t xml:space="preserve"> PbBr </w:t>
      </w:r>
      <w:r w:rsidRPr="00D12114">
        <w:rPr>
          <w:sz w:val="20"/>
          <w:vertAlign w:val="subscript"/>
        </w:rPr>
        <w:t>3</w:t>
      </w:r>
      <w:r w:rsidRPr="00D12114">
        <w:rPr>
          <w:sz w:val="20"/>
        </w:rPr>
        <w:t xml:space="preserve"> Perovskite, J. Phys. Chem. C. 120 (2016) 616–620. https://doi.org/10.1021/acs.jpcc.5b11075.</w:t>
      </w:r>
    </w:p>
    <w:p w14:paraId="43FF2E38" w14:textId="77777777" w:rsidR="00D12114" w:rsidRPr="00D12114" w:rsidRDefault="00D12114" w:rsidP="00D12114">
      <w:pPr>
        <w:pStyle w:val="Bibliography"/>
        <w:rPr>
          <w:sz w:val="20"/>
        </w:rPr>
      </w:pPr>
      <w:r w:rsidRPr="00D12114">
        <w:rPr>
          <w:sz w:val="20"/>
        </w:rPr>
        <w:t>[5]</w:t>
      </w:r>
      <w:r w:rsidRPr="00D12114">
        <w:rPr>
          <w:sz w:val="20"/>
        </w:rPr>
        <w:tab/>
        <w:t>S.I. Sadovnikov, A.I. Gusev, Structure and properties of PbS films, J. Alloys Compd. 573 (2013) 65–75. https://doi.org/10.1016/j.jallcom.2013.03.290.</w:t>
      </w:r>
    </w:p>
    <w:p w14:paraId="48A6BEC7" w14:textId="31BB32FB" w:rsidR="0050746B" w:rsidRDefault="0050746B">
      <w:pPr>
        <w:pStyle w:val="SMHeadingNoNumber"/>
      </w:pPr>
      <w:r w:rsidRPr="0050746B">
        <w:rPr>
          <w:rFonts w:ascii="Garamond" w:hAnsi="Garamond"/>
          <w:sz w:val="20"/>
          <w:szCs w:val="20"/>
        </w:rPr>
        <w:fldChar w:fldCharType="end"/>
      </w:r>
    </w:p>
    <w:sectPr w:rsidR="0050746B">
      <w:footerReference w:type="default" r:id="rId16"/>
      <w:pgSz w:w="11906" w:h="16838"/>
      <w:pgMar w:top="1134" w:right="1701" w:bottom="1810" w:left="1701" w:header="0" w:footer="1134" w:gutter="0"/>
      <w:cols w:space="720"/>
      <w:formProt w:val="0"/>
      <w:titlePg/>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CE9F1" w14:textId="77777777" w:rsidR="00BE5E59" w:rsidRDefault="00BE5E59">
      <w:r>
        <w:separator/>
      </w:r>
    </w:p>
  </w:endnote>
  <w:endnote w:type="continuationSeparator" w:id="0">
    <w:p w14:paraId="6A642827" w14:textId="77777777" w:rsidR="00BE5E59" w:rsidRDefault="00BE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haris SIL">
    <w:altName w:val="Calibri"/>
    <w:charset w:val="01"/>
    <w:family w:val="auto"/>
    <w:pitch w:val="variable"/>
    <w:sig w:usb0="A00003FF" w:usb1="5200E1FF" w:usb2="0A000029"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Fira Sans">
    <w:altName w:val="Fira Sans"/>
    <w:charset w:val="00"/>
    <w:family w:val="swiss"/>
    <w:pitch w:val="variable"/>
    <w:sig w:usb0="600002FF" w:usb1="00000001" w:usb2="00000000" w:usb3="00000000" w:csb0="0000019F" w:csb1="00000000"/>
  </w:font>
  <w:font w:name="OpenSymbol">
    <w:altName w:val="Segoe UI Symbol"/>
    <w:charset w:val="00"/>
    <w:family w:val="auto"/>
    <w:pitch w:val="variable"/>
    <w:sig w:usb0="800000AF" w:usb1="1001ECEA" w:usb2="00000000" w:usb3="00000000" w:csb0="80000001"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1624" w14:textId="77777777" w:rsidR="00734F90" w:rsidRDefault="003E285E">
    <w:pPr>
      <w:pStyle w:val="Footer"/>
    </w:pPr>
    <w:r>
      <w:fldChar w:fldCharType="begin"/>
    </w:r>
    <w:r>
      <w:instrText xml:space="preserve"> PAGE </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1EC96" w14:textId="77777777" w:rsidR="00BE5E59" w:rsidRDefault="00BE5E59">
      <w:r>
        <w:separator/>
      </w:r>
    </w:p>
  </w:footnote>
  <w:footnote w:type="continuationSeparator" w:id="0">
    <w:p w14:paraId="343A915C" w14:textId="77777777" w:rsidR="00BE5E59" w:rsidRDefault="00BE5E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D305C8"/>
    <w:multiLevelType w:val="multilevel"/>
    <w:tmpl w:val="16CE226C"/>
    <w:lvl w:ilvl="0">
      <w:start w:val="1"/>
      <w:numFmt w:val="none"/>
      <w:pStyle w:val="Heading1"/>
      <w:suff w:val="nothing"/>
      <w:lvlText w:val="%1"/>
      <w:lvlJc w:val="left"/>
      <w:pPr>
        <w:tabs>
          <w:tab w:val="num" w:pos="0"/>
        </w:tabs>
        <w:ind w:left="0" w:firstLine="0"/>
      </w:pPr>
    </w:lvl>
    <w:lvl w:ilvl="1">
      <w:start w:val="1"/>
      <w:numFmt w:val="none"/>
      <w:pStyle w:val="Heading2"/>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717A3615"/>
    <w:multiLevelType w:val="multilevel"/>
    <w:tmpl w:val="E3BAE3F0"/>
    <w:lvl w:ilvl="0">
      <w:start w:val="1"/>
      <w:numFmt w:val="decimal"/>
      <w:pStyle w:val="SMHeading"/>
      <w:lvlText w:val=" S%1."/>
      <w:lvlJc w:val="left"/>
      <w:pPr>
        <w:tabs>
          <w:tab w:val="num" w:pos="720"/>
        </w:tabs>
        <w:ind w:left="720" w:hanging="360"/>
      </w:pPr>
      <w:rPr>
        <w:rFonts w:ascii="Charis SIL" w:hAnsi="Charis SIL"/>
      </w:rPr>
    </w:lvl>
    <w:lvl w:ilvl="1">
      <w:start w:val="1"/>
      <w:numFmt w:val="decimal"/>
      <w:lvlText w:val=" S%1.%2."/>
      <w:lvlJc w:val="left"/>
      <w:pPr>
        <w:tabs>
          <w:tab w:val="num" w:pos="680"/>
        </w:tabs>
        <w:ind w:left="1151" w:hanging="397"/>
      </w:pPr>
      <w:rPr>
        <w:rFonts w:ascii="Charis SIL" w:hAnsi="Charis SIL"/>
      </w:rPr>
    </w:lvl>
    <w:lvl w:ilvl="2">
      <w:start w:val="1"/>
      <w:numFmt w:val="lowerLetter"/>
      <w:lvlText w:val=" %3)"/>
      <w:lvlJc w:val="left"/>
      <w:pPr>
        <w:tabs>
          <w:tab w:val="num" w:pos="1191"/>
        </w:tabs>
        <w:ind w:left="1548" w:hanging="397"/>
      </w:pPr>
      <w:rPr>
        <w:rFonts w:ascii="Charis SIL" w:hAnsi="Charis SIL"/>
      </w:rPr>
    </w:lvl>
    <w:lvl w:ilvl="3">
      <w:start w:val="1"/>
      <w:numFmt w:val="bullet"/>
      <w:lvlText w:val=""/>
      <w:lvlJc w:val="left"/>
      <w:pPr>
        <w:tabs>
          <w:tab w:val="num" w:pos="1588"/>
        </w:tabs>
        <w:ind w:left="1945" w:hanging="397"/>
      </w:pPr>
      <w:rPr>
        <w:rFonts w:ascii="Symbol" w:hAnsi="Symbol" w:cs="Symbol" w:hint="default"/>
      </w:rPr>
    </w:lvl>
    <w:lvl w:ilvl="4">
      <w:start w:val="1"/>
      <w:numFmt w:val="bullet"/>
      <w:lvlText w:val=""/>
      <w:lvlJc w:val="left"/>
      <w:pPr>
        <w:tabs>
          <w:tab w:val="num" w:pos="1985"/>
        </w:tabs>
        <w:ind w:left="2342" w:hanging="397"/>
      </w:pPr>
      <w:rPr>
        <w:rFonts w:ascii="Symbol" w:hAnsi="Symbol" w:cs="Symbol" w:hint="default"/>
      </w:rPr>
    </w:lvl>
    <w:lvl w:ilvl="5">
      <w:start w:val="1"/>
      <w:numFmt w:val="bullet"/>
      <w:lvlText w:val=""/>
      <w:lvlJc w:val="left"/>
      <w:pPr>
        <w:tabs>
          <w:tab w:val="num" w:pos="2381"/>
        </w:tabs>
        <w:ind w:left="2738" w:hanging="397"/>
      </w:pPr>
      <w:rPr>
        <w:rFonts w:ascii="Symbol" w:hAnsi="Symbol" w:cs="Symbol" w:hint="default"/>
      </w:rPr>
    </w:lvl>
    <w:lvl w:ilvl="6">
      <w:start w:val="1"/>
      <w:numFmt w:val="bullet"/>
      <w:lvlText w:val=""/>
      <w:lvlJc w:val="left"/>
      <w:pPr>
        <w:tabs>
          <w:tab w:val="num" w:pos="2778"/>
        </w:tabs>
        <w:ind w:left="3135" w:hanging="397"/>
      </w:pPr>
      <w:rPr>
        <w:rFonts w:ascii="Symbol" w:hAnsi="Symbol" w:cs="Symbol" w:hint="default"/>
      </w:rPr>
    </w:lvl>
    <w:lvl w:ilvl="7">
      <w:start w:val="1"/>
      <w:numFmt w:val="bullet"/>
      <w:lvlText w:val=""/>
      <w:lvlJc w:val="left"/>
      <w:pPr>
        <w:tabs>
          <w:tab w:val="num" w:pos="3175"/>
        </w:tabs>
        <w:ind w:left="3532" w:hanging="397"/>
      </w:pPr>
      <w:rPr>
        <w:rFonts w:ascii="Symbol" w:hAnsi="Symbol" w:cs="Symbol" w:hint="default"/>
      </w:rPr>
    </w:lvl>
    <w:lvl w:ilvl="8">
      <w:start w:val="1"/>
      <w:numFmt w:val="bullet"/>
      <w:lvlText w:val=""/>
      <w:lvlJc w:val="left"/>
      <w:pPr>
        <w:tabs>
          <w:tab w:val="num" w:pos="3572"/>
        </w:tabs>
        <w:ind w:left="3929" w:hanging="397"/>
      </w:pPr>
      <w:rPr>
        <w:rFonts w:ascii="Symbol" w:hAnsi="Symbol" w:cs="Symbol" w:hint="default"/>
      </w:rPr>
    </w:lvl>
  </w:abstractNum>
  <w:abstractNum w:abstractNumId="2" w15:restartNumberingAfterBreak="0">
    <w:nsid w:val="7EFE2426"/>
    <w:multiLevelType w:val="hybridMultilevel"/>
    <w:tmpl w:val="897CB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9"/>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F90"/>
    <w:rsid w:val="000121FA"/>
    <w:rsid w:val="00031BEA"/>
    <w:rsid w:val="000B2DF2"/>
    <w:rsid w:val="000F5BCE"/>
    <w:rsid w:val="000F7A84"/>
    <w:rsid w:val="00102228"/>
    <w:rsid w:val="0013506A"/>
    <w:rsid w:val="00171D4E"/>
    <w:rsid w:val="00180D7E"/>
    <w:rsid w:val="00196586"/>
    <w:rsid w:val="001D5EF1"/>
    <w:rsid w:val="001E1E3C"/>
    <w:rsid w:val="0022435B"/>
    <w:rsid w:val="00284914"/>
    <w:rsid w:val="002B2177"/>
    <w:rsid w:val="002F78D1"/>
    <w:rsid w:val="0034733A"/>
    <w:rsid w:val="00357D64"/>
    <w:rsid w:val="003676E5"/>
    <w:rsid w:val="003847BC"/>
    <w:rsid w:val="003A41F7"/>
    <w:rsid w:val="003B17B4"/>
    <w:rsid w:val="003B6375"/>
    <w:rsid w:val="003E285E"/>
    <w:rsid w:val="003F7AB8"/>
    <w:rsid w:val="00401242"/>
    <w:rsid w:val="00402F7B"/>
    <w:rsid w:val="00404BEC"/>
    <w:rsid w:val="0042653A"/>
    <w:rsid w:val="00453BEF"/>
    <w:rsid w:val="00470AC2"/>
    <w:rsid w:val="004F2C65"/>
    <w:rsid w:val="0050746B"/>
    <w:rsid w:val="005A3917"/>
    <w:rsid w:val="005A604D"/>
    <w:rsid w:val="005F5296"/>
    <w:rsid w:val="00654808"/>
    <w:rsid w:val="006639B9"/>
    <w:rsid w:val="006708D8"/>
    <w:rsid w:val="006C7C0A"/>
    <w:rsid w:val="006F385D"/>
    <w:rsid w:val="00734F90"/>
    <w:rsid w:val="007A0FE3"/>
    <w:rsid w:val="007B5EDD"/>
    <w:rsid w:val="007C47CB"/>
    <w:rsid w:val="007E68FC"/>
    <w:rsid w:val="00803E9B"/>
    <w:rsid w:val="00813026"/>
    <w:rsid w:val="00846D93"/>
    <w:rsid w:val="00847243"/>
    <w:rsid w:val="008752F0"/>
    <w:rsid w:val="00894AE3"/>
    <w:rsid w:val="008C0F06"/>
    <w:rsid w:val="008D5B20"/>
    <w:rsid w:val="008E418F"/>
    <w:rsid w:val="0092492D"/>
    <w:rsid w:val="00957C06"/>
    <w:rsid w:val="0097303A"/>
    <w:rsid w:val="009B61CB"/>
    <w:rsid w:val="009F023E"/>
    <w:rsid w:val="00A041CC"/>
    <w:rsid w:val="00A25786"/>
    <w:rsid w:val="00A37B4B"/>
    <w:rsid w:val="00A717FC"/>
    <w:rsid w:val="00A774A4"/>
    <w:rsid w:val="00A9274D"/>
    <w:rsid w:val="00AF49BA"/>
    <w:rsid w:val="00B11754"/>
    <w:rsid w:val="00B8278A"/>
    <w:rsid w:val="00BA7349"/>
    <w:rsid w:val="00BE5E59"/>
    <w:rsid w:val="00CA2F4A"/>
    <w:rsid w:val="00CB0EDD"/>
    <w:rsid w:val="00D01F8F"/>
    <w:rsid w:val="00D12114"/>
    <w:rsid w:val="00D90631"/>
    <w:rsid w:val="00D917EF"/>
    <w:rsid w:val="00D95534"/>
    <w:rsid w:val="00DD46AB"/>
    <w:rsid w:val="00DE5915"/>
    <w:rsid w:val="00DE7AD9"/>
    <w:rsid w:val="00DF03B0"/>
    <w:rsid w:val="00E33D2F"/>
    <w:rsid w:val="00E96AD4"/>
    <w:rsid w:val="00EA0B99"/>
    <w:rsid w:val="00EB636E"/>
    <w:rsid w:val="00ED4AFC"/>
    <w:rsid w:val="00F05A81"/>
    <w:rsid w:val="00F34C49"/>
    <w:rsid w:val="00F5077C"/>
    <w:rsid w:val="00F71566"/>
    <w:rsid w:val="00F75E0A"/>
    <w:rsid w:val="00FC3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0C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Calibri" w:hAnsi="Verdana" w:cs="Lohit Devanagari"/>
        <w:kern w:val="2"/>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haris SIL" w:hAnsi="Charis SIL"/>
    </w:rPr>
  </w:style>
  <w:style w:type="paragraph" w:styleId="Heading1">
    <w:name w:val="heading 1"/>
    <w:basedOn w:val="Heading"/>
    <w:next w:val="BodyText"/>
    <w:uiPriority w:val="9"/>
    <w:qFormat/>
    <w:pPr>
      <w:numPr>
        <w:numId w:val="1"/>
      </w:numPr>
      <w:outlineLvl w:val="0"/>
    </w:pPr>
    <w:rPr>
      <w:rFonts w:ascii="Charis SIL" w:hAnsi="Charis SIL"/>
      <w:b/>
      <w:bCs/>
      <w:sz w:val="36"/>
      <w:szCs w:val="36"/>
    </w:rPr>
  </w:style>
  <w:style w:type="paragraph" w:styleId="Heading2">
    <w:name w:val="heading 2"/>
    <w:basedOn w:val="Heading"/>
    <w:next w:val="BodyText"/>
    <w:uiPriority w:val="9"/>
    <w:semiHidden/>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Placeholder">
    <w:name w:val="Placeholder"/>
    <w:qFormat/>
    <w:rPr>
      <w:smallCaps/>
      <w:color w:val="008080"/>
      <w:u w:val="dotted"/>
    </w:rPr>
  </w:style>
  <w:style w:type="character" w:customStyle="1" w:styleId="NumberingSymbols">
    <w:name w:val="Numbering Symbols"/>
    <w:qFormat/>
    <w:rPr>
      <w:rFonts w:ascii="Charis SIL" w:hAnsi="Charis SIL"/>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Fira Sans" w:eastAsia="Microsoft YaHei" w:hAnsi="Fira Sans"/>
      <w:sz w:val="28"/>
      <w:szCs w:val="28"/>
    </w:rPr>
  </w:style>
  <w:style w:type="paragraph" w:styleId="BodyText">
    <w:name w:val="Body Text"/>
    <w:basedOn w:val="Normal"/>
    <w:pPr>
      <w:spacing w:after="113" w:line="276" w:lineRule="auto"/>
      <w:contextualSpacing/>
      <w:jc w:val="center"/>
    </w:pPr>
  </w:style>
  <w:style w:type="paragraph" w:styleId="List">
    <w:name w:val="List"/>
    <w:basedOn w:val="BodyText"/>
  </w:style>
  <w:style w:type="paragraph" w:styleId="Caption">
    <w:name w:val="caption"/>
    <w:basedOn w:val="Normal"/>
    <w:qFormat/>
    <w:rsid w:val="0034733A"/>
    <w:pPr>
      <w:suppressLineNumbers/>
      <w:spacing w:before="120" w:after="120"/>
    </w:pPr>
    <w:rPr>
      <w:rFonts w:ascii="Garamond" w:hAnsi="Garamond"/>
      <w:sz w:val="22"/>
    </w:rPr>
  </w:style>
  <w:style w:type="paragraph" w:customStyle="1" w:styleId="Index">
    <w:name w:val="Index"/>
    <w:basedOn w:val="Normal"/>
    <w:qFormat/>
    <w:pPr>
      <w:suppressLineNumbers/>
    </w:pPr>
    <w:rPr>
      <w:rFonts w:ascii="Verdana" w:hAnsi="Verdana"/>
    </w:rPr>
  </w:style>
  <w:style w:type="paragraph" w:styleId="Title">
    <w:name w:val="Title"/>
    <w:basedOn w:val="Heading"/>
    <w:next w:val="BodyText"/>
    <w:uiPriority w:val="10"/>
    <w:qFormat/>
    <w:pPr>
      <w:jc w:val="center"/>
      <w:outlineLvl w:val="0"/>
    </w:pPr>
    <w:rPr>
      <w:b/>
      <w:bCs/>
      <w:sz w:val="56"/>
      <w:szCs w:val="56"/>
    </w:rPr>
  </w:style>
  <w:style w:type="paragraph" w:styleId="BodyTextFirstIndent">
    <w:name w:val="Body Text First Indent"/>
    <w:basedOn w:val="BodyText"/>
    <w:pPr>
      <w:ind w:firstLine="283"/>
    </w:pPr>
  </w:style>
  <w:style w:type="paragraph" w:customStyle="1" w:styleId="ArticleAuthors">
    <w:name w:val="Article_Authors"/>
    <w:basedOn w:val="BodyText"/>
    <w:qFormat/>
    <w:rsid w:val="00A041CC"/>
    <w:pPr>
      <w:spacing w:after="142"/>
    </w:pPr>
    <w:rPr>
      <w:rFonts w:ascii="Garamond" w:hAnsi="Garamond"/>
    </w:rPr>
  </w:style>
  <w:style w:type="paragraph" w:customStyle="1" w:styleId="ArticleTitle">
    <w:name w:val="Article_Title"/>
    <w:basedOn w:val="Title"/>
    <w:qFormat/>
    <w:rsid w:val="00A041CC"/>
    <w:pPr>
      <w:spacing w:before="125" w:after="232"/>
    </w:pPr>
    <w:rPr>
      <w:rFonts w:ascii="Garamond" w:hAnsi="Garamond"/>
      <w:sz w:val="40"/>
    </w:rPr>
  </w:style>
  <w:style w:type="paragraph" w:customStyle="1" w:styleId="ArticleAffiliation">
    <w:name w:val="Article_Affiliation"/>
    <w:basedOn w:val="BodyText"/>
    <w:qFormat/>
    <w:rsid w:val="00A041CC"/>
    <w:pPr>
      <w:spacing w:before="113" w:after="0"/>
      <w:contextualSpacing w:val="0"/>
    </w:pPr>
    <w:rPr>
      <w:rFonts w:ascii="Garamond" w:hAnsi="Garamond"/>
      <w:sz w:val="22"/>
    </w:rPr>
  </w:style>
  <w:style w:type="paragraph" w:customStyle="1" w:styleId="HorizontalLine">
    <w:name w:val="Horizontal Line"/>
    <w:basedOn w:val="Normal"/>
    <w:next w:val="BodyText"/>
    <w:qFormat/>
    <w:pPr>
      <w:suppressLineNumbers/>
      <w:pBdr>
        <w:bottom w:val="single" w:sz="2" w:space="0" w:color="000000"/>
      </w:pBdr>
      <w:spacing w:after="283"/>
    </w:pPr>
    <w:rPr>
      <w:sz w:val="12"/>
      <w:szCs w:val="12"/>
    </w:rPr>
  </w:style>
  <w:style w:type="paragraph" w:customStyle="1" w:styleId="ArticleBody">
    <w:name w:val="Article_Body"/>
    <w:basedOn w:val="BodyText"/>
    <w:qFormat/>
    <w:rsid w:val="00A041CC"/>
    <w:pPr>
      <w:spacing w:after="0" w:line="288" w:lineRule="auto"/>
      <w:jc w:val="both"/>
    </w:pPr>
    <w:rPr>
      <w:rFonts w:ascii="Garamond" w:hAnsi="Garamond"/>
    </w:rPr>
  </w:style>
  <w:style w:type="paragraph" w:customStyle="1" w:styleId="ArticleKeywords">
    <w:name w:val="Article_Keywords"/>
    <w:basedOn w:val="BodyText"/>
    <w:qFormat/>
    <w:rsid w:val="00A041CC"/>
    <w:pPr>
      <w:spacing w:before="170" w:after="0"/>
      <w:jc w:val="left"/>
    </w:pPr>
    <w:rPr>
      <w:rFonts w:ascii="Garamond" w:hAnsi="Garamond"/>
      <w:b/>
      <w:bCs/>
    </w:rPr>
  </w:style>
  <w:style w:type="paragraph" w:customStyle="1" w:styleId="SMHeading">
    <w:name w:val="SM_Heading"/>
    <w:basedOn w:val="Heading1"/>
    <w:next w:val="ArticleBody"/>
    <w:qFormat/>
    <w:rsid w:val="00A041CC"/>
    <w:pPr>
      <w:numPr>
        <w:numId w:val="2"/>
      </w:numPr>
      <w:tabs>
        <w:tab w:val="clear" w:pos="720"/>
      </w:tabs>
      <w:spacing w:before="170" w:after="170"/>
      <w:ind w:left="0" w:firstLine="0"/>
    </w:pPr>
    <w:rPr>
      <w:rFonts w:ascii="Garamond" w:hAnsi="Garamond"/>
      <w:sz w:val="26"/>
      <w:szCs w:val="32"/>
    </w:rPr>
  </w:style>
  <w:style w:type="paragraph" w:customStyle="1" w:styleId="SMHeading2">
    <w:name w:val="SM_Heading_2"/>
    <w:basedOn w:val="SMHeading"/>
    <w:qFormat/>
    <w:pPr>
      <w:spacing w:before="113" w:after="113"/>
      <w:outlineLvl w:val="1"/>
    </w:pPr>
    <w:rPr>
      <w:sz w:val="25"/>
    </w:rPr>
  </w:style>
  <w:style w:type="paragraph" w:customStyle="1" w:styleId="Figure">
    <w:name w:val="Figure"/>
    <w:next w:val="ArticleBody"/>
    <w:qFormat/>
    <w:rsid w:val="00D90631"/>
    <w:pPr>
      <w:keepNext/>
      <w:spacing w:before="120" w:after="120"/>
      <w:jc w:val="both"/>
    </w:pPr>
    <w:rPr>
      <w:rFonts w:ascii="Garamond" w:hAnsi="Garamond"/>
      <w:sz w:val="22"/>
    </w:rPr>
  </w:style>
  <w:style w:type="paragraph" w:customStyle="1" w:styleId="Table">
    <w:name w:val="Table"/>
    <w:basedOn w:val="Caption"/>
    <w:qFormat/>
  </w:style>
  <w:style w:type="paragraph" w:customStyle="1" w:styleId="SMHeadingNoNumber">
    <w:name w:val="SM_Heading_NoNumber"/>
    <w:basedOn w:val="SMHeading"/>
    <w:qFormat/>
    <w:pPr>
      <w:numPr>
        <w:numId w:val="0"/>
      </w:numPr>
    </w:pPr>
    <w:rPr>
      <w:rFonts w:ascii="Charis SIL" w:hAnsi="Charis SIL"/>
    </w:rPr>
  </w:style>
  <w:style w:type="paragraph" w:customStyle="1" w:styleId="TableContents">
    <w:name w:val="Table Contents"/>
    <w:qFormat/>
    <w:pPr>
      <w:jc w:val="center"/>
    </w:pPr>
    <w:rPr>
      <w:rFonts w:ascii="Charis SIL" w:hAnsi="Charis SIL"/>
    </w:rPr>
  </w:style>
  <w:style w:type="paragraph" w:customStyle="1" w:styleId="FrameContents">
    <w:name w:val="Frame Contents"/>
    <w:basedOn w:val="Normal"/>
    <w:qFormat/>
  </w:style>
  <w:style w:type="paragraph" w:customStyle="1" w:styleId="TableHeading">
    <w:name w:val="Table Heading"/>
    <w:basedOn w:val="TableContents"/>
    <w:qFormat/>
    <w:pPr>
      <w:suppressLineNumbers/>
    </w:pPr>
    <w:rPr>
      <w:b/>
      <w:bCs/>
    </w:rPr>
  </w:style>
  <w:style w:type="paragraph" w:customStyle="1" w:styleId="ArticleTable">
    <w:name w:val="Article_Table"/>
    <w:basedOn w:val="ArticleBody"/>
    <w:qFormat/>
    <w:rsid w:val="00A041CC"/>
    <w:pPr>
      <w:spacing w:line="240" w:lineRule="auto"/>
      <w:jc w:val="center"/>
    </w:pPr>
    <w:rPr>
      <w:sz w:val="23"/>
    </w:rPr>
  </w:style>
  <w:style w:type="paragraph" w:styleId="TableofFigures">
    <w:name w:val="table of figures"/>
    <w:basedOn w:val="Caption"/>
  </w:style>
  <w:style w:type="paragraph" w:customStyle="1" w:styleId="HeaderandFooter">
    <w:name w:val="Header and Footer"/>
    <w:basedOn w:val="Normal"/>
    <w:qFormat/>
    <w:pPr>
      <w:suppressLineNumbers/>
      <w:tabs>
        <w:tab w:val="center" w:pos="4252"/>
        <w:tab w:val="right" w:pos="8504"/>
      </w:tabs>
    </w:pPr>
  </w:style>
  <w:style w:type="paragraph" w:styleId="Footer">
    <w:name w:val="footer"/>
    <w:basedOn w:val="HeaderandFooter"/>
  </w:style>
  <w:style w:type="paragraph" w:styleId="Header">
    <w:name w:val="header"/>
    <w:basedOn w:val="HeaderandFooter"/>
  </w:style>
  <w:style w:type="paragraph" w:customStyle="1" w:styleId="HeaderLeft">
    <w:name w:val="Header Left"/>
    <w:basedOn w:val="Header"/>
    <w:qFormat/>
  </w:style>
  <w:style w:type="numbering" w:customStyle="1" w:styleId="Numbering123">
    <w:name w:val="Numbering 123"/>
    <w:qFormat/>
  </w:style>
  <w:style w:type="character" w:styleId="PlaceholderText">
    <w:name w:val="Placeholder Text"/>
    <w:basedOn w:val="DefaultParagraphFont"/>
    <w:uiPriority w:val="99"/>
    <w:semiHidden/>
    <w:rsid w:val="00DF03B0"/>
    <w:rPr>
      <w:color w:val="808080"/>
    </w:rPr>
  </w:style>
  <w:style w:type="paragraph" w:styleId="Bibliography">
    <w:name w:val="Bibliography"/>
    <w:basedOn w:val="Normal"/>
    <w:next w:val="Normal"/>
    <w:uiPriority w:val="37"/>
    <w:unhideWhenUsed/>
    <w:rsid w:val="0050746B"/>
    <w:pPr>
      <w:tabs>
        <w:tab w:val="left" w:pos="384"/>
      </w:tabs>
      <w:ind w:left="384" w:hanging="384"/>
    </w:pPr>
    <w:rPr>
      <w:rFonts w:ascii="Garamond" w:hAnsi="Garamond" w:cs="Mangal"/>
      <w:szCs w:val="21"/>
    </w:rPr>
  </w:style>
  <w:style w:type="character" w:styleId="CommentReference">
    <w:name w:val="annotation reference"/>
    <w:basedOn w:val="DefaultParagraphFont"/>
    <w:uiPriority w:val="99"/>
    <w:semiHidden/>
    <w:unhideWhenUsed/>
    <w:rsid w:val="006C7C0A"/>
    <w:rPr>
      <w:sz w:val="16"/>
      <w:szCs w:val="16"/>
    </w:rPr>
  </w:style>
  <w:style w:type="paragraph" w:styleId="CommentText">
    <w:name w:val="annotation text"/>
    <w:basedOn w:val="Normal"/>
    <w:link w:val="CommentTextChar"/>
    <w:uiPriority w:val="99"/>
    <w:unhideWhenUsed/>
    <w:rsid w:val="006C7C0A"/>
    <w:rPr>
      <w:rFonts w:cs="Mangal"/>
      <w:sz w:val="20"/>
      <w:szCs w:val="18"/>
    </w:rPr>
  </w:style>
  <w:style w:type="character" w:customStyle="1" w:styleId="CommentTextChar">
    <w:name w:val="Comment Text Char"/>
    <w:basedOn w:val="DefaultParagraphFont"/>
    <w:link w:val="CommentText"/>
    <w:uiPriority w:val="99"/>
    <w:rsid w:val="006C7C0A"/>
    <w:rPr>
      <w:rFonts w:ascii="Charis SIL" w:hAnsi="Charis SIL" w:cs="Mangal"/>
      <w:sz w:val="20"/>
      <w:szCs w:val="18"/>
    </w:rPr>
  </w:style>
  <w:style w:type="paragraph" w:styleId="CommentSubject">
    <w:name w:val="annotation subject"/>
    <w:basedOn w:val="CommentText"/>
    <w:next w:val="CommentText"/>
    <w:link w:val="CommentSubjectChar"/>
    <w:uiPriority w:val="99"/>
    <w:semiHidden/>
    <w:unhideWhenUsed/>
    <w:rsid w:val="006C7C0A"/>
    <w:rPr>
      <w:b/>
      <w:bCs/>
    </w:rPr>
  </w:style>
  <w:style w:type="character" w:customStyle="1" w:styleId="CommentSubjectChar">
    <w:name w:val="Comment Subject Char"/>
    <w:basedOn w:val="CommentTextChar"/>
    <w:link w:val="CommentSubject"/>
    <w:uiPriority w:val="99"/>
    <w:semiHidden/>
    <w:rsid w:val="006C7C0A"/>
    <w:rPr>
      <w:rFonts w:ascii="Charis SIL" w:hAnsi="Charis SIL" w:cs="Mangal"/>
      <w:b/>
      <w:bCs/>
      <w:sz w:val="20"/>
      <w:szCs w:val="18"/>
    </w:rPr>
  </w:style>
  <w:style w:type="paragraph" w:styleId="Revision">
    <w:name w:val="Revision"/>
    <w:hidden/>
    <w:uiPriority w:val="99"/>
    <w:semiHidden/>
    <w:rsid w:val="00B8278A"/>
    <w:pPr>
      <w:suppressAutoHyphens w:val="0"/>
    </w:pPr>
    <w:rPr>
      <w:rFonts w:ascii="Charis SIL" w:hAnsi="Charis SIL"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D8BAC-20E0-4920-83FB-1B6E25AB3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3256</Words>
  <Characters>18563</Characters>
  <Application>Microsoft Office Word</Application>
  <DocSecurity>0</DocSecurity>
  <Lines>154</Lines>
  <Paragraphs>43</Paragraphs>
  <ScaleCrop>false</ScaleCrop>
  <Company/>
  <LinksUpToDate>false</LinksUpToDate>
  <CharactersWithSpaces>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2023-01-23T13:18:00Z</dcterms:created>
  <dcterms:modified xsi:type="dcterms:W3CDTF">2023-01-23T13:18:00Z</dcterms:modified>
  <dc:language/>
</cp:coreProperties>
</file>