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center"/>
        <w:rPr>
          <w:rFonts w:hint="default" w:ascii="Times New Roman" w:hAnsi="Times New Roman" w:cs="Times New Roman"/>
          <w:b/>
          <w:bCs/>
          <w:spacing w:val="12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pacing w:val="12"/>
          <w:sz w:val="32"/>
          <w:szCs w:val="32"/>
        </w:rPr>
        <w:t>SUPPLEMENTAL MATERIALS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Supplementary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Genome-wide significant variants of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CRP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 levels and their association with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T1D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S2</w:t>
      </w:r>
      <w:r>
        <w:rPr>
          <w:rFonts w:hint="default" w:ascii="Times New Roman" w:hAnsi="Times New Roman" w:cs="Times New Roman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>Genome-wide significant variants of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 T1D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 and their association with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CRP levels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b w:val="0"/>
          <w:bCs w:val="0"/>
          <w:spacing w:val="12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Table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 xml:space="preserve">3 </w:t>
      </w:r>
      <w:r>
        <w:rPr>
          <w:rFonts w:hint="default" w:ascii="Times New Roman" w:hAnsi="Times New Roman" w:cs="Times New Roman"/>
          <w:b w:val="0"/>
          <w:bCs w:val="0"/>
          <w:spacing w:val="12"/>
          <w:sz w:val="24"/>
          <w:szCs w:val="24"/>
        </w:rPr>
        <w:t xml:space="preserve">Results for MR-Egger (intercept), Cochran’s Q test </w:t>
      </w:r>
      <w:r>
        <w:rPr>
          <w:rFonts w:hint="eastAsia" w:ascii="Times New Roman" w:hAnsi="Times New Roman" w:cs="Times New Roman"/>
          <w:b w:val="0"/>
          <w:bCs w:val="0"/>
          <w:spacing w:val="12"/>
          <w:sz w:val="24"/>
          <w:szCs w:val="24"/>
          <w:lang w:val="en-US" w:eastAsia="zh-CN"/>
        </w:rPr>
        <w:t>between CRP and T1D</w:t>
      </w:r>
      <w:r>
        <w:rPr>
          <w:rFonts w:hint="default" w:ascii="Times New Roman" w:hAnsi="Times New Roman" w:cs="Times New Roman"/>
          <w:b w:val="0"/>
          <w:bCs w:val="0"/>
          <w:spacing w:val="12"/>
          <w:sz w:val="24"/>
          <w:szCs w:val="24"/>
        </w:rPr>
        <w:t>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Figure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Leave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-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one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-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out plots of SNPs associated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with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CRP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and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T1D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cs="Times New Roman"/>
          <w:spacing w:val="12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Figure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Forest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Scatter plots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of SNPs associated with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CRP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T1D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>.</w:t>
      </w:r>
    </w:p>
    <w:p>
      <w:pPr>
        <w:spacing w:line="360" w:lineRule="auto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Figure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Funnel plots of SNPs associated with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CRP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and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T1D.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Figure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Leave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-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one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-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out plots of SNPs associated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with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T1D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and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CRP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.</w:t>
      </w:r>
    </w:p>
    <w:p>
      <w:pPr>
        <w:spacing w:line="360" w:lineRule="auto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Figure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Funnel plots of SNPs associated with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T1D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and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CRP.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cs="Times New Roman"/>
          <w:spacing w:val="12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Figure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Forest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Scatter plots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of SNPs associated with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T1D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CRP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>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Supplementary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Genome-wide significant variants of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CRP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 levels and their association with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T1D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  <w:lang w:val="en-US" w:eastAsia="zh-CN"/>
        </w:rPr>
      </w:pPr>
    </w:p>
    <w:tbl>
      <w:tblPr>
        <w:tblStyle w:val="3"/>
        <w:tblW w:w="147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605"/>
        <w:gridCol w:w="1392"/>
        <w:gridCol w:w="1368"/>
        <w:gridCol w:w="630"/>
        <w:gridCol w:w="1164"/>
        <w:gridCol w:w="732"/>
        <w:gridCol w:w="836"/>
        <w:gridCol w:w="668"/>
        <w:gridCol w:w="1120"/>
        <w:gridCol w:w="1208"/>
        <w:gridCol w:w="833"/>
        <w:gridCol w:w="666"/>
        <w:gridCol w:w="11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380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SNP</w:t>
            </w:r>
          </w:p>
        </w:tc>
        <w:tc>
          <w:tcPr>
            <w:tcW w:w="1605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</w:t>
            </w:r>
          </w:p>
        </w:tc>
        <w:tc>
          <w:tcPr>
            <w:tcW w:w="1392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Effect allele</w:t>
            </w:r>
          </w:p>
        </w:tc>
        <w:tc>
          <w:tcPr>
            <w:tcW w:w="1368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 allele</w:t>
            </w:r>
          </w:p>
        </w:tc>
        <w:tc>
          <w:tcPr>
            <w:tcW w:w="630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</w:t>
            </w:r>
          </w:p>
        </w:tc>
        <w:tc>
          <w:tcPr>
            <w:tcW w:w="1164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Position</w:t>
            </w:r>
          </w:p>
        </w:tc>
        <w:tc>
          <w:tcPr>
            <w:tcW w:w="732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EAF</w:t>
            </w:r>
          </w:p>
        </w:tc>
        <w:tc>
          <w:tcPr>
            <w:tcW w:w="3832" w:type="dxa"/>
            <w:gridSpan w:val="4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CRP</w:t>
            </w:r>
          </w:p>
        </w:tc>
        <w:tc>
          <w:tcPr>
            <w:tcW w:w="2650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380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2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</w:t>
            </w:r>
          </w:p>
        </w:tc>
        <w:tc>
          <w:tcPr>
            <w:tcW w:w="668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S.E.</w:t>
            </w:r>
          </w:p>
        </w:tc>
        <w:tc>
          <w:tcPr>
            <w:tcW w:w="112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P-value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F-statistic</w:t>
            </w:r>
          </w:p>
        </w:tc>
        <w:tc>
          <w:tcPr>
            <w:tcW w:w="0" w:type="auto"/>
            <w:tcBorders>
              <w:top w:val="nil"/>
              <w:left w:val="single" w:color="000000" w:sz="12" w:space="0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S.E.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rs1260326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GCKR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27730940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0.607</w:t>
            </w:r>
          </w:p>
        </w:tc>
        <w:tc>
          <w:tcPr>
            <w:tcW w:w="836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-0.0735</w:t>
            </w:r>
          </w:p>
        </w:tc>
        <w:tc>
          <w:tcPr>
            <w:tcW w:w="668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112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2.72×10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-92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121.99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rs1386821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IL6R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154382049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-0.0526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4.74×10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86.43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bookmarkStart w:id="0" w:name="OLE_LINK3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rs1490384</w:t>
            </w:r>
            <w:bookmarkEnd w:id="0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RP11-394G3.2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126851160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0.512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-0.0248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2.6×10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18.60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2.42×10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rs17616063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RP11-437L7.1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51436882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0.085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-0.1064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1.80×10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76.82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rs1800961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HNF4A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43042364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0.034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-0.1115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4.63×10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vertAlign w:val="superscript"/>
                <w:lang w:val="en-US" w:eastAsia="zh-CN" w:bidi="ar"/>
              </w:rPr>
              <w:t>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90.06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0.839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rs2315008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ZGPAT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62343956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0.688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0.0235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5.36×10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10.56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rs2352975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TRAIP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49891885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0.304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0.0249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6.43×10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27.88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rs2836878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PCP4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40465534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0.274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-0.0429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7.71×10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80.44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rs2852151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PTPN2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12841176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0.405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0.0247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1.6×10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23.84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-0.1511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1.905×10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bookmarkStart w:id="1" w:name="OLE_LINK4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rs4129267</w:t>
            </w:r>
            <w:bookmarkEnd w:id="1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IL6R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154426264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0.386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-0.0875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1.20×10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273.14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rs4420638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APOC1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45422946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0.18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-0.2295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-200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971.91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4753" w:type="dxa"/>
            <w:gridSpan w:val="14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6"/>
                <w:rFonts w:eastAsia="等线"/>
                <w:color w:val="auto"/>
                <w:sz w:val="21"/>
                <w:szCs w:val="21"/>
                <w:lang w:val="en-US" w:eastAsia="zh-CN" w:bidi="ar"/>
              </w:rPr>
              <w:t>R</w:t>
            </w:r>
            <w:r>
              <w:rPr>
                <w:rStyle w:val="7"/>
                <w:rFonts w:eastAsia="等线"/>
                <w:color w:val="auto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 xml:space="preserve"> was calculated using the following formula: (2×EAF×(1-EAF)×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β</w:t>
            </w:r>
            <w:r>
              <w:rPr>
                <w:rStyle w:val="9"/>
                <w:rFonts w:eastAsia="等线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8"/>
                <w:rFonts w:eastAsia="等线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)/[(2×EAF×(1-EAF)×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β</w:t>
            </w:r>
            <w:r>
              <w:rPr>
                <w:rStyle w:val="9"/>
                <w:rFonts w:eastAsia="等线"/>
                <w:color w:val="auto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>) + (2×EAF×(1-EAF)×N×</w:t>
            </w:r>
            <w:bookmarkStart w:id="2" w:name="OLE_LINK1"/>
            <w:r>
              <w:rPr>
                <w:rStyle w:val="5"/>
                <w:rFonts w:eastAsia="宋体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S.E.</w:t>
            </w:r>
            <w:bookmarkEnd w:id="2"/>
            <w:r>
              <w:rPr>
                <w:rStyle w:val="9"/>
                <w:rFonts w:eastAsia="等线"/>
                <w:color w:val="auto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 xml:space="preserve">)], where EAF is the effect allele frequency,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β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 xml:space="preserve"> is the estimated effect on </w:t>
            </w:r>
            <w:r>
              <w:rPr>
                <w:rStyle w:val="8"/>
                <w:rFonts w:hint="eastAsia" w:eastAsia="等线"/>
                <w:color w:val="auto"/>
                <w:sz w:val="21"/>
                <w:szCs w:val="21"/>
                <w:lang w:val="en-US" w:eastAsia="zh-CN" w:bidi="ar"/>
              </w:rPr>
              <w:t>T1D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 xml:space="preserve">, Ν is the sample size of the GWAS for the </w:t>
            </w:r>
            <w:bookmarkStart w:id="3" w:name="OLE_LINK2"/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>SNP-</w:t>
            </w:r>
            <w:bookmarkEnd w:id="3"/>
            <w:r>
              <w:rPr>
                <w:rStyle w:val="8"/>
                <w:rFonts w:hint="eastAsia" w:eastAsia="等线"/>
                <w:color w:val="auto"/>
                <w:sz w:val="21"/>
                <w:szCs w:val="21"/>
                <w:lang w:val="en-US" w:eastAsia="zh-CN" w:bidi="ar"/>
              </w:rPr>
              <w:t xml:space="preserve">CRP 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 xml:space="preserve">association and </w:t>
            </w:r>
            <w:r>
              <w:rPr>
                <w:rStyle w:val="5"/>
                <w:rFonts w:eastAsia="宋体"/>
                <w:b w:val="0"/>
                <w:bCs w:val="0"/>
                <w:color w:val="auto"/>
                <w:sz w:val="21"/>
                <w:szCs w:val="21"/>
                <w:lang w:val="en-US" w:eastAsia="zh-CN" w:bidi="ar"/>
              </w:rPr>
              <w:t>S.E.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 xml:space="preserve"> is the standard error of the estimated effect.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475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6"/>
                <w:rFonts w:eastAsia="等线"/>
                <w:color w:val="auto"/>
                <w:sz w:val="21"/>
                <w:szCs w:val="21"/>
                <w:lang w:val="en-US" w:eastAsia="zh-CN" w:bidi="ar"/>
              </w:rPr>
              <w:t>F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 xml:space="preserve"> statistics were calculated using the following formula:</w:t>
            </w:r>
            <w:bookmarkStart w:id="4" w:name="OLE_LINK5"/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6"/>
                <w:rFonts w:eastAsia="等线"/>
                <w:color w:val="auto"/>
                <w:sz w:val="21"/>
                <w:szCs w:val="21"/>
                <w:lang w:val="en-US" w:eastAsia="zh-CN" w:bidi="ar"/>
              </w:rPr>
              <w:t>R</w:t>
            </w:r>
            <w:r>
              <w:rPr>
                <w:rStyle w:val="7"/>
                <w:rFonts w:eastAsia="等线"/>
                <w:color w:val="auto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>(N-2)/(1-</w:t>
            </w:r>
            <w:r>
              <w:rPr>
                <w:rStyle w:val="6"/>
                <w:rFonts w:eastAsia="等线"/>
                <w:color w:val="auto"/>
                <w:sz w:val="21"/>
                <w:szCs w:val="21"/>
                <w:lang w:val="en-US" w:eastAsia="zh-CN" w:bidi="ar"/>
              </w:rPr>
              <w:t>R</w:t>
            </w:r>
            <w:r>
              <w:rPr>
                <w:rStyle w:val="7"/>
                <w:rFonts w:eastAsia="等线"/>
                <w:color w:val="auto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>)</w:t>
            </w:r>
            <w:bookmarkEnd w:id="4"/>
            <w:r>
              <w:rPr>
                <w:rStyle w:val="8"/>
                <w:rFonts w:hint="eastAsia" w:eastAsia="等线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/>
                <w:lang w:bidi="ar"/>
              </w:rPr>
              <w:fldChar w:fldCharType="begin"/>
            </w:r>
            <w:r>
              <w:rPr>
                <w:rFonts w:ascii="Times New Roman" w:hAnsi="Times New Roman" w:eastAsia="宋体"/>
                <w:lang w:bidi="ar"/>
              </w:rPr>
              <w:instrText xml:space="preserve"> ADDIN EN.CITE &lt;EndNote&gt;&lt;Cite&gt;&lt;Author&gt;Chen&lt;/Author&gt;&lt;Year&gt;2021&lt;/Year&gt;&lt;RecNum&gt;166&lt;/RecNum&gt;&lt;DisplayText&gt;(Chen et al., 2021)&lt;/DisplayText&gt;&lt;record&gt;&lt;rec-number&gt;166&lt;/rec-number&gt;&lt;foreign-keys&gt;&lt;key app="EN" db-id="apfvprs9dasvt5e0z5tv5s0svzzztzfdzw9r" timestamp="1643012818"&gt;166&lt;/key&gt;&lt;/foreign-keys&gt;&lt;ref-type name="Journal Article"&gt;17&lt;/ref-type&gt;&lt;contributors&gt;&lt;authors&gt;&lt;author&gt;Chen, H.&lt;/author&gt;&lt;author&gt;Mi, S.&lt;/author&gt;&lt;author&gt;Zhu, J.&lt;/author&gt;&lt;author&gt;Jin, W.&lt;/author&gt;&lt;author&gt;Li, Y.&lt;/author&gt;&lt;author&gt;Wang, T.&lt;/author&gt;&lt;author&gt;Li, Y.&lt;/author&gt;&lt;author&gt;Fan, C.&lt;/author&gt;&lt;/authors&gt;&lt;/contributors&gt;&lt;auth-address&gt;School of Public Health, Hangzhou Medical College, Hangzhou, China.&amp;#xD;Department of Clinical Laboratory, Zhejiang Provincial People&amp;apos;s Hospital, People&amp;apos;s Hospital of Hangzhou Medical College, Hangzhou, China.&amp;#xD;Department of Rheumatology and Immunology, Zhejiang Provincial People&amp;apos;s Hospital, People&amp;apos;s Hospital of Hangzhou Medical College, Hangzhou, China.&lt;/auth-address&gt;&lt;titles&gt;&lt;title&gt;No Causal Association Between Adiponectin and the Risk of Rheumatoid Arthritis: A Mendelian Randomization Study&lt;/title&gt;&lt;secondary-title&gt;Front Genet&lt;/secondary-title&gt;&lt;/titles&gt;&lt;periodical&gt;&lt;full-title&gt;Front Genet&lt;/full-title&gt;&lt;/periodical&gt;&lt;pages&gt;670282&lt;/pages&gt;&lt;volume&gt;12&lt;/volume&gt;&lt;keywords&gt;&lt;keyword&gt;Mendelian randomization&lt;/keyword&gt;&lt;keyword&gt;adiponectin&lt;/keyword&gt;&lt;keyword&gt;bidirectional&lt;/keyword&gt;&lt;keyword&gt;causality&lt;/keyword&gt;&lt;keyword&gt;rheumatoid arthritis&lt;/keyword&gt;&lt;keyword&gt;commercial or financial relationships that could be construed as a potential&lt;/keyword&gt;&lt;keyword&gt;conflict of interest.&lt;/keyword&gt;&lt;/keywords&gt;&lt;dates&gt;&lt;year&gt;2021&lt;/year&gt;&lt;/dates&gt;&lt;isbn&gt;1664-8021 (Print)&amp;#xD;1664-8021 (Linking)&lt;/isbn&gt;&lt;accession-num&gt;34630505&lt;/accession-num&gt;&lt;urls&gt;&lt;related-urls&gt;&lt;url&gt;https://www.ncbi.nlm.nih.gov/pubmed/34630505&lt;/url&gt;&lt;/related-urls&gt;&lt;/urls&gt;&lt;custom2&gt;PMC8498100&lt;/custom2&gt;&lt;electronic-resource-num&gt;10.3389/fgene.2021.670282&lt;/electronic-resource-num&gt;&lt;/record&gt;&lt;/Cite&gt;&lt;/EndNote&gt;</w:instrText>
            </w:r>
            <w:r>
              <w:rPr>
                <w:rFonts w:ascii="Times New Roman" w:hAnsi="Times New Roman" w:eastAsia="宋体"/>
                <w:lang w:bidi="ar"/>
              </w:rPr>
              <w:fldChar w:fldCharType="separate"/>
            </w:r>
            <w:r>
              <w:rPr>
                <w:rFonts w:ascii="Times New Roman" w:hAnsi="Times New Roman" w:eastAsia="宋体"/>
                <w:lang w:bidi="ar"/>
              </w:rPr>
              <w:t>(Chen et al., 2021)</w:t>
            </w:r>
            <w:r>
              <w:rPr>
                <w:rFonts w:ascii="Times New Roman" w:hAnsi="Times New Roman" w:eastAsia="宋体"/>
                <w:lang w:bidi="ar"/>
              </w:rPr>
              <w:fldChar w:fldCharType="end"/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 xml:space="preserve">, where </w:t>
            </w:r>
            <w:r>
              <w:rPr>
                <w:rStyle w:val="6"/>
                <w:rFonts w:eastAsia="等线"/>
                <w:color w:val="auto"/>
                <w:sz w:val="21"/>
                <w:szCs w:val="21"/>
                <w:lang w:val="en-US" w:eastAsia="zh-CN" w:bidi="ar"/>
              </w:rPr>
              <w:t>R</w:t>
            </w:r>
            <w:r>
              <w:rPr>
                <w:rStyle w:val="7"/>
                <w:rFonts w:eastAsia="等线"/>
                <w:color w:val="auto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 xml:space="preserve"> is the proportion of variance in</w:t>
            </w:r>
            <w:r>
              <w:rPr>
                <w:rStyle w:val="8"/>
                <w:rFonts w:hint="eastAsia" w:eastAsia="等线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>SNP-</w:t>
            </w:r>
            <w:r>
              <w:rPr>
                <w:rStyle w:val="8"/>
                <w:rFonts w:hint="eastAsia" w:eastAsia="等线"/>
                <w:color w:val="auto"/>
                <w:sz w:val="21"/>
                <w:szCs w:val="21"/>
                <w:lang w:val="en-US" w:eastAsia="zh-CN" w:bidi="ar"/>
              </w:rPr>
              <w:t>CRP</w:t>
            </w:r>
            <w:r>
              <w:rPr>
                <w:rStyle w:val="8"/>
                <w:rFonts w:eastAsia="等线"/>
                <w:color w:val="auto"/>
                <w:sz w:val="21"/>
                <w:szCs w:val="21"/>
                <w:lang w:val="en-US" w:eastAsia="zh-CN" w:bidi="ar"/>
              </w:rPr>
              <w:t xml:space="preserve"> explained</w:t>
            </w:r>
            <w:r>
              <w:rPr>
                <w:rStyle w:val="8"/>
                <w:rFonts w:hint="eastAsia" w:eastAsia="等线"/>
                <w:color w:val="auto"/>
                <w:sz w:val="21"/>
                <w:szCs w:val="21"/>
                <w:lang w:val="en-US" w:eastAsia="zh-CN" w:bidi="ar"/>
              </w:rPr>
              <w:t>.</w:t>
            </w:r>
          </w:p>
        </w:tc>
      </w:tr>
    </w:tbl>
    <w:p/>
    <w:p/>
    <w:p/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S2</w:t>
      </w:r>
      <w:r>
        <w:rPr>
          <w:rFonts w:hint="default" w:ascii="Times New Roman" w:hAnsi="Times New Roman" w:cs="Times New Roman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>Genome-wide significant variants of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 T1D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 and their association with </w:t>
      </w:r>
      <w:bookmarkStart w:id="5" w:name="OLE_LINK6"/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CRP</w:t>
      </w:r>
      <w:bookmarkEnd w:id="5"/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 levels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</w:pPr>
    </w:p>
    <w:tbl>
      <w:tblPr>
        <w:tblStyle w:val="3"/>
        <w:tblW w:w="146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380"/>
        <w:gridCol w:w="1392"/>
        <w:gridCol w:w="1368"/>
        <w:gridCol w:w="630"/>
        <w:gridCol w:w="1164"/>
        <w:gridCol w:w="732"/>
        <w:gridCol w:w="867"/>
        <w:gridCol w:w="693"/>
        <w:gridCol w:w="1266"/>
        <w:gridCol w:w="1132"/>
        <w:gridCol w:w="856"/>
        <w:gridCol w:w="673"/>
        <w:gridCol w:w="10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380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SNP</w:t>
            </w:r>
          </w:p>
        </w:tc>
        <w:tc>
          <w:tcPr>
            <w:tcW w:w="1380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</w:t>
            </w:r>
          </w:p>
        </w:tc>
        <w:tc>
          <w:tcPr>
            <w:tcW w:w="1392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Effect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allele</w:t>
            </w:r>
          </w:p>
        </w:tc>
        <w:tc>
          <w:tcPr>
            <w:tcW w:w="1368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allele</w:t>
            </w:r>
          </w:p>
        </w:tc>
        <w:tc>
          <w:tcPr>
            <w:tcW w:w="630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</w:t>
            </w:r>
          </w:p>
        </w:tc>
        <w:tc>
          <w:tcPr>
            <w:tcW w:w="1164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Position</w:t>
            </w:r>
          </w:p>
        </w:tc>
        <w:tc>
          <w:tcPr>
            <w:tcW w:w="732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EAF</w:t>
            </w:r>
          </w:p>
        </w:tc>
        <w:tc>
          <w:tcPr>
            <w:tcW w:w="3958" w:type="dxa"/>
            <w:gridSpan w:val="4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T1D</w:t>
            </w:r>
          </w:p>
        </w:tc>
        <w:tc>
          <w:tcPr>
            <w:tcW w:w="2628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CRP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380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2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S.E.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P-value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  <w:r>
              <w:rPr>
                <w:rStyle w:val="8"/>
                <w:rFonts w:eastAsia="宋体"/>
                <w:lang w:val="en-US" w:eastAsia="zh-CN" w:bidi="ar"/>
              </w:rPr>
              <w:t>-</w:t>
            </w:r>
            <w:r>
              <w:rPr>
                <w:rStyle w:val="8"/>
                <w:rFonts w:eastAsia="宋体"/>
                <w:i w:val="0"/>
                <w:iCs w:val="0"/>
                <w:lang w:val="en-US" w:eastAsia="zh-CN" w:bidi="ar"/>
              </w:rPr>
              <w:t>statistic</w:t>
            </w:r>
          </w:p>
        </w:tc>
        <w:tc>
          <w:tcPr>
            <w:tcW w:w="0" w:type="auto"/>
            <w:tcBorders>
              <w:top w:val="nil"/>
              <w:left w:val="single" w:color="000000" w:sz="12" w:space="0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eastAsia="宋体"/>
                <w:lang w:val="en-US" w:eastAsia="zh-CN" w:bidi="ar"/>
              </w:rPr>
              <w:t>S.E.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D7D7D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rs11203203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UBASH3A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43836186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0.367</w:t>
            </w:r>
          </w:p>
        </w:tc>
        <w:tc>
          <w:tcPr>
            <w:tcW w:w="833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0.15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2.909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-15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46.41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rs12150079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ZPBP2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38025417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1.198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25.26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rs12927355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CLEC16A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11194771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7.995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52.11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rs1456988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LINC01550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98488007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2.857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-08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8.34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rs1574285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GLIS3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4283137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1.425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13.83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rs1701704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IKZF4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56412487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0.325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8.251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119.66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rs1893217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PTPN2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12809340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0.163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1.244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66.29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rs2111485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163110536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3.814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36.3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rs2611215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LINC02174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166574267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1.817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6.46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rs3087243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CTLA4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204738919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0.436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-0.1781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7.362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42.02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rs3184504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SH2B3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111884608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0.522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-0.2661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1.559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rs4820830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HORMAD2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30531091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1.201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16.37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rs516246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FUT2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49206172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5.219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35.29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5.480×10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-5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rs6043409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SIRPG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1616206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0.671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2.976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14.94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rs6679677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PHTF1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114303808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1.102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1368.72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rs7239671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CD226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67523260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1.790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27.04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rs8056814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CTRB1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75252327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0.087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3.026</w:t>
            </w:r>
            <w:r>
              <w:rPr>
                <w:rStyle w:val="10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1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101.68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38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rs9585056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CCR12P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100081766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0.758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-0.1160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3.317</w:t>
            </w: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lang w:val="en-US" w:eastAsia="zh-CN" w:bidi="ar"/>
              </w:rPr>
              <w:t>×10</w:t>
            </w:r>
            <w:r>
              <w:rPr>
                <w:rStyle w:val="12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-08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6.62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4632" w:type="dxa"/>
            <w:gridSpan w:val="14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6"/>
                <w:rFonts w:hint="default" w:ascii="Times New Roman" w:hAnsi="Times New Roman" w:eastAsia="等线" w:cs="Times New Roman"/>
                <w:b w:val="0"/>
                <w:bCs w:val="0"/>
                <w:i/>
                <w:iCs/>
                <w:color w:val="auto"/>
                <w:sz w:val="21"/>
                <w:szCs w:val="21"/>
                <w:lang w:val="en-US" w:eastAsia="zh-CN" w:bidi="ar"/>
              </w:rPr>
              <w:t>R</w:t>
            </w:r>
            <w:r>
              <w:rPr>
                <w:rStyle w:val="7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superscript"/>
                <w:lang w:val="en-US" w:eastAsia="zh-CN" w:bidi="ar"/>
              </w:rPr>
              <w:t>2</w:t>
            </w:r>
            <w:r>
              <w:rPr>
                <w:rStyle w:val="8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 was calculated using the following formula: (2×EAF×(1-EAF)×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β</w:t>
            </w:r>
            <w:r>
              <w:rPr>
                <w:rStyle w:val="9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superscript"/>
                <w:lang w:val="en-US" w:eastAsia="zh-CN" w:bidi="ar"/>
              </w:rPr>
              <w:t>2</w:t>
            </w:r>
            <w:r>
              <w:rPr>
                <w:rStyle w:val="8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)/[(2×EAF×(1-EAF)×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β</w:t>
            </w:r>
            <w:r>
              <w:rPr>
                <w:rStyle w:val="9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superscript"/>
                <w:lang w:val="en-US" w:eastAsia="zh-CN" w:bidi="ar"/>
              </w:rPr>
              <w:t>2</w:t>
            </w:r>
            <w:r>
              <w:rPr>
                <w:rStyle w:val="8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) + (2×EAF×(1-EAF)×N×</w:t>
            </w: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S.E.</w:t>
            </w:r>
            <w:r>
              <w:rPr>
                <w:rStyle w:val="9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superscript"/>
                <w:lang w:val="en-US" w:eastAsia="zh-CN" w:bidi="ar"/>
              </w:rPr>
              <w:t>2</w:t>
            </w:r>
            <w:r>
              <w:rPr>
                <w:rStyle w:val="8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)], where EAF is the effect allele frequency,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β</w:t>
            </w:r>
            <w:r>
              <w:rPr>
                <w:rStyle w:val="8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 is the estimated effect on </w:t>
            </w:r>
            <w:r>
              <w:rPr>
                <w:rStyle w:val="8"/>
                <w:rFonts w:hint="eastAsia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CRP</w:t>
            </w:r>
            <w:r>
              <w:rPr>
                <w:rStyle w:val="8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, Ν is the sample size of the GWAS for the SNP-T1D association and </w:t>
            </w: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S.E.</w:t>
            </w:r>
            <w:r>
              <w:rPr>
                <w:rStyle w:val="8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 is the standard error of the estimated effect.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32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eastAsia="等线" w:cs="Times New Roman"/>
                <w:b w:val="0"/>
                <w:bCs w:val="0"/>
                <w:i/>
                <w:iCs/>
                <w:color w:val="auto"/>
                <w:sz w:val="21"/>
                <w:szCs w:val="21"/>
                <w:lang w:val="en-US" w:eastAsia="zh-CN" w:bidi="ar"/>
              </w:rPr>
              <w:t>F</w:t>
            </w:r>
            <w:r>
              <w:rPr>
                <w:rStyle w:val="8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 statistics were calculated using the following formula: </w:t>
            </w:r>
            <w:r>
              <w:rPr>
                <w:rStyle w:val="6"/>
                <w:rFonts w:hint="default" w:ascii="Times New Roman" w:hAnsi="Times New Roman" w:eastAsia="等线" w:cs="Times New Roman"/>
                <w:b w:val="0"/>
                <w:bCs w:val="0"/>
                <w:i/>
                <w:iCs/>
                <w:color w:val="auto"/>
                <w:sz w:val="21"/>
                <w:szCs w:val="21"/>
                <w:lang w:val="en-US" w:eastAsia="zh-CN" w:bidi="ar"/>
              </w:rPr>
              <w:t>R</w:t>
            </w:r>
            <w:r>
              <w:rPr>
                <w:rStyle w:val="7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superscript"/>
                <w:lang w:val="en-US" w:eastAsia="zh-CN" w:bidi="ar"/>
              </w:rPr>
              <w:t>2</w:t>
            </w:r>
            <w:r>
              <w:rPr>
                <w:rStyle w:val="8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(N-2)/(1-</w:t>
            </w:r>
            <w:r>
              <w:rPr>
                <w:rStyle w:val="6"/>
                <w:rFonts w:hint="default" w:ascii="Times New Roman" w:hAnsi="Times New Roman" w:eastAsia="等线" w:cs="Times New Roman"/>
                <w:b w:val="0"/>
                <w:bCs w:val="0"/>
                <w:i/>
                <w:iCs/>
                <w:color w:val="auto"/>
                <w:sz w:val="21"/>
                <w:szCs w:val="21"/>
                <w:lang w:val="en-US" w:eastAsia="zh-CN" w:bidi="ar"/>
              </w:rPr>
              <w:t>R</w:t>
            </w:r>
            <w:r>
              <w:rPr>
                <w:rStyle w:val="7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superscript"/>
                <w:lang w:val="en-US" w:eastAsia="zh-CN" w:bidi="ar"/>
              </w:rPr>
              <w:t>2</w:t>
            </w:r>
            <w:r>
              <w:rPr>
                <w:rStyle w:val="8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>)</w:t>
            </w:r>
            <w:r>
              <w:rPr>
                <w:rStyle w:val="8"/>
                <w:rFonts w:hint="eastAsia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/>
                <w:lang w:bidi="ar"/>
              </w:rPr>
              <w:fldChar w:fldCharType="begin"/>
            </w:r>
            <w:r>
              <w:rPr>
                <w:rFonts w:ascii="Times New Roman" w:hAnsi="Times New Roman" w:eastAsia="宋体"/>
                <w:lang w:bidi="ar"/>
              </w:rPr>
              <w:instrText xml:space="preserve"> ADDIN EN.CITE &lt;EndNote&gt;&lt;Cite&gt;&lt;Author&gt;Chen&lt;/Author&gt;&lt;Year&gt;2021&lt;/Year&gt;&lt;RecNum&gt;166&lt;/RecNum&gt;&lt;DisplayText&gt;(Chen et al., 2021)&lt;/DisplayText&gt;&lt;record&gt;&lt;rec-number&gt;166&lt;/rec-number&gt;&lt;foreign-keys&gt;&lt;key app="EN" db-id="apfvprs9dasvt5e0z5tv5s0svzzztzfdzw9r" timestamp="1643012818"&gt;166&lt;/key&gt;&lt;/foreign-keys&gt;&lt;ref-type name="Journal Article"&gt;17&lt;/ref-type&gt;&lt;contributors&gt;&lt;authors&gt;&lt;author&gt;Chen, H.&lt;/author&gt;&lt;author&gt;Mi, S.&lt;/author&gt;&lt;author&gt;Zhu, J.&lt;/author&gt;&lt;author&gt;Jin, W.&lt;/author&gt;&lt;author&gt;Li, Y.&lt;/author&gt;&lt;author&gt;Wang, T.&lt;/author&gt;&lt;author&gt;Li, Y.&lt;/author&gt;&lt;author&gt;Fan, C.&lt;/author&gt;&lt;/authors&gt;&lt;/contributors&gt;&lt;auth-address&gt;School of Public Health, Hangzhou Medical College, Hangzhou, China.&amp;#xD;Department of Clinical Laboratory, Zhejiang Provincial People&amp;apos;s Hospital, People&amp;apos;s Hospital of Hangzhou Medical College, Hangzhou, China.&amp;#xD;Department of Rheumatology and Immunology, Zhejiang Provincial People&amp;apos;s Hospital, People&amp;apos;s Hospital of Hangzhou Medical College, Hangzhou, China.&lt;/auth-address&gt;&lt;titles&gt;&lt;title&gt;No Causal Association Between Adiponectin and the Risk of Rheumatoid Arthritis: A Mendelian Randomization Study&lt;/title&gt;&lt;secondary-title&gt;Front Genet&lt;/secondary-title&gt;&lt;/titles&gt;&lt;periodical&gt;&lt;full-title&gt;Front Genet&lt;/full-title&gt;&lt;/periodical&gt;&lt;pages&gt;670282&lt;/pages&gt;&lt;volume&gt;12&lt;/volume&gt;&lt;keywords&gt;&lt;keyword&gt;Mendelian randomization&lt;/keyword&gt;&lt;keyword&gt;adiponectin&lt;/keyword&gt;&lt;keyword&gt;bidirectional&lt;/keyword&gt;&lt;keyword&gt;causality&lt;/keyword&gt;&lt;keyword&gt;rheumatoid arthritis&lt;/keyword&gt;&lt;keyword&gt;commercial or financial relationships that could be construed as a potential&lt;/keyword&gt;&lt;keyword&gt;conflict of interest.&lt;/keyword&gt;&lt;/keywords&gt;&lt;dates&gt;&lt;year&gt;2021&lt;/year&gt;&lt;/dates&gt;&lt;isbn&gt;1664-8021 (Print)&amp;#xD;1664-8021 (Linking)&lt;/isbn&gt;&lt;accession-num&gt;34630505&lt;/accession-num&gt;&lt;urls&gt;&lt;related-urls&gt;&lt;url&gt;https://www.ncbi.nlm.nih.gov/pubmed/34630505&lt;/url&gt;&lt;/related-urls&gt;&lt;/urls&gt;&lt;custom2&gt;PMC8498100&lt;/custom2&gt;&lt;electronic-resource-num&gt;10.3389/fgene.2021.670282&lt;/electronic-resource-num&gt;&lt;/record&gt;&lt;/Cite&gt;&lt;/EndNote&gt;</w:instrText>
            </w:r>
            <w:r>
              <w:rPr>
                <w:rFonts w:ascii="Times New Roman" w:hAnsi="Times New Roman" w:eastAsia="宋体"/>
                <w:lang w:bidi="ar"/>
              </w:rPr>
              <w:fldChar w:fldCharType="separate"/>
            </w:r>
            <w:r>
              <w:rPr>
                <w:rFonts w:ascii="Times New Roman" w:hAnsi="Times New Roman" w:eastAsia="宋体"/>
                <w:lang w:bidi="ar"/>
              </w:rPr>
              <w:t>(Chen et al., 2021)</w:t>
            </w:r>
            <w:r>
              <w:rPr>
                <w:rFonts w:ascii="Times New Roman" w:hAnsi="Times New Roman" w:eastAsia="宋体"/>
                <w:lang w:bidi="ar"/>
              </w:rPr>
              <w:fldChar w:fldCharType="end"/>
            </w:r>
            <w:r>
              <w:rPr>
                <w:rStyle w:val="8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, where </w:t>
            </w:r>
            <w:r>
              <w:rPr>
                <w:rStyle w:val="6"/>
                <w:rFonts w:hint="default" w:ascii="Times New Roman" w:hAnsi="Times New Roman" w:eastAsia="等线" w:cs="Times New Roman"/>
                <w:b w:val="0"/>
                <w:bCs w:val="0"/>
                <w:i/>
                <w:iCs/>
                <w:color w:val="auto"/>
                <w:sz w:val="21"/>
                <w:szCs w:val="21"/>
                <w:lang w:val="en-US" w:eastAsia="zh-CN" w:bidi="ar"/>
              </w:rPr>
              <w:t>R</w:t>
            </w:r>
            <w:r>
              <w:rPr>
                <w:rStyle w:val="7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vertAlign w:val="superscript"/>
                <w:lang w:val="en-US" w:eastAsia="zh-CN" w:bidi="ar"/>
              </w:rPr>
              <w:t>2</w:t>
            </w:r>
            <w:r>
              <w:rPr>
                <w:rStyle w:val="8"/>
                <w:rFonts w:hint="default" w:ascii="Times New Roman" w:hAnsi="Times New Roman" w:eastAsia="等线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lang w:val="en-US" w:eastAsia="zh-CN" w:bidi="ar"/>
              </w:rPr>
              <w:t xml:space="preserve"> is the proportion of variance in SNP-T1D explained.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 w:val="0"/>
          <w:bCs w:val="0"/>
          <w:spacing w:val="12"/>
          <w:sz w:val="24"/>
          <w:szCs w:val="24"/>
        </w:rPr>
      </w:pPr>
      <w:bookmarkStart w:id="6" w:name="_Hlk81582683"/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Table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 xml:space="preserve">3 </w:t>
      </w:r>
      <w:r>
        <w:rPr>
          <w:rFonts w:hint="default" w:ascii="Times New Roman" w:hAnsi="Times New Roman" w:cs="Times New Roman"/>
          <w:b w:val="0"/>
          <w:bCs w:val="0"/>
          <w:spacing w:val="12"/>
          <w:sz w:val="24"/>
          <w:szCs w:val="24"/>
        </w:rPr>
        <w:t xml:space="preserve">Results for MR-Egger (intercept), Cochran’s Q test </w:t>
      </w:r>
      <w:r>
        <w:rPr>
          <w:rFonts w:hint="eastAsia" w:ascii="Times New Roman" w:hAnsi="Times New Roman" w:cs="Times New Roman"/>
          <w:b w:val="0"/>
          <w:bCs w:val="0"/>
          <w:spacing w:val="12"/>
          <w:sz w:val="24"/>
          <w:szCs w:val="24"/>
          <w:lang w:val="en-US" w:eastAsia="zh-CN"/>
        </w:rPr>
        <w:t>between CRP and T1D</w:t>
      </w:r>
      <w:r>
        <w:rPr>
          <w:rFonts w:hint="default" w:ascii="Times New Roman" w:hAnsi="Times New Roman" w:cs="Times New Roman"/>
          <w:b w:val="0"/>
          <w:bCs w:val="0"/>
          <w:spacing w:val="12"/>
          <w:sz w:val="24"/>
          <w:szCs w:val="24"/>
        </w:rPr>
        <w:t>.</w:t>
      </w:r>
    </w:p>
    <w:bookmarkEnd w:id="6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tbl>
      <w:tblPr>
        <w:tblStyle w:val="3"/>
        <w:tblW w:w="99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1420"/>
        <w:gridCol w:w="1060"/>
        <w:gridCol w:w="1260"/>
        <w:gridCol w:w="1060"/>
        <w:gridCol w:w="960"/>
        <w:gridCol w:w="1181"/>
        <w:gridCol w:w="1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8" w:type="dxa"/>
            <w:vMerge w:val="restart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40" w:type="dxa"/>
            <w:gridSpan w:val="3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MR-Egger Test</w:t>
            </w:r>
          </w:p>
        </w:tc>
        <w:tc>
          <w:tcPr>
            <w:tcW w:w="4462" w:type="dxa"/>
            <w:gridSpan w:val="4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Cochran’s Q Test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8" w:type="dxa"/>
            <w:vMerge w:val="continue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7" w:name="OLE_LINK8" w:colFirst="4" w:colLast="6"/>
          </w:p>
        </w:tc>
        <w:tc>
          <w:tcPr>
            <w:tcW w:w="1420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Intercept</w:t>
            </w:r>
          </w:p>
        </w:tc>
        <w:tc>
          <w:tcPr>
            <w:tcW w:w="1060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</w:t>
            </w:r>
          </w:p>
        </w:tc>
        <w:tc>
          <w:tcPr>
            <w:tcW w:w="1260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-value</w:t>
            </w:r>
          </w:p>
        </w:tc>
        <w:tc>
          <w:tcPr>
            <w:tcW w:w="106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</w:t>
            </w:r>
          </w:p>
        </w:tc>
        <w:tc>
          <w:tcPr>
            <w:tcW w:w="960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Q_df</w:t>
            </w:r>
          </w:p>
        </w:tc>
        <w:tc>
          <w:tcPr>
            <w:tcW w:w="1181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61" w:type="dxa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8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 on T1D</w:t>
            </w:r>
          </w:p>
        </w:tc>
        <w:tc>
          <w:tcPr>
            <w:tcW w:w="1420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</w:t>
            </w:r>
          </w:p>
        </w:tc>
        <w:tc>
          <w:tcPr>
            <w:tcW w:w="1060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260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</w:t>
            </w:r>
          </w:p>
        </w:tc>
        <w:tc>
          <w:tcPr>
            <w:tcW w:w="1060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5.022</w:t>
            </w:r>
          </w:p>
        </w:tc>
        <w:tc>
          <w:tcPr>
            <w:tcW w:w="960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81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0.438</w:t>
            </w:r>
          </w:p>
        </w:tc>
        <w:tc>
          <w:tcPr>
            <w:tcW w:w="1261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758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T1D on CRP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-0.001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11.24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8" w:name="OLE_LINK9"/>
            <w:bookmarkStart w:id="11" w:name="_GoBack"/>
            <w:r>
              <w:rPr>
                <w:rFonts w:hint="eastAsia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-15.658</w:t>
            </w:r>
            <w:bookmarkEnd w:id="8"/>
            <w:bookmarkEnd w:id="11"/>
          </w:p>
        </w:tc>
        <w:tc>
          <w:tcPr>
            <w:tcW w:w="1261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0.591</w:t>
            </w:r>
          </w:p>
        </w:tc>
      </w:tr>
      <w:bookmarkEnd w:id="7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960" w:type="dxa"/>
            <w:gridSpan w:val="8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was applied to estimate heterogeneity by the equation of (Q-Q_df)×100%/Q. And negative values of 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are put equal to zero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instrText xml:space="preserve"> ADDIN EN.CITE &lt;EndNote&gt;&lt;Cite&gt;&lt;Author&gt;Higgins&lt;/Author&gt;&lt;Year&gt;2003&lt;/Year&gt;&lt;RecNum&gt;588&lt;/RecNum&gt;&lt;DisplayText&gt;(Higgins et al., 2003)&lt;/DisplayText&gt;&lt;record&gt;&lt;rec-number&gt;588&lt;/rec-number&gt;&lt;foreign-keys&gt;&lt;key app="EN" db-id="pzdte92srvwdpaef5svxppah9sfs2avfx0de" timestamp="1637149694"&gt;588&lt;/key&gt;&lt;/foreign-keys&gt;&lt;ref-type name="Journal Article"&gt;17&lt;/ref-type&gt;&lt;contributors&gt;&lt;authors&gt;&lt;author&gt;Higgins, J. P.&lt;/author&gt;&lt;author&gt;Thompson, S. G.&lt;/author&gt;&lt;author&gt;Deeks, J. J.&lt;/author&gt;&lt;author&gt;Altman, D. G.&lt;/author&gt;&lt;/authors&gt;&lt;/contributors&gt;&lt;auth-address&gt;MRC Biostatistics Unit, Institute of Public Health, Cambridge CB2 2SR. julian.higgins@mrc-bsu.cam.ac.uk&lt;/auth-address&gt;&lt;titles&gt;&lt;title&gt;Measuring inconsistency in meta-analyses&lt;/title&gt;&lt;secondary-title&gt;BMJ&lt;/secondary-title&gt;&lt;/titles&gt;&lt;periodical&gt;&lt;full-title&gt;BMJ&lt;/full-title&gt;&lt;/periodical&gt;&lt;pages&gt;557-60&lt;/pages&gt;&lt;volume&gt;327&lt;/volume&gt;&lt;number&gt;7414&lt;/number&gt;&lt;edition&gt;2003/09/06&lt;/edition&gt;&lt;keywords&gt;&lt;keyword&gt;Data Interpretation, Statistical&lt;/keyword&gt;&lt;keyword&gt;*Meta-Analysis as Topic&lt;/keyword&gt;&lt;keyword&gt;Reproducibility of Results&lt;/keyword&gt;&lt;keyword&gt;Sensitivity and Specificity&lt;/keyword&gt;&lt;/keywords&gt;&lt;dates&gt;&lt;year&gt;2003&lt;/year&gt;&lt;pub-dates&gt;&lt;date&gt;Sep 6&lt;/date&gt;&lt;/pub-dates&gt;&lt;/dates&gt;&lt;isbn&gt;1756-1833 (Electronic)&amp;#xD;0959-8138 (Linking)&lt;/isbn&gt;&lt;accession-num&gt;12958120&lt;/accession-num&gt;&lt;urls&gt;&lt;related-urls&gt;&lt;url&gt;https://www.ncbi.nlm.nih.gov/pubmed/12958120&lt;/url&gt;&lt;/related-urls&gt;&lt;/urls&gt;&lt;custom2&gt;PMC192859&lt;/custom2&gt;&lt;electronic-resource-num&gt;10.1136/bmj.327.7414.557&lt;/electronic-resource-num&gt;&lt;/record&gt;&lt;/Cite&gt;&lt;/EndNote&gt;</w:instrTex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(Higgins et al., 2003)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Figure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Leave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-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one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-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out plots of SNPs associated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with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CRP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and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T1D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center"/>
        <w:rPr>
          <w:rFonts w:hint="eastAsia" w:ascii="Times New Roman" w:hAnsi="Times New Roman" w:cs="Times New Roman" w:eastAsiaTheme="minorEastAsia"/>
          <w:b/>
          <w:bCs/>
          <w:spacing w:val="12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pacing w:val="12"/>
          <w:sz w:val="24"/>
          <w:szCs w:val="24"/>
          <w:lang w:eastAsia="zh-CN"/>
        </w:rPr>
        <w:drawing>
          <wp:inline distT="0" distB="0" distL="114300" distR="114300">
            <wp:extent cx="4587240" cy="2758440"/>
            <wp:effectExtent l="0" t="0" r="0" b="0"/>
            <wp:docPr id="2" name="图片 2" descr="CRP-TID LEAVE ONE O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RP-TID LEAVE ONE OU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7240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/>
          <w:bCs/>
          <w:spacing w:val="12"/>
          <w:kern w:val="0"/>
          <w:sz w:val="24"/>
          <w:szCs w:val="24"/>
          <w:lang w:val="en-US" w:eastAsia="zh-CN" w:bidi="ar"/>
        </w:rPr>
        <w:t>Note: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Each row (black lines) represents the result after the removal of the corresponding SNP, and the overall effect is shown at the bottom (red line).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  <w:bookmarkStart w:id="9" w:name="OLE_LINK7"/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Figure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Forest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Scatter plots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of SNPs associated with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CRP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T1D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>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851265" cy="3329940"/>
            <wp:effectExtent l="0" t="0" r="3175" b="7620"/>
            <wp:docPr id="1" name="图片 1" descr="补充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补充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1265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/>
          <w:bCs/>
          <w:spacing w:val="12"/>
          <w:kern w:val="0"/>
          <w:sz w:val="24"/>
          <w:szCs w:val="24"/>
          <w:lang w:val="en-US" w:eastAsia="zh-CN" w:bidi="ar"/>
        </w:rPr>
        <w:t>Note: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Forest plot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(A):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Each row (black lines) represents the result after the removal of the corresponding SNP,with the horizontal lines indicating their 95% CIs. The overall MR estimate is represented by the center of the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red spots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, with the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red lines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indicating its 95% CI.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Scatter plots for MR analysis of the causal effect of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 xml:space="preserve">CRP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on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 xml:space="preserve">T1D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(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B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)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.</w:t>
      </w:r>
    </w:p>
    <w:bookmarkEnd w:id="9"/>
    <w:p>
      <w:pP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spacing w:line="360" w:lineRule="auto"/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Figure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Funnel plots of SNPs associated with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CRP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and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T1D.</w:t>
      </w:r>
    </w:p>
    <w:p>
      <w:pPr>
        <w:spacing w:line="360" w:lineRule="auto"/>
        <w:rPr>
          <w:rFonts w:hint="default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</w:pPr>
    </w:p>
    <w:p>
      <w:pPr>
        <w:jc w:val="center"/>
        <w:rPr>
          <w:rFonts w:hint="default" w:ascii="Times New Roman" w:hAnsi="Times New Roman" w:eastAsiaTheme="minorEastAsia" w:cstheme="minorBidi"/>
          <w:spacing w:val="12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587240" cy="3672840"/>
            <wp:effectExtent l="0" t="0" r="0" b="0"/>
            <wp:docPr id="3" name="图片 3" descr="CRP-TID FUNN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RP-TID FUNNEL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87240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eastAsiaTheme="minorEastAsia" w:cstheme="minorBidi"/>
          <w:spacing w:val="12"/>
          <w:sz w:val="24"/>
          <w:szCs w:val="24"/>
          <w:lang w:val="en-US" w:eastAsia="zh-CN"/>
        </w:rPr>
      </w:pPr>
      <w:r>
        <w:rPr>
          <w:rFonts w:hint="eastAsia" w:ascii="Times New Roman" w:hAnsi="Times New Roman" w:eastAsiaTheme="minorEastAsia" w:cstheme="minorBidi"/>
          <w:b/>
          <w:bCs/>
          <w:spacing w:val="12"/>
          <w:sz w:val="24"/>
          <w:szCs w:val="24"/>
        </w:rPr>
        <w:t>Note</w:t>
      </w:r>
      <w:r>
        <w:rPr>
          <w:rFonts w:hint="eastAsia" w:ascii="Times New Roman" w:hAnsi="Times New Roman" w:eastAsiaTheme="minorEastAsia" w:cstheme="minorBidi"/>
          <w:spacing w:val="12"/>
          <w:sz w:val="24"/>
          <w:szCs w:val="24"/>
        </w:rPr>
        <w:t>: The funnel plot showed that there was asymmetric.</w:t>
      </w:r>
    </w:p>
    <w:p>
      <w:pPr>
        <w:jc w:val="center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jc w:val="center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jc w:val="center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Figure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Leave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-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one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-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out plots of SNPs associated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with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T1D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and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CRP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center"/>
        <w:rPr>
          <w:rFonts w:hint="eastAsia" w:ascii="Times New Roman" w:hAnsi="Times New Roman" w:cs="Times New Roman" w:eastAsiaTheme="minorEastAsia"/>
          <w:b/>
          <w:bCs/>
          <w:spacing w:val="12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pacing w:val="12"/>
          <w:sz w:val="24"/>
          <w:szCs w:val="24"/>
          <w:lang w:eastAsia="zh-CN"/>
        </w:rPr>
        <w:drawing>
          <wp:inline distT="0" distB="0" distL="114300" distR="114300">
            <wp:extent cx="3573780" cy="4238625"/>
            <wp:effectExtent l="0" t="0" r="7620" b="13335"/>
            <wp:docPr id="4" name="图片 4" descr="TID-CRP LEAVE ONE O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ID-CRP LEAVE ONE OUT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73780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/>
          <w:bCs/>
          <w:spacing w:val="12"/>
          <w:kern w:val="0"/>
          <w:sz w:val="24"/>
          <w:szCs w:val="24"/>
          <w:lang w:val="en-US" w:eastAsia="zh-CN" w:bidi="ar"/>
        </w:rPr>
        <w:t>Note: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Each row (black lines) represents the result after the removal of the corresponding SNP, and the overall effect is shown at the bottom (red line).</w:t>
      </w:r>
    </w:p>
    <w:p>
      <w:pPr>
        <w:spacing w:line="360" w:lineRule="auto"/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Figure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Funnel plots of SNPs associated with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T1D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and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CRP.</w:t>
      </w:r>
    </w:p>
    <w:p>
      <w:pPr>
        <w:spacing w:line="360" w:lineRule="auto"/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center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572000" cy="3657600"/>
            <wp:effectExtent l="0" t="0" r="0" b="0"/>
            <wp:docPr id="5" name="图片 5" descr="TID-CRP FUNN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ID-CRP FUNNEL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left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Note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The funnel plot showed that there was basically symmetry.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center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center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center"/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default" w:ascii="Times New Roman" w:hAnsi="Times New Roman" w:cs="Times New Roman"/>
          <w:spacing w:val="12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pacing w:val="12"/>
          <w:sz w:val="24"/>
          <w:szCs w:val="24"/>
        </w:rPr>
        <w:t>Supplemental Figure S</w:t>
      </w:r>
      <w:r>
        <w:rPr>
          <w:rFonts w:hint="eastAsia" w:ascii="Times New Roman" w:hAnsi="Times New Roman" w:cs="Times New Roman"/>
          <w:b/>
          <w:bCs/>
          <w:spacing w:val="12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Forest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Scatter plots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of SNPs associated with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T1D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  <w:t>CRP</w:t>
      </w:r>
      <w:r>
        <w:rPr>
          <w:rFonts w:hint="default" w:ascii="Times New Roman" w:hAnsi="Times New Roman" w:cs="Times New Roman"/>
          <w:spacing w:val="12"/>
          <w:sz w:val="24"/>
          <w:szCs w:val="24"/>
        </w:rPr>
        <w:t>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8" w:lineRule="atLeast"/>
        <w:ind w:left="0" w:right="0"/>
        <w:jc w:val="both"/>
        <w:rPr>
          <w:rFonts w:hint="eastAsia" w:ascii="Times New Roman" w:hAnsi="Times New Roman" w:cs="Times New Roman"/>
          <w:spacing w:val="12"/>
          <w:sz w:val="24"/>
          <w:szCs w:val="24"/>
          <w:lang w:val="en-US"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31355" cy="4187190"/>
            <wp:effectExtent l="0" t="0" r="9525" b="3810"/>
            <wp:docPr id="6" name="图片 6" descr="补充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补充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031355" cy="418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 w:eastAsiaTheme="minorEastAsia"/>
          <w:b/>
          <w:bCs/>
          <w:spacing w:val="12"/>
          <w:kern w:val="0"/>
          <w:sz w:val="24"/>
          <w:szCs w:val="24"/>
          <w:lang w:val="en-US" w:eastAsia="zh-CN" w:bidi="ar"/>
        </w:rPr>
        <w:t>Note: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Forest plot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(A):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Each row (black lines) represents the result after the removal of the corresponding SNP,with the horizontal lines indicating their 95% CIs. The overall MR estimate is represented by the center of the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red spots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, with the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red lines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 indicating its 95% CI.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Scatter plots for MR analysis of the causal effect of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T1D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 xml:space="preserve">on 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 xml:space="preserve">CRP 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(</w:t>
      </w:r>
      <w:r>
        <w:rPr>
          <w:rFonts w:hint="eastAsia" w:ascii="Times New Roman" w:hAnsi="Times New Roman" w:cs="Times New Roman"/>
          <w:spacing w:val="12"/>
          <w:kern w:val="0"/>
          <w:sz w:val="24"/>
          <w:szCs w:val="24"/>
          <w:lang w:val="en-US" w:eastAsia="zh-CN" w:bidi="ar"/>
        </w:rPr>
        <w:t>B</w:t>
      </w:r>
      <w:r>
        <w:rPr>
          <w:rFonts w:hint="eastAsia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)</w:t>
      </w:r>
      <w: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  <w:t>.</w:t>
      </w:r>
    </w:p>
    <w:p>
      <w:pP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p>
      <w:pP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44"/>
          <w14:textFill>
            <w14:solidFill>
              <w14:schemeClr w14:val="tx1"/>
            </w14:solidFill>
          </w14:textFill>
        </w:rPr>
        <w:t>References</w:t>
      </w:r>
    </w:p>
    <w:p>
      <w:pPr>
        <w:pStyle w:val="15"/>
        <w:ind w:left="720" w:hanging="720"/>
      </w:pPr>
      <w:r>
        <w:t xml:space="preserve">Chen, H., Mi, S., Zhu, J., Jin, W., Li, Y., Wang, T., et al. (2021). </w:t>
      </w:r>
      <w:bookmarkStart w:id="10" w:name="OLE_LINK92"/>
      <w:r>
        <w:t>No Causal Association Between Adiponectin and the Risk of Rheumatoid Arthritis: A Mendelian Randomization Study</w:t>
      </w:r>
      <w:bookmarkEnd w:id="10"/>
      <w:r>
        <w:t xml:space="preserve">. </w:t>
      </w:r>
      <w:r>
        <w:rPr>
          <w:i/>
        </w:rPr>
        <w:t>Front Genet</w:t>
      </w:r>
      <w:r>
        <w:t xml:space="preserve"> 12</w:t>
      </w:r>
      <w:r>
        <w:rPr>
          <w:b/>
        </w:rPr>
        <w:t>,</w:t>
      </w:r>
      <w:r>
        <w:t xml:space="preserve"> 670282. doi: 10.3389/fgene.2021.670282.</w:t>
      </w:r>
    </w:p>
    <w:p>
      <w:pPr>
        <w:pStyle w:val="15"/>
        <w:ind w:left="720" w:hanging="720"/>
        <w:rPr>
          <w:b w:val="0"/>
          <w:bCs w:val="0"/>
          <w:sz w:val="21"/>
          <w:szCs w:val="21"/>
        </w:rPr>
      </w:pPr>
      <w:r>
        <w:rPr>
          <w:b w:val="0"/>
          <w:bCs w:val="0"/>
          <w:sz w:val="21"/>
          <w:szCs w:val="21"/>
        </w:rPr>
        <w:t xml:space="preserve">Higgins, J.P., Thompson, S.G., Deeks, J.J., and Altman, D.G. (2003). Measuring inconsistency in meta-analyses. </w:t>
      </w:r>
      <w:r>
        <w:rPr>
          <w:b w:val="0"/>
          <w:bCs w:val="0"/>
          <w:i/>
          <w:sz w:val="21"/>
          <w:szCs w:val="21"/>
        </w:rPr>
        <w:t>BMJ</w:t>
      </w:r>
      <w:r>
        <w:rPr>
          <w:b w:val="0"/>
          <w:bCs w:val="0"/>
          <w:sz w:val="21"/>
          <w:szCs w:val="21"/>
        </w:rPr>
        <w:t xml:space="preserve"> 327(7414), 557-560. doi: 10.1136/bmj.327.7414.557.</w:t>
      </w:r>
    </w:p>
    <w:p>
      <w:pPr>
        <w:pStyle w:val="15"/>
        <w:ind w:left="720" w:hanging="720"/>
      </w:pPr>
    </w:p>
    <w:p>
      <w:pPr>
        <w:rPr>
          <w:rFonts w:hint="default" w:ascii="Times New Roman" w:hAnsi="Times New Roman" w:cs="Times New Roman" w:eastAsiaTheme="minorEastAsia"/>
          <w:spacing w:val="12"/>
          <w:kern w:val="0"/>
          <w:sz w:val="24"/>
          <w:szCs w:val="24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kYWY1OTc4MjFkNDdiZWNmNDkyMWNlNDY3YjRjNjAifQ=="/>
  </w:docVars>
  <w:rsids>
    <w:rsidRoot w:val="146E6E06"/>
    <w:rsid w:val="09D5345C"/>
    <w:rsid w:val="0CDA5812"/>
    <w:rsid w:val="146E6E06"/>
    <w:rsid w:val="33812706"/>
    <w:rsid w:val="3EB16A87"/>
    <w:rsid w:val="48FC4CD7"/>
    <w:rsid w:val="4C5E390E"/>
    <w:rsid w:val="4F116EEC"/>
    <w:rsid w:val="52820AED"/>
    <w:rsid w:val="58DD04F7"/>
    <w:rsid w:val="5B42115E"/>
    <w:rsid w:val="631C0C0F"/>
    <w:rsid w:val="6C475AD9"/>
    <w:rsid w:val="7657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71"/>
    <w:basedOn w:val="4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  <w:vertAlign w:val="subscript"/>
    </w:rPr>
  </w:style>
  <w:style w:type="character" w:customStyle="1" w:styleId="6">
    <w:name w:val="font31"/>
    <w:basedOn w:val="4"/>
    <w:qFormat/>
    <w:uiPriority w:val="0"/>
    <w:rPr>
      <w:rFonts w:hint="default" w:ascii="Times New Roman" w:hAnsi="Times New Roman" w:cs="Times New Roman"/>
      <w:i/>
      <w:iCs/>
      <w:color w:val="000000"/>
      <w:sz w:val="21"/>
      <w:szCs w:val="21"/>
      <w:u w:val="none"/>
    </w:rPr>
  </w:style>
  <w:style w:type="character" w:customStyle="1" w:styleId="7">
    <w:name w:val="font21"/>
    <w:basedOn w:val="4"/>
    <w:qFormat/>
    <w:uiPriority w:val="0"/>
    <w:rPr>
      <w:rFonts w:hint="default" w:ascii="Times New Roman" w:hAnsi="Times New Roman" w:cs="Times New Roman"/>
      <w:i/>
      <w:iCs/>
      <w:color w:val="000000"/>
      <w:sz w:val="21"/>
      <w:szCs w:val="21"/>
      <w:u w:val="none"/>
      <w:vertAlign w:val="superscript"/>
    </w:rPr>
  </w:style>
  <w:style w:type="character" w:customStyle="1" w:styleId="8">
    <w:name w:val="font41"/>
    <w:basedOn w:val="4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">
    <w:name w:val="font51"/>
    <w:basedOn w:val="4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perscript"/>
    </w:rPr>
  </w:style>
  <w:style w:type="character" w:customStyle="1" w:styleId="10">
    <w:name w:val="font1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10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12">
    <w:name w:val="font112"/>
    <w:basedOn w:val="4"/>
    <w:qFormat/>
    <w:uiPriority w:val="0"/>
    <w:rPr>
      <w:rFonts w:hint="default" w:ascii="Times New Roman" w:hAnsi="Times New Roman" w:cs="Times New Roman"/>
      <w:color w:val="FF0000"/>
      <w:sz w:val="20"/>
      <w:szCs w:val="20"/>
      <w:u w:val="none"/>
      <w:vertAlign w:val="superscript"/>
    </w:rPr>
  </w:style>
  <w:style w:type="character" w:customStyle="1" w:styleId="13">
    <w:name w:val="font01"/>
    <w:basedOn w:val="4"/>
    <w:qFormat/>
    <w:uiPriority w:val="0"/>
    <w:rPr>
      <w:rFonts w:hint="eastAsia" w:ascii="微软雅黑" w:hAnsi="微软雅黑" w:eastAsia="微软雅黑" w:cs="微软雅黑"/>
      <w:b/>
      <w:bCs/>
      <w:color w:val="000000"/>
      <w:sz w:val="20"/>
      <w:szCs w:val="20"/>
      <w:u w:val="none"/>
    </w:rPr>
  </w:style>
  <w:style w:type="character" w:customStyle="1" w:styleId="14">
    <w:name w:val="font61"/>
    <w:basedOn w:val="4"/>
    <w:qFormat/>
    <w:uiPriority w:val="0"/>
    <w:rPr>
      <w:rFonts w:hint="eastAsia" w:ascii="微软雅黑" w:hAnsi="微软雅黑" w:eastAsia="微软雅黑" w:cs="微软雅黑"/>
      <w:b/>
      <w:bCs/>
      <w:color w:val="000000"/>
      <w:sz w:val="20"/>
      <w:szCs w:val="20"/>
      <w:u w:val="none"/>
      <w:vertAlign w:val="superscript"/>
    </w:rPr>
  </w:style>
  <w:style w:type="paragraph" w:customStyle="1" w:styleId="15">
    <w:name w:val="EndNote Bibliography"/>
    <w:basedOn w:val="1"/>
    <w:qFormat/>
    <w:uiPriority w:val="0"/>
    <w:rPr>
      <w:rFonts w:ascii="Calibri" w:hAnsi="Calibri" w:cs="Calibri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1126</Words>
  <Characters>6012</Characters>
  <Lines>0</Lines>
  <Paragraphs>0</Paragraphs>
  <TotalTime>0</TotalTime>
  <ScaleCrop>false</ScaleCrop>
  <LinksUpToDate>false</LinksUpToDate>
  <CharactersWithSpaces>6640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2022-08-18T06:23:00Z</dcterms:created>
  <dc:creator>TFY</dc:creator>
  <cp:lastModifiedBy>TFY</cp:lastModifiedBy>
  <dcterms:modified xsi:type="dcterms:W3CDTF">2022-08-21T07:04:25Z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988C5A97D2094B17A366A96940A3C22F</vt:lpwstr>
  </property>
</Properties>
</file>