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319A0" w14:textId="77777777" w:rsidR="0090211D" w:rsidRPr="00A3738F" w:rsidRDefault="0090211D" w:rsidP="0090211D">
      <w:pPr>
        <w:jc w:val="center"/>
        <w:rPr>
          <w:rFonts w:ascii="Times New Roman" w:hAnsi="Times New Roman" w:cs="Times New Roman"/>
          <w:b/>
          <w:color w:val="000000" w:themeColor="text1"/>
          <w:sz w:val="24"/>
          <w:szCs w:val="24"/>
        </w:rPr>
      </w:pPr>
      <w:r w:rsidRPr="00A3738F">
        <w:rPr>
          <w:rFonts w:ascii="Times New Roman" w:hAnsi="Times New Roman" w:cs="Times New Roman"/>
          <w:b/>
          <w:color w:val="000000" w:themeColor="text1"/>
          <w:sz w:val="24"/>
          <w:szCs w:val="24"/>
        </w:rPr>
        <w:t>Online supplementary appendix</w:t>
      </w:r>
    </w:p>
    <w:p w14:paraId="138B001F" w14:textId="77777777" w:rsidR="0090211D" w:rsidRPr="00246125" w:rsidRDefault="0090211D" w:rsidP="0090211D">
      <w:pPr>
        <w:rPr>
          <w:rFonts w:ascii="Times New Roman" w:hAnsi="Times New Roman" w:cs="Times New Roman"/>
          <w:color w:val="262626"/>
          <w:sz w:val="24"/>
          <w:szCs w:val="24"/>
        </w:rPr>
      </w:pPr>
    </w:p>
    <w:p w14:paraId="56905571" w14:textId="77777777" w:rsidR="0090211D" w:rsidRPr="00246125" w:rsidRDefault="0090211D" w:rsidP="0090211D">
      <w:pPr>
        <w:rPr>
          <w:rFonts w:ascii="Times New Roman" w:hAnsi="Times New Roman" w:cs="Times New Roman"/>
          <w:color w:val="262626"/>
          <w:sz w:val="24"/>
          <w:szCs w:val="24"/>
        </w:rPr>
      </w:pPr>
      <w:r w:rsidRPr="00246125">
        <w:rPr>
          <w:rFonts w:ascii="Times New Roman" w:hAnsi="Times New Roman" w:cs="Times New Roman"/>
          <w:b/>
          <w:color w:val="262626"/>
          <w:sz w:val="24"/>
          <w:szCs w:val="24"/>
        </w:rPr>
        <w:t xml:space="preserve">1- Interactive model: </w:t>
      </w:r>
      <w:hyperlink r:id="rId5">
        <w:r w:rsidRPr="00246125">
          <w:rPr>
            <w:rFonts w:ascii="Times New Roman" w:hAnsi="Times New Roman" w:cs="Times New Roman"/>
            <w:color w:val="1155CC"/>
            <w:sz w:val="24"/>
            <w:szCs w:val="24"/>
            <w:u w:val="single"/>
          </w:rPr>
          <w:t>https://usjuroteam.github.io/BC_COI/</w:t>
        </w:r>
      </w:hyperlink>
    </w:p>
    <w:p w14:paraId="7A2AA205" w14:textId="77777777" w:rsidR="0090211D" w:rsidRPr="00246125" w:rsidRDefault="0090211D" w:rsidP="0090211D">
      <w:pPr>
        <w:rPr>
          <w:rFonts w:ascii="Times New Roman" w:hAnsi="Times New Roman" w:cs="Times New Roman"/>
          <w:b/>
          <w:color w:val="262626"/>
          <w:sz w:val="24"/>
          <w:szCs w:val="24"/>
          <w:shd w:val="clear" w:color="auto" w:fill="FFFF0B"/>
        </w:rPr>
      </w:pPr>
    </w:p>
    <w:p w14:paraId="50968F14" w14:textId="77777777" w:rsidR="0090211D" w:rsidRPr="00246125" w:rsidRDefault="0090211D" w:rsidP="0090211D">
      <w:pPr>
        <w:rPr>
          <w:rFonts w:ascii="Times New Roman" w:hAnsi="Times New Roman" w:cs="Times New Roman"/>
          <w:b/>
          <w:sz w:val="24"/>
          <w:szCs w:val="24"/>
        </w:rPr>
      </w:pPr>
      <w:r w:rsidRPr="00246125">
        <w:rPr>
          <w:rFonts w:ascii="Times New Roman" w:hAnsi="Times New Roman" w:cs="Times New Roman"/>
          <w:b/>
          <w:sz w:val="24"/>
          <w:szCs w:val="24"/>
        </w:rPr>
        <w:t>2- Assumptions for the model’s structure</w:t>
      </w:r>
    </w:p>
    <w:p w14:paraId="3AFBD672" w14:textId="77777777" w:rsidR="0090211D" w:rsidRPr="00246125" w:rsidRDefault="0090211D" w:rsidP="00B82E7F">
      <w:pPr>
        <w:numPr>
          <w:ilvl w:val="0"/>
          <w:numId w:val="2"/>
        </w:numPr>
        <w:spacing w:before="240"/>
        <w:rPr>
          <w:rFonts w:ascii="Times New Roman" w:hAnsi="Times New Roman" w:cs="Times New Roman"/>
          <w:sz w:val="24"/>
          <w:szCs w:val="24"/>
        </w:rPr>
      </w:pPr>
      <w:r w:rsidRPr="00246125">
        <w:rPr>
          <w:rFonts w:ascii="Times New Roman" w:hAnsi="Times New Roman" w:cs="Times New Roman"/>
          <w:sz w:val="24"/>
          <w:szCs w:val="24"/>
          <w:highlight w:val="white"/>
        </w:rPr>
        <w:t>For patients who have undergone delayed TURBT: half of the proportion corresponding to each risk group is added to the higher group, considering that late presentation increases the risk of progression</w:t>
      </w:r>
    </w:p>
    <w:p w14:paraId="6A5EA7A2" w14:textId="77777777" w:rsidR="0090211D" w:rsidRPr="00246125" w:rsidRDefault="0090211D" w:rsidP="00B82E7F">
      <w:pPr>
        <w:numPr>
          <w:ilvl w:val="0"/>
          <w:numId w:val="2"/>
        </w:numPr>
        <w:rPr>
          <w:rFonts w:ascii="Times New Roman" w:hAnsi="Times New Roman" w:cs="Times New Roman"/>
          <w:sz w:val="24"/>
          <w:szCs w:val="24"/>
        </w:rPr>
      </w:pPr>
      <w:r w:rsidRPr="00246125">
        <w:rPr>
          <w:rFonts w:ascii="Times New Roman" w:hAnsi="Times New Roman" w:cs="Times New Roman"/>
          <w:sz w:val="24"/>
          <w:szCs w:val="24"/>
        </w:rPr>
        <w:t xml:space="preserve">The frequency of procedures in the suboptimal follow-up are similar to those in the optimal lower-stage follow-up, without early postoperative intravesical instillation of chemotherapy if indicated. </w:t>
      </w:r>
    </w:p>
    <w:p w14:paraId="4C51D1FC" w14:textId="77777777" w:rsidR="0090211D" w:rsidRPr="00246125" w:rsidRDefault="0090211D" w:rsidP="00B82E7F">
      <w:pPr>
        <w:numPr>
          <w:ilvl w:val="0"/>
          <w:numId w:val="2"/>
        </w:numPr>
        <w:rPr>
          <w:rFonts w:ascii="Times New Roman" w:hAnsi="Times New Roman" w:cs="Times New Roman"/>
          <w:sz w:val="24"/>
          <w:szCs w:val="24"/>
        </w:rPr>
      </w:pPr>
      <w:r w:rsidRPr="00246125">
        <w:rPr>
          <w:rFonts w:ascii="Times New Roman" w:hAnsi="Times New Roman" w:cs="Times New Roman"/>
          <w:sz w:val="24"/>
          <w:szCs w:val="24"/>
        </w:rPr>
        <w:t>The number of procedures in the suboptimal follow-up for low-risk BC patients is half the number of procedures in the optimal follow-up for the low-risk BC patients.</w:t>
      </w:r>
    </w:p>
    <w:p w14:paraId="79F18C1B" w14:textId="77777777" w:rsidR="0090211D" w:rsidRPr="00246125" w:rsidRDefault="0090211D" w:rsidP="00B82E7F">
      <w:pPr>
        <w:numPr>
          <w:ilvl w:val="0"/>
          <w:numId w:val="2"/>
        </w:numPr>
        <w:rPr>
          <w:rFonts w:ascii="Times New Roman" w:hAnsi="Times New Roman" w:cs="Times New Roman"/>
          <w:sz w:val="24"/>
          <w:szCs w:val="24"/>
        </w:rPr>
      </w:pPr>
      <w:r w:rsidRPr="00246125">
        <w:rPr>
          <w:rFonts w:ascii="Times New Roman" w:hAnsi="Times New Roman" w:cs="Times New Roman"/>
          <w:sz w:val="24"/>
          <w:szCs w:val="24"/>
        </w:rPr>
        <w:t>The suboptimal follow-up of the low-risk BC is equivalent in number and frequency of procedures to half the optimal follow-up of the same stage.</w:t>
      </w:r>
    </w:p>
    <w:p w14:paraId="4298E6AA" w14:textId="77777777" w:rsidR="0090211D" w:rsidRPr="00246125" w:rsidRDefault="0090211D" w:rsidP="00B82E7F">
      <w:pPr>
        <w:numPr>
          <w:ilvl w:val="0"/>
          <w:numId w:val="2"/>
        </w:numPr>
        <w:rPr>
          <w:rFonts w:ascii="Times New Roman" w:hAnsi="Times New Roman" w:cs="Times New Roman"/>
          <w:sz w:val="24"/>
          <w:szCs w:val="24"/>
        </w:rPr>
      </w:pPr>
      <w:r w:rsidRPr="00246125">
        <w:rPr>
          <w:rFonts w:ascii="Times New Roman" w:hAnsi="Times New Roman" w:cs="Times New Roman"/>
          <w:sz w:val="24"/>
          <w:szCs w:val="24"/>
        </w:rPr>
        <w:t>Suboptimal scenarios had less neo-adjuvant and adjuvant treatments (no neo-adjuvant chemotherapy, less stringent intra-vesical instillations)</w:t>
      </w:r>
    </w:p>
    <w:p w14:paraId="6B795C11" w14:textId="77777777" w:rsidR="0090211D" w:rsidRPr="00246125" w:rsidRDefault="0090211D" w:rsidP="00B82E7F">
      <w:pPr>
        <w:numPr>
          <w:ilvl w:val="0"/>
          <w:numId w:val="2"/>
        </w:numPr>
        <w:spacing w:before="240"/>
        <w:rPr>
          <w:rFonts w:ascii="Times New Roman" w:hAnsi="Times New Roman" w:cs="Times New Roman"/>
          <w:sz w:val="24"/>
          <w:szCs w:val="24"/>
        </w:rPr>
      </w:pPr>
      <w:r w:rsidRPr="00246125">
        <w:rPr>
          <w:rFonts w:ascii="Times New Roman" w:hAnsi="Times New Roman" w:cs="Times New Roman"/>
          <w:sz w:val="24"/>
          <w:szCs w:val="24"/>
        </w:rPr>
        <w:t>Recurrence and progression rates in the suboptimal scenario of a stage are equivalent to the average of the rates in the optimal scenarios of the same stage and the higher stage.</w:t>
      </w:r>
    </w:p>
    <w:p w14:paraId="29CDE1E7" w14:textId="77777777" w:rsidR="0090211D" w:rsidRPr="00246125" w:rsidRDefault="0090211D" w:rsidP="00B82E7F">
      <w:pPr>
        <w:numPr>
          <w:ilvl w:val="0"/>
          <w:numId w:val="2"/>
        </w:numPr>
        <w:rPr>
          <w:rFonts w:ascii="Times New Roman" w:hAnsi="Times New Roman" w:cs="Times New Roman"/>
          <w:sz w:val="24"/>
          <w:szCs w:val="24"/>
        </w:rPr>
      </w:pPr>
      <w:r w:rsidRPr="00246125">
        <w:rPr>
          <w:rFonts w:ascii="Times New Roman" w:hAnsi="Times New Roman" w:cs="Times New Roman"/>
          <w:sz w:val="24"/>
          <w:szCs w:val="24"/>
        </w:rPr>
        <w:t>The cost of the "death" arm in each BC stage is equivalent to half the arm of patients who remain alive at the end of the 5-year follow-up, assuming that death occurs when the patient has undergone half the procedures.</w:t>
      </w:r>
    </w:p>
    <w:p w14:paraId="5A6019C8" w14:textId="77777777" w:rsidR="0090211D" w:rsidRPr="00246125" w:rsidRDefault="0090211D" w:rsidP="00B82E7F">
      <w:pPr>
        <w:numPr>
          <w:ilvl w:val="0"/>
          <w:numId w:val="2"/>
        </w:numPr>
        <w:rPr>
          <w:rFonts w:ascii="Times New Roman" w:hAnsi="Times New Roman" w:cs="Times New Roman"/>
          <w:sz w:val="24"/>
          <w:szCs w:val="24"/>
        </w:rPr>
      </w:pPr>
      <w:r w:rsidRPr="00246125">
        <w:rPr>
          <w:rFonts w:ascii="Times New Roman" w:hAnsi="Times New Roman" w:cs="Times New Roman"/>
          <w:sz w:val="24"/>
          <w:szCs w:val="24"/>
        </w:rPr>
        <w:t>The cost of the "no treatment" arm of a BC stage is equal to the cost of the higher stage, assuming that the patient will return later in a more advanced stage.</w:t>
      </w:r>
    </w:p>
    <w:p w14:paraId="33C9F6B5" w14:textId="77777777" w:rsidR="0090211D" w:rsidRPr="00246125" w:rsidRDefault="0090211D" w:rsidP="00B82E7F">
      <w:pPr>
        <w:numPr>
          <w:ilvl w:val="0"/>
          <w:numId w:val="2"/>
        </w:numPr>
        <w:rPr>
          <w:rFonts w:ascii="Times New Roman" w:hAnsi="Times New Roman" w:cs="Times New Roman"/>
          <w:sz w:val="24"/>
          <w:szCs w:val="24"/>
        </w:rPr>
      </w:pPr>
      <w:r w:rsidRPr="00246125">
        <w:rPr>
          <w:rFonts w:ascii="Times New Roman" w:hAnsi="Times New Roman" w:cs="Times New Roman"/>
          <w:sz w:val="24"/>
          <w:szCs w:val="24"/>
        </w:rPr>
        <w:t>If present, progression occurs at the end of the first year of follow-up for all stages.</w:t>
      </w:r>
    </w:p>
    <w:p w14:paraId="660A4A8E" w14:textId="77777777" w:rsidR="0090211D" w:rsidRPr="00246125" w:rsidRDefault="0090211D" w:rsidP="00B82E7F">
      <w:pPr>
        <w:numPr>
          <w:ilvl w:val="0"/>
          <w:numId w:val="2"/>
        </w:numPr>
        <w:rPr>
          <w:rFonts w:ascii="Times New Roman" w:hAnsi="Times New Roman" w:cs="Times New Roman"/>
          <w:sz w:val="24"/>
          <w:szCs w:val="24"/>
        </w:rPr>
      </w:pPr>
      <w:r w:rsidRPr="00246125">
        <w:rPr>
          <w:rFonts w:ascii="Times New Roman" w:hAnsi="Times New Roman" w:cs="Times New Roman"/>
          <w:sz w:val="24"/>
          <w:szCs w:val="24"/>
        </w:rPr>
        <w:t>After 2 recurrences under intravesical chemotherapy instillation in intermediate-risk BC, there is a switch to intravesical BCG protocol.</w:t>
      </w:r>
    </w:p>
    <w:p w14:paraId="33DB0A65" w14:textId="0965DA7D" w:rsidR="0090211D" w:rsidRPr="00246125" w:rsidRDefault="0090211D" w:rsidP="00B82E7F">
      <w:pPr>
        <w:numPr>
          <w:ilvl w:val="0"/>
          <w:numId w:val="2"/>
        </w:numPr>
        <w:rPr>
          <w:rFonts w:ascii="Times New Roman" w:hAnsi="Times New Roman" w:cs="Times New Roman"/>
          <w:sz w:val="24"/>
          <w:szCs w:val="24"/>
        </w:rPr>
      </w:pPr>
      <w:r w:rsidRPr="00246125">
        <w:rPr>
          <w:rFonts w:ascii="Times New Roman" w:hAnsi="Times New Roman" w:cs="Times New Roman"/>
          <w:sz w:val="24"/>
          <w:szCs w:val="24"/>
        </w:rPr>
        <w:t xml:space="preserve">The cost of procedures complications is 30% of the total direct cost, as found by </w:t>
      </w:r>
      <w:proofErr w:type="spellStart"/>
      <w:r w:rsidRPr="00246125">
        <w:rPr>
          <w:rFonts w:ascii="Times New Roman" w:hAnsi="Times New Roman" w:cs="Times New Roman"/>
          <w:sz w:val="24"/>
          <w:szCs w:val="24"/>
        </w:rPr>
        <w:t>Avritscher</w:t>
      </w:r>
      <w:proofErr w:type="spellEnd"/>
      <w:r w:rsidRPr="00246125">
        <w:rPr>
          <w:rFonts w:ascii="Times New Roman" w:hAnsi="Times New Roman" w:cs="Times New Roman"/>
          <w:sz w:val="24"/>
          <w:szCs w:val="24"/>
        </w:rPr>
        <w:t xml:space="preserve"> et al</w:t>
      </w:r>
      <w:r w:rsidR="00A3738F">
        <w:rPr>
          <w:rFonts w:ascii="Times New Roman" w:hAnsi="Times New Roman" w:cs="Times New Roman"/>
          <w:sz w:val="24"/>
          <w:szCs w:val="24"/>
        </w:rPr>
        <w:fldChar w:fldCharType="begin"/>
      </w:r>
      <w:r w:rsidR="00A3738F">
        <w:rPr>
          <w:rFonts w:ascii="Times New Roman" w:hAnsi="Times New Roman" w:cs="Times New Roman"/>
          <w:sz w:val="24"/>
          <w:szCs w:val="24"/>
        </w:rPr>
        <w:instrText xml:space="preserve"> ADDIN ZOTERO_ITEM CSL_CITATION {"citationID":"9Ckgx2RT","properties":{"formattedCitation":"\\super 1\\nosupersub{}","plainCitation":"1","noteIndex":0},"citationItems":[{"id":103,"uris":["http://zotero.org/users/local/Z5e8NY2W/items/YALYVTXA"],"itemData":{"id":103,"type":"article-journal","abstract":"OBJECTIVES: To estimate the lifetime cost of bladder cancer and the contribution of complications to the total costs.\nMETHODS: We reviewed the medical records of a retrospective cohort of 208 patients with bladder cancer who registered at our comprehensive cancer center from 1991 to 1999. We multiplied the number of resources used during management of bladder cancer by their unit charges. We converted charges into costs using the Medicare cost-to-charge ratio and inflated these to 2005 U.S. dollars. We estimated future costs by creating two extreme hypothetical scenarios. In the best-case scenario, we assumed patients with superficial disease developed recurrences at the cohort's mean rate and that patients with muscle-invasive disease were disease free after definitive therapy. Survival was based on the U.S. life expectancy in both cases. In the worst-case scenario, we assumed patients with superficial disease developed muscle-invasive disease and that all patients subsequently died of bladder cancer.\nRESULTS: The average cost of bladder cancer was 65,158 dollars among the cohort patients. Sixty percent of this cost (39,393 dollars) was associated with surveillance and treatment of recurrences, and 30% (19,811 dollars) was attributable to complications. The lifetime cost of bladder cancer was lower for the worst-case scenario (99,270 dollars) than for the best-case scenario (120,684 dollars). However, a greater proportion of the costs were attributable to complications with the worst-case scenario (43%, 42,290 dollars) compared with the best (28%, 34,169 dollars).\nCONCLUSIONS: The management of bladder cancer and its associated complications results in a major economic burden. More cost-effective surveillance strategies and approaches for preventing complications are crucial to minimizing the disease's clinical and economic consequences.","container-title":"Urology","DOI":"10.1016/j.urology.2006.03.062","ISSN":"1527-9995","issue":"3","journalAbbreviation":"Urology","language":"eng","note":"PMID: 16979735","page":"549-553","source":"PubMed","title":"Clinical model of lifetime cost of treating bladder cancer and associated complications","volume":"68","author":[{"family":"Avritscher","given":"Elenir B. C."},{"family":"Cooksley","given":"Catherine D."},{"family":"Grossman","given":"H. Barton"},{"family":"Sabichi","given":"Anita L."},{"family":"Hamblin","given":"Lois"},{"family":"Dinney","given":"Colin P."},{"family":"Elting","given":"Linda S."}],"issued":{"date-parts":[["2006",9]]}}}],"schema":"https://github.com/citation-style-language/schema/raw/master/csl-citation.json"} </w:instrText>
      </w:r>
      <w:r w:rsidR="00A3738F">
        <w:rPr>
          <w:rFonts w:ascii="Times New Roman" w:hAnsi="Times New Roman" w:cs="Times New Roman"/>
          <w:sz w:val="24"/>
          <w:szCs w:val="24"/>
        </w:rPr>
        <w:fldChar w:fldCharType="separate"/>
      </w:r>
      <w:r w:rsidR="00A3738F" w:rsidRPr="00A3738F">
        <w:rPr>
          <w:rFonts w:ascii="Times New Roman" w:hAnsi="Times New Roman" w:cs="Times New Roman"/>
          <w:sz w:val="24"/>
          <w:szCs w:val="24"/>
          <w:vertAlign w:val="superscript"/>
        </w:rPr>
        <w:t>1</w:t>
      </w:r>
      <w:r w:rsidR="00A3738F">
        <w:rPr>
          <w:rFonts w:ascii="Times New Roman" w:hAnsi="Times New Roman" w:cs="Times New Roman"/>
          <w:sz w:val="24"/>
          <w:szCs w:val="24"/>
        </w:rPr>
        <w:fldChar w:fldCharType="end"/>
      </w:r>
      <w:r w:rsidR="00A3738F">
        <w:rPr>
          <w:rFonts w:ascii="Times New Roman" w:hAnsi="Times New Roman" w:cs="Times New Roman"/>
          <w:sz w:val="24"/>
          <w:szCs w:val="24"/>
        </w:rPr>
        <w:t>.</w:t>
      </w:r>
    </w:p>
    <w:p w14:paraId="017B599D" w14:textId="2B1B3E24" w:rsidR="00A3738F" w:rsidRDefault="0090211D" w:rsidP="00B82E7F">
      <w:pPr>
        <w:numPr>
          <w:ilvl w:val="0"/>
          <w:numId w:val="2"/>
        </w:numPr>
        <w:spacing w:after="360"/>
        <w:rPr>
          <w:rFonts w:ascii="Times New Roman" w:hAnsi="Times New Roman" w:cs="Times New Roman"/>
          <w:sz w:val="24"/>
          <w:szCs w:val="24"/>
        </w:rPr>
      </w:pPr>
      <w:r w:rsidRPr="00246125">
        <w:rPr>
          <w:rFonts w:ascii="Times New Roman" w:hAnsi="Times New Roman" w:cs="Times New Roman"/>
          <w:sz w:val="24"/>
          <w:szCs w:val="24"/>
        </w:rPr>
        <w:t>Because progression and mortality rates for metastatic BC receiving a first line of chemotherapy are missing, we assumed they are equal to those for the first line of immunotherapy.</w:t>
      </w:r>
    </w:p>
    <w:p w14:paraId="4751E06B" w14:textId="5B7F1071" w:rsidR="00A3738F" w:rsidRPr="00A3738F" w:rsidRDefault="00A3738F" w:rsidP="00A3738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2754128" w14:textId="77777777" w:rsidR="00A3738F" w:rsidRPr="00A3738F" w:rsidRDefault="00A3738F" w:rsidP="00A3738F">
      <w:pPr>
        <w:pStyle w:val="Bibliography"/>
        <w:rPr>
          <w:rFonts w:ascii="Times New Roman" w:hAnsi="Times New Roman" w:cs="Times New Roman"/>
          <w:sz w:val="24"/>
        </w:rPr>
      </w:pPr>
      <w:r>
        <w:lastRenderedPageBreak/>
        <w:fldChar w:fldCharType="begin"/>
      </w:r>
      <w:r>
        <w:instrText xml:space="preserve"> ADDIN ZOTERO_BIBL {"uncited":[],"omitted":[],"custom":[]} CSL_BIBLIOGRAPHY </w:instrText>
      </w:r>
      <w:r>
        <w:fldChar w:fldCharType="separate"/>
      </w:r>
      <w:r w:rsidRPr="00A3738F">
        <w:rPr>
          <w:rFonts w:ascii="Times New Roman" w:hAnsi="Times New Roman" w:cs="Times New Roman"/>
          <w:sz w:val="24"/>
        </w:rPr>
        <w:t>1.</w:t>
      </w:r>
      <w:r w:rsidRPr="00A3738F">
        <w:rPr>
          <w:rFonts w:ascii="Times New Roman" w:hAnsi="Times New Roman" w:cs="Times New Roman"/>
          <w:sz w:val="24"/>
        </w:rPr>
        <w:tab/>
        <w:t xml:space="preserve">Avritscher EBC, Cooksley CD, Grossman HB, et al. Clinical model of lifetime cost of treating bladder cancer and associated complications. </w:t>
      </w:r>
      <w:r w:rsidRPr="00A3738F">
        <w:rPr>
          <w:rFonts w:ascii="Times New Roman" w:hAnsi="Times New Roman" w:cs="Times New Roman"/>
          <w:i/>
          <w:iCs/>
          <w:sz w:val="24"/>
        </w:rPr>
        <w:t>Urology</w:t>
      </w:r>
      <w:r w:rsidRPr="00A3738F">
        <w:rPr>
          <w:rFonts w:ascii="Times New Roman" w:hAnsi="Times New Roman" w:cs="Times New Roman"/>
          <w:sz w:val="24"/>
        </w:rPr>
        <w:t>. 2006;68(3):549-553. doi:10.1016/j.urology.2006.03.062</w:t>
      </w:r>
    </w:p>
    <w:p w14:paraId="00A75796" w14:textId="4C3946A9" w:rsidR="0090211D" w:rsidRDefault="00A3738F" w:rsidP="00A3738F">
      <w:pPr>
        <w:spacing w:after="360"/>
      </w:pPr>
      <w:r>
        <w:rPr>
          <w:rFonts w:ascii="Times New Roman" w:hAnsi="Times New Roman" w:cs="Times New Roman"/>
          <w:sz w:val="24"/>
          <w:szCs w:val="24"/>
        </w:rPr>
        <w:fldChar w:fldCharType="end"/>
      </w:r>
    </w:p>
    <w:sectPr w:rsidR="009021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3073BF"/>
    <w:multiLevelType w:val="multilevel"/>
    <w:tmpl w:val="62DAB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974222"/>
    <w:multiLevelType w:val="multilevel"/>
    <w:tmpl w:val="C5AE15C6"/>
    <w:lvl w:ilvl="0">
      <w:start w:val="1"/>
      <w:numFmt w:val="bullet"/>
      <w:lvlText w:val=""/>
      <w:lvlJc w:val="left"/>
      <w:pPr>
        <w:ind w:left="720" w:hanging="360"/>
      </w:pPr>
      <w:rPr>
        <w:rFonts w:ascii="Symbol" w:hAnsi="Symbol" w:cs="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1D"/>
    <w:rsid w:val="002C14F2"/>
    <w:rsid w:val="0090211D"/>
    <w:rsid w:val="00A3738F"/>
    <w:rsid w:val="00B82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537F2"/>
  <w15:chartTrackingRefBased/>
  <w15:docId w15:val="{46F27514-22FA-4FF4-99A5-4F9C7A1EF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11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211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11D"/>
    <w:rPr>
      <w:rFonts w:ascii="Segoe UI" w:hAnsi="Segoe UI" w:cs="Segoe UI"/>
      <w:sz w:val="18"/>
      <w:szCs w:val="18"/>
    </w:rPr>
  </w:style>
  <w:style w:type="paragraph" w:styleId="Bibliography">
    <w:name w:val="Bibliography"/>
    <w:basedOn w:val="Normal"/>
    <w:next w:val="Normal"/>
    <w:uiPriority w:val="37"/>
    <w:unhideWhenUsed/>
    <w:rsid w:val="00A3738F"/>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juroteam.github.io/BC_CO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794</Words>
  <Characters>4531</Characters>
  <Application>Microsoft Office Word</Application>
  <DocSecurity>0</DocSecurity>
  <Lines>37</Lines>
  <Paragraphs>10</Paragraphs>
  <ScaleCrop>false</ScaleCrop>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Elie Raad</dc:creator>
  <cp:keywords/>
  <dc:description/>
  <cp:lastModifiedBy>Elie Raad</cp:lastModifiedBy>
  <cp:revision>5</cp:revision>
  <dcterms:created xsi:type="dcterms:W3CDTF">2022-10-30T12:52:00Z</dcterms:created>
  <dcterms:modified xsi:type="dcterms:W3CDTF">2022-10-30T14:05:00Z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id="LYZsroBt"/&gt;&lt;style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