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5F95" w:rsidRDefault="00345F95" w:rsidP="00345F95">
      <w:pPr>
        <w:rPr>
          <w:rFonts w:ascii="Times New Roman" w:hAnsi="Times New Roman" w:cs="Times New Roman"/>
          <w:sz w:val="36"/>
          <w:szCs w:val="24"/>
          <w:lang w:val="en-GB"/>
        </w:rPr>
      </w:pPr>
      <w:r>
        <w:rPr>
          <w:rFonts w:ascii="Times New Roman" w:hAnsi="Times New Roman" w:cs="Times New Roman"/>
          <w:sz w:val="36"/>
          <w:szCs w:val="24"/>
          <w:lang w:val="en-GB"/>
        </w:rPr>
        <w:t>Supporting Information</w:t>
      </w:r>
    </w:p>
    <w:p w:rsidR="00345F95" w:rsidRDefault="00345F95" w:rsidP="00345F95">
      <w:pPr>
        <w:rPr>
          <w:rFonts w:ascii="Times New Roman" w:hAnsi="Times New Roman" w:cs="Times New Roman"/>
          <w:sz w:val="36"/>
          <w:szCs w:val="24"/>
          <w:lang w:val="en-GB"/>
        </w:rPr>
      </w:pPr>
    </w:p>
    <w:p w:rsidR="00345F95" w:rsidRDefault="00345F95" w:rsidP="00345F95">
      <w:pPr>
        <w:rPr>
          <w:rFonts w:ascii="Times New Roman" w:hAnsi="Times New Roman" w:cs="Times New Roman"/>
          <w:sz w:val="36"/>
          <w:szCs w:val="24"/>
          <w:lang w:val="en-GB"/>
        </w:rPr>
      </w:pPr>
      <w:r w:rsidRPr="007F13FA">
        <w:rPr>
          <w:rFonts w:ascii="Times New Roman" w:hAnsi="Times New Roman" w:cs="Times New Roman"/>
          <w:sz w:val="36"/>
          <w:szCs w:val="24"/>
          <w:lang w:val="en-GB"/>
        </w:rPr>
        <w:t>The i</w:t>
      </w:r>
      <w:r>
        <w:rPr>
          <w:rFonts w:ascii="Times New Roman" w:hAnsi="Times New Roman" w:cs="Times New Roman"/>
          <w:sz w:val="36"/>
          <w:szCs w:val="24"/>
          <w:lang w:val="en-GB"/>
        </w:rPr>
        <w:t>mpact of scrubber washwater discharge on the water quality in estuaries and ports</w:t>
      </w:r>
    </w:p>
    <w:p w:rsidR="00345F95" w:rsidRDefault="00345F95" w:rsidP="00345F95">
      <w:pPr>
        <w:rPr>
          <w:rFonts w:ascii="Times New Roman" w:hAnsi="Times New Roman" w:cs="Times New Roman"/>
          <w:sz w:val="24"/>
          <w:szCs w:val="24"/>
          <w:lang w:val="en-GB"/>
        </w:rPr>
      </w:pPr>
    </w:p>
    <w:p w:rsidR="00345F95" w:rsidRDefault="00345F95" w:rsidP="00345F95">
      <w:pPr>
        <w:rPr>
          <w:rFonts w:ascii="Times New Roman" w:hAnsi="Times New Roman" w:cs="Times New Roman"/>
          <w:sz w:val="24"/>
          <w:szCs w:val="24"/>
          <w:lang w:val="en-GB"/>
        </w:rPr>
      </w:pPr>
      <w:r w:rsidRPr="00050B47">
        <w:rPr>
          <w:rFonts w:ascii="Times New Roman" w:hAnsi="Times New Roman" w:cs="Times New Roman"/>
          <w:sz w:val="24"/>
          <w:szCs w:val="24"/>
          <w:lang w:val="en-GB"/>
        </w:rPr>
        <w:t>Johannes Teuchies</w:t>
      </w:r>
      <w:r w:rsidRPr="00BE0A56">
        <w:rPr>
          <w:rFonts w:ascii="Times New Roman" w:hAnsi="Times New Roman" w:cs="Times New Roman"/>
          <w:sz w:val="24"/>
          <w:szCs w:val="24"/>
          <w:vertAlign w:val="superscript"/>
          <w:lang w:val="en-GB"/>
        </w:rPr>
        <w:t>1</w:t>
      </w:r>
      <w:r>
        <w:rPr>
          <w:rFonts w:ascii="Times New Roman" w:hAnsi="Times New Roman" w:cs="Times New Roman"/>
          <w:sz w:val="24"/>
          <w:szCs w:val="24"/>
          <w:vertAlign w:val="superscript"/>
          <w:lang w:val="en-GB"/>
        </w:rPr>
        <w:t>*</w:t>
      </w:r>
      <w:r w:rsidRPr="00050B47">
        <w:rPr>
          <w:rFonts w:ascii="Times New Roman" w:hAnsi="Times New Roman" w:cs="Times New Roman"/>
          <w:sz w:val="24"/>
          <w:szCs w:val="24"/>
          <w:lang w:val="en-GB"/>
        </w:rPr>
        <w:t>, Tom Cox</w:t>
      </w:r>
      <w:r w:rsidRPr="00BE0A56">
        <w:rPr>
          <w:rFonts w:ascii="Times New Roman" w:hAnsi="Times New Roman" w:cs="Times New Roman"/>
          <w:sz w:val="24"/>
          <w:szCs w:val="24"/>
          <w:vertAlign w:val="superscript"/>
          <w:lang w:val="en-GB"/>
        </w:rPr>
        <w:t>2,3</w:t>
      </w:r>
      <w:r w:rsidRPr="00050B47">
        <w:rPr>
          <w:rFonts w:ascii="Times New Roman" w:hAnsi="Times New Roman" w:cs="Times New Roman"/>
          <w:sz w:val="24"/>
          <w:szCs w:val="24"/>
          <w:lang w:val="en-GB"/>
        </w:rPr>
        <w:t xml:space="preserve">, </w:t>
      </w:r>
      <w:r>
        <w:rPr>
          <w:rFonts w:ascii="Times New Roman" w:hAnsi="Times New Roman" w:cs="Times New Roman"/>
          <w:sz w:val="24"/>
          <w:szCs w:val="24"/>
          <w:lang w:val="en-GB"/>
        </w:rPr>
        <w:t>Katrien Van Itterbeeck</w:t>
      </w:r>
      <w:r w:rsidRPr="00B02153">
        <w:rPr>
          <w:rFonts w:ascii="Times New Roman" w:hAnsi="Times New Roman" w:cs="Times New Roman"/>
          <w:sz w:val="24"/>
          <w:szCs w:val="24"/>
          <w:vertAlign w:val="superscript"/>
          <w:lang w:val="en-GB"/>
        </w:rPr>
        <w:t>4</w:t>
      </w:r>
      <w:r>
        <w:rPr>
          <w:rFonts w:ascii="Times New Roman" w:hAnsi="Times New Roman" w:cs="Times New Roman"/>
          <w:sz w:val="24"/>
          <w:szCs w:val="24"/>
          <w:lang w:val="en-GB"/>
        </w:rPr>
        <w:t xml:space="preserve">, </w:t>
      </w:r>
      <w:r w:rsidRPr="00050B47">
        <w:rPr>
          <w:rFonts w:ascii="Times New Roman" w:hAnsi="Times New Roman" w:cs="Times New Roman"/>
          <w:sz w:val="24"/>
          <w:szCs w:val="24"/>
          <w:lang w:val="en-GB"/>
        </w:rPr>
        <w:t>Filip Meysman</w:t>
      </w:r>
      <w:r w:rsidRPr="00BE0A56">
        <w:rPr>
          <w:rFonts w:ascii="Times New Roman" w:hAnsi="Times New Roman" w:cs="Times New Roman"/>
          <w:sz w:val="24"/>
          <w:szCs w:val="24"/>
          <w:vertAlign w:val="superscript"/>
          <w:lang w:val="en-GB"/>
        </w:rPr>
        <w:t>2</w:t>
      </w:r>
      <w:r w:rsidRPr="00050B47">
        <w:rPr>
          <w:rFonts w:ascii="Times New Roman" w:hAnsi="Times New Roman" w:cs="Times New Roman"/>
          <w:sz w:val="24"/>
          <w:szCs w:val="24"/>
          <w:lang w:val="en-GB"/>
        </w:rPr>
        <w:t>, Ronny Blust</w:t>
      </w:r>
      <w:r w:rsidRPr="00BE0A56">
        <w:rPr>
          <w:rFonts w:ascii="Times New Roman" w:hAnsi="Times New Roman" w:cs="Times New Roman"/>
          <w:sz w:val="24"/>
          <w:szCs w:val="24"/>
          <w:vertAlign w:val="superscript"/>
          <w:lang w:val="en-GB"/>
        </w:rPr>
        <w:t>1</w:t>
      </w:r>
    </w:p>
    <w:p w:rsidR="00345F95" w:rsidRPr="006A3804" w:rsidRDefault="00345F95" w:rsidP="00345F95">
      <w:pPr>
        <w:jc w:val="both"/>
        <w:rPr>
          <w:rFonts w:ascii="Times New Roman" w:eastAsia="Calibri" w:hAnsi="Times New Roman" w:cs="Times New Roman"/>
          <w:sz w:val="24"/>
          <w:szCs w:val="24"/>
          <w:lang w:val="en-GB"/>
        </w:rPr>
      </w:pPr>
      <w:r>
        <w:rPr>
          <w:rFonts w:ascii="Times New Roman" w:eastAsia="Calibri" w:hAnsi="Times New Roman" w:cs="Times New Roman"/>
          <w:sz w:val="24"/>
          <w:szCs w:val="24"/>
          <w:vertAlign w:val="superscript"/>
          <w:lang w:val="en-GB"/>
        </w:rPr>
        <w:t>1</w:t>
      </w:r>
      <w:r w:rsidRPr="006A3804">
        <w:rPr>
          <w:rFonts w:ascii="Times New Roman" w:eastAsia="Calibri" w:hAnsi="Times New Roman" w:cs="Times New Roman"/>
          <w:sz w:val="24"/>
          <w:szCs w:val="24"/>
          <w:lang w:val="en-GB"/>
        </w:rPr>
        <w:t>University of Antwerp, Department of Biology, Systemic Physiological and Ecotoxicological Research, Groenenborgerlaan 171, B-2020 Antwerp, Belgium</w:t>
      </w:r>
    </w:p>
    <w:p w:rsidR="00345F95" w:rsidRDefault="00345F95" w:rsidP="00345F95">
      <w:pPr>
        <w:jc w:val="both"/>
        <w:rPr>
          <w:rFonts w:ascii="Times New Roman" w:eastAsia="Calibri" w:hAnsi="Times New Roman" w:cs="Times New Roman"/>
          <w:sz w:val="24"/>
          <w:szCs w:val="24"/>
        </w:rPr>
      </w:pPr>
      <w:r>
        <w:rPr>
          <w:rFonts w:ascii="Times New Roman" w:eastAsia="Calibri" w:hAnsi="Times New Roman" w:cs="Times New Roman"/>
          <w:sz w:val="24"/>
          <w:szCs w:val="24"/>
          <w:vertAlign w:val="superscript"/>
        </w:rPr>
        <w:t>2</w:t>
      </w:r>
      <w:r w:rsidRPr="00F43AFE">
        <w:rPr>
          <w:rFonts w:ascii="Times New Roman" w:eastAsia="Calibri" w:hAnsi="Times New Roman" w:cs="Times New Roman"/>
          <w:sz w:val="24"/>
          <w:szCs w:val="24"/>
        </w:rPr>
        <w:t>University of Antwerp, Department of Biology, Ecosystem Management Research Group, Universiteitsplein 1C, B-2610 Wilrijk, Belgium</w:t>
      </w:r>
    </w:p>
    <w:p w:rsidR="00345F95" w:rsidRDefault="00345F95" w:rsidP="00345F95">
      <w:pPr>
        <w:jc w:val="both"/>
        <w:rPr>
          <w:rFonts w:ascii="Times New Roman" w:eastAsia="Calibri" w:hAnsi="Times New Roman" w:cs="Times New Roman"/>
          <w:sz w:val="24"/>
          <w:szCs w:val="24"/>
        </w:rPr>
      </w:pPr>
      <w:r w:rsidRPr="00F43AFE">
        <w:rPr>
          <w:rFonts w:ascii="Times New Roman" w:eastAsia="Calibri" w:hAnsi="Times New Roman" w:cs="Times New Roman"/>
          <w:sz w:val="24"/>
          <w:szCs w:val="24"/>
          <w:vertAlign w:val="superscript"/>
        </w:rPr>
        <w:t>3</w:t>
      </w:r>
      <w:r>
        <w:rPr>
          <w:rFonts w:ascii="Times New Roman" w:eastAsia="Calibri" w:hAnsi="Times New Roman" w:cs="Times New Roman"/>
          <w:sz w:val="24"/>
          <w:szCs w:val="24"/>
          <w:vertAlign w:val="superscript"/>
        </w:rPr>
        <w:t xml:space="preserve">  </w:t>
      </w:r>
      <w:r>
        <w:rPr>
          <w:rFonts w:ascii="Times New Roman" w:hAnsi="Times New Roman" w:cs="Times New Roman"/>
          <w:sz w:val="24"/>
          <w:szCs w:val="24"/>
        </w:rPr>
        <w:t>NIOZ Royal Netherlands Institute for Sea Research and Utrecht University, Department of Estuarine and Delta Systems</w:t>
      </w:r>
      <w:r>
        <w:rPr>
          <w:rFonts w:ascii="Times New Roman" w:hAnsi="Times New Roman" w:cs="Times New Roman"/>
          <w:sz w:val="24"/>
          <w:szCs w:val="24"/>
        </w:rPr>
        <w:tab/>
        <w:t>P.O. box 140, 4400 AC Yerseke Netherlands</w:t>
      </w:r>
      <w:r>
        <w:rPr>
          <w:rFonts w:ascii="Times New Roman" w:eastAsia="Calibri" w:hAnsi="Times New Roman" w:cs="Times New Roman"/>
          <w:sz w:val="24"/>
          <w:szCs w:val="24"/>
        </w:rPr>
        <w:t xml:space="preserve"> </w:t>
      </w:r>
    </w:p>
    <w:p w:rsidR="00345F95" w:rsidRPr="00F43AFE" w:rsidRDefault="00345F95" w:rsidP="00345F95">
      <w:pPr>
        <w:jc w:val="both"/>
        <w:rPr>
          <w:rFonts w:ascii="Times New Roman" w:eastAsia="Calibri" w:hAnsi="Times New Roman" w:cs="Times New Roman"/>
          <w:sz w:val="24"/>
          <w:szCs w:val="24"/>
        </w:rPr>
      </w:pPr>
      <w:r w:rsidRPr="00B02153">
        <w:rPr>
          <w:rFonts w:ascii="Times New Roman" w:eastAsia="Calibri" w:hAnsi="Times New Roman" w:cs="Times New Roman"/>
          <w:sz w:val="24"/>
          <w:szCs w:val="24"/>
          <w:vertAlign w:val="superscript"/>
        </w:rPr>
        <w:t>4</w:t>
      </w:r>
      <w:r>
        <w:rPr>
          <w:rFonts w:ascii="Times New Roman" w:eastAsia="Calibri" w:hAnsi="Times New Roman" w:cs="Times New Roman"/>
          <w:sz w:val="24"/>
          <w:szCs w:val="24"/>
        </w:rPr>
        <w:t>Antwerp Port Authority</w:t>
      </w:r>
    </w:p>
    <w:p w:rsidR="00345F95" w:rsidRPr="004901FD" w:rsidRDefault="00345F95" w:rsidP="00345F95">
      <w:pPr>
        <w:jc w:val="both"/>
        <w:rPr>
          <w:rFonts w:ascii="Times New Roman" w:eastAsia="Calibri" w:hAnsi="Times New Roman" w:cs="Times New Roman"/>
          <w:sz w:val="24"/>
          <w:szCs w:val="24"/>
          <w:lang w:val="en-GB"/>
        </w:rPr>
      </w:pPr>
      <w:r w:rsidRPr="004901FD">
        <w:rPr>
          <w:rFonts w:ascii="Times New Roman" w:eastAsia="Calibri" w:hAnsi="Times New Roman" w:cs="Times New Roman"/>
          <w:sz w:val="24"/>
          <w:szCs w:val="24"/>
          <w:lang w:val="en-GB"/>
        </w:rPr>
        <w:t>*Corresponding author:</w:t>
      </w:r>
    </w:p>
    <w:p w:rsidR="00345F95" w:rsidRPr="004901FD" w:rsidRDefault="00345F95" w:rsidP="00345F95">
      <w:pPr>
        <w:spacing w:after="0"/>
        <w:jc w:val="both"/>
        <w:rPr>
          <w:rFonts w:ascii="Times New Roman" w:eastAsia="Calibri" w:hAnsi="Times New Roman" w:cs="Times New Roman"/>
          <w:sz w:val="24"/>
          <w:szCs w:val="24"/>
          <w:lang w:val="nl-BE"/>
        </w:rPr>
      </w:pPr>
      <w:r w:rsidRPr="004901FD">
        <w:rPr>
          <w:rFonts w:ascii="Times New Roman" w:eastAsia="Calibri" w:hAnsi="Times New Roman" w:cs="Times New Roman"/>
          <w:sz w:val="24"/>
          <w:szCs w:val="24"/>
          <w:lang w:val="nl-BE"/>
        </w:rPr>
        <w:t>Johannes Teuchies</w:t>
      </w:r>
    </w:p>
    <w:p w:rsidR="00345F95" w:rsidRDefault="00345F95" w:rsidP="00345F95">
      <w:pPr>
        <w:spacing w:after="0"/>
        <w:jc w:val="both"/>
        <w:rPr>
          <w:rFonts w:ascii="Times New Roman" w:eastAsia="Calibri" w:hAnsi="Times New Roman" w:cs="Times New Roman"/>
          <w:sz w:val="24"/>
          <w:szCs w:val="24"/>
          <w:lang w:val="nl-BE"/>
        </w:rPr>
      </w:pPr>
      <w:r>
        <w:rPr>
          <w:rFonts w:ascii="Times New Roman" w:eastAsia="Calibri" w:hAnsi="Times New Roman" w:cs="Times New Roman"/>
          <w:sz w:val="24"/>
          <w:szCs w:val="24"/>
          <w:lang w:val="nl-BE"/>
        </w:rPr>
        <w:t>University of Antw</w:t>
      </w:r>
      <w:r w:rsidRPr="004901FD">
        <w:rPr>
          <w:rFonts w:ascii="Times New Roman" w:eastAsia="Calibri" w:hAnsi="Times New Roman" w:cs="Times New Roman"/>
          <w:sz w:val="24"/>
          <w:szCs w:val="24"/>
          <w:lang w:val="nl-BE"/>
        </w:rPr>
        <w:t>erp - Campus Groenenborger</w:t>
      </w:r>
    </w:p>
    <w:p w:rsidR="00345F95" w:rsidRPr="004901FD" w:rsidRDefault="00345F95" w:rsidP="00345F95">
      <w:pPr>
        <w:spacing w:after="0"/>
        <w:jc w:val="both"/>
        <w:rPr>
          <w:rFonts w:ascii="Times New Roman" w:eastAsia="Calibri" w:hAnsi="Times New Roman" w:cs="Times New Roman"/>
          <w:sz w:val="24"/>
          <w:szCs w:val="24"/>
          <w:lang w:val="nl-BE"/>
        </w:rPr>
      </w:pPr>
      <w:r>
        <w:rPr>
          <w:rFonts w:ascii="Times New Roman" w:eastAsia="Calibri" w:hAnsi="Times New Roman" w:cs="Times New Roman"/>
          <w:sz w:val="24"/>
          <w:szCs w:val="24"/>
          <w:lang w:val="nl-BE"/>
        </w:rPr>
        <w:t>Building U, U539</w:t>
      </w:r>
    </w:p>
    <w:p w:rsidR="00345F95" w:rsidRPr="004901FD" w:rsidRDefault="00345F95" w:rsidP="00345F95">
      <w:pPr>
        <w:spacing w:after="0"/>
        <w:jc w:val="both"/>
        <w:rPr>
          <w:rFonts w:ascii="Times New Roman" w:eastAsia="Calibri" w:hAnsi="Times New Roman" w:cs="Times New Roman"/>
          <w:sz w:val="24"/>
          <w:szCs w:val="24"/>
          <w:lang w:val="nl-BE"/>
        </w:rPr>
      </w:pPr>
      <w:r w:rsidRPr="004901FD">
        <w:rPr>
          <w:rFonts w:ascii="Times New Roman" w:eastAsia="Calibri" w:hAnsi="Times New Roman" w:cs="Times New Roman"/>
          <w:sz w:val="24"/>
          <w:szCs w:val="24"/>
          <w:lang w:val="nl-BE"/>
        </w:rPr>
        <w:t>Groenenborgerlaan 171, B-2020 Antwerp, Belgium</w:t>
      </w:r>
    </w:p>
    <w:p w:rsidR="00345F95" w:rsidRDefault="0039715E" w:rsidP="00345F95">
      <w:pPr>
        <w:spacing w:after="0"/>
        <w:jc w:val="both"/>
        <w:rPr>
          <w:rFonts w:ascii="Times New Roman" w:eastAsia="Calibri" w:hAnsi="Times New Roman" w:cs="Times New Roman"/>
          <w:sz w:val="24"/>
          <w:szCs w:val="24"/>
          <w:lang w:val="nl-BE"/>
        </w:rPr>
      </w:pPr>
      <w:hyperlink r:id="rId7" w:history="1">
        <w:r w:rsidR="00345F95" w:rsidRPr="00B515A8">
          <w:rPr>
            <w:rStyle w:val="Hyperlink"/>
            <w:rFonts w:ascii="Times New Roman" w:eastAsia="Calibri" w:hAnsi="Times New Roman" w:cs="Times New Roman"/>
            <w:sz w:val="24"/>
            <w:szCs w:val="24"/>
            <w:lang w:val="nl-BE"/>
          </w:rPr>
          <w:t>johannes.teuchies@uantwerpen.be</w:t>
        </w:r>
      </w:hyperlink>
    </w:p>
    <w:p w:rsidR="00345F95" w:rsidRPr="00A01A81" w:rsidRDefault="00345F95" w:rsidP="00345F95">
      <w:pPr>
        <w:spacing w:after="0"/>
        <w:jc w:val="both"/>
        <w:rPr>
          <w:rFonts w:ascii="Times New Roman" w:eastAsia="Calibri" w:hAnsi="Times New Roman" w:cs="Times New Roman"/>
          <w:sz w:val="24"/>
          <w:szCs w:val="24"/>
        </w:rPr>
      </w:pPr>
      <w:r w:rsidRPr="00A01A81">
        <w:rPr>
          <w:rFonts w:ascii="Times New Roman" w:eastAsia="Calibri" w:hAnsi="Times New Roman" w:cs="Times New Roman"/>
          <w:sz w:val="24"/>
          <w:szCs w:val="24"/>
        </w:rPr>
        <w:t>+32 3 265 35 33</w:t>
      </w:r>
    </w:p>
    <w:p w:rsidR="00345F95" w:rsidRPr="00A01A81" w:rsidRDefault="00345F95" w:rsidP="00345F95">
      <w:pPr>
        <w:rPr>
          <w:rFonts w:ascii="Times New Roman" w:hAnsi="Times New Roman" w:cs="Times New Roman"/>
          <w:sz w:val="24"/>
          <w:szCs w:val="24"/>
        </w:rPr>
      </w:pPr>
    </w:p>
    <w:p w:rsidR="00345F95" w:rsidRDefault="00345F95" w:rsidP="00345F95">
      <w:pPr>
        <w:rPr>
          <w:rFonts w:ascii="Times New Roman" w:hAnsi="Times New Roman" w:cs="Times New Roman"/>
          <w:sz w:val="24"/>
          <w:szCs w:val="24"/>
        </w:rPr>
      </w:pPr>
      <w:r w:rsidRPr="00345F95">
        <w:rPr>
          <w:rFonts w:ascii="Times New Roman" w:hAnsi="Times New Roman" w:cs="Times New Roman"/>
          <w:sz w:val="24"/>
          <w:szCs w:val="24"/>
        </w:rPr>
        <w:t xml:space="preserve">Number of Pages: </w:t>
      </w:r>
      <w:r w:rsidR="00C739DD">
        <w:rPr>
          <w:rFonts w:ascii="Times New Roman" w:hAnsi="Times New Roman" w:cs="Times New Roman"/>
          <w:sz w:val="24"/>
          <w:szCs w:val="24"/>
        </w:rPr>
        <w:t>5</w:t>
      </w:r>
    </w:p>
    <w:p w:rsidR="00345F95" w:rsidRDefault="00345F95" w:rsidP="00345F95">
      <w:pPr>
        <w:rPr>
          <w:rFonts w:ascii="Times New Roman" w:hAnsi="Times New Roman" w:cs="Times New Roman"/>
          <w:sz w:val="24"/>
          <w:szCs w:val="24"/>
        </w:rPr>
      </w:pPr>
      <w:r w:rsidRPr="00345F95">
        <w:rPr>
          <w:rFonts w:ascii="Times New Roman" w:hAnsi="Times New Roman" w:cs="Times New Roman"/>
          <w:sz w:val="24"/>
          <w:szCs w:val="24"/>
        </w:rPr>
        <w:t xml:space="preserve">Number of Figures: </w:t>
      </w:r>
      <w:r>
        <w:rPr>
          <w:rFonts w:ascii="Times New Roman" w:hAnsi="Times New Roman" w:cs="Times New Roman"/>
          <w:sz w:val="24"/>
          <w:szCs w:val="24"/>
        </w:rPr>
        <w:t>2</w:t>
      </w:r>
    </w:p>
    <w:p w:rsidR="00345F95" w:rsidRDefault="00345F95" w:rsidP="00345F95">
      <w:pPr>
        <w:rPr>
          <w:rFonts w:ascii="Times New Roman" w:hAnsi="Times New Roman" w:cs="Times New Roman"/>
          <w:sz w:val="24"/>
          <w:szCs w:val="24"/>
        </w:rPr>
      </w:pPr>
      <w:r w:rsidRPr="00345F95">
        <w:rPr>
          <w:rFonts w:ascii="Times New Roman" w:hAnsi="Times New Roman" w:cs="Times New Roman"/>
          <w:sz w:val="24"/>
          <w:szCs w:val="24"/>
        </w:rPr>
        <w:t xml:space="preserve">Number of Tables: </w:t>
      </w:r>
      <w:r w:rsidR="00C739DD">
        <w:rPr>
          <w:rFonts w:ascii="Times New Roman" w:hAnsi="Times New Roman" w:cs="Times New Roman"/>
          <w:sz w:val="24"/>
          <w:szCs w:val="24"/>
        </w:rPr>
        <w:t>2</w:t>
      </w:r>
    </w:p>
    <w:p w:rsidR="00345F95" w:rsidRDefault="00345F95" w:rsidP="00345F95">
      <w:pPr>
        <w:rPr>
          <w:rFonts w:ascii="Times New Roman" w:hAnsi="Times New Roman" w:cs="Times New Roman"/>
          <w:sz w:val="24"/>
          <w:szCs w:val="24"/>
        </w:rPr>
      </w:pPr>
    </w:p>
    <w:p w:rsidR="00345F95" w:rsidRDefault="00345F95" w:rsidP="00345F95">
      <w:pPr>
        <w:rPr>
          <w:rFonts w:ascii="Times New Roman" w:hAnsi="Times New Roman" w:cs="Times New Roman"/>
          <w:sz w:val="24"/>
          <w:szCs w:val="24"/>
        </w:rPr>
      </w:pPr>
    </w:p>
    <w:p w:rsidR="00345F95" w:rsidRDefault="00345F95" w:rsidP="00345F95">
      <w:pPr>
        <w:rPr>
          <w:rFonts w:ascii="Times New Roman" w:hAnsi="Times New Roman" w:cs="Times New Roman"/>
          <w:sz w:val="24"/>
          <w:szCs w:val="24"/>
        </w:rPr>
      </w:pPr>
    </w:p>
    <w:p w:rsidR="00345F95" w:rsidRDefault="00345F95" w:rsidP="00345F95">
      <w:pPr>
        <w:rPr>
          <w:rFonts w:ascii="Times New Roman" w:hAnsi="Times New Roman" w:cs="Times New Roman"/>
          <w:sz w:val="24"/>
          <w:szCs w:val="24"/>
        </w:rPr>
      </w:pPr>
    </w:p>
    <w:p w:rsidR="00345F95" w:rsidRDefault="00345F95" w:rsidP="00345F95">
      <w:pPr>
        <w:rPr>
          <w:rFonts w:ascii="Times New Roman" w:hAnsi="Times New Roman" w:cs="Times New Roman"/>
          <w:sz w:val="24"/>
          <w:szCs w:val="24"/>
        </w:rPr>
      </w:pPr>
    </w:p>
    <w:p w:rsidR="00345F95" w:rsidRDefault="00345F95" w:rsidP="00345F95">
      <w:pPr>
        <w:rPr>
          <w:rFonts w:ascii="Times New Roman" w:hAnsi="Times New Roman" w:cs="Times New Roman"/>
          <w:sz w:val="24"/>
          <w:szCs w:val="24"/>
        </w:rPr>
      </w:pPr>
    </w:p>
    <w:p w:rsidR="00F902CC" w:rsidRDefault="00F902CC" w:rsidP="00F902CC">
      <w:pPr>
        <w:rPr>
          <w:rFonts w:ascii="Times New Roman" w:hAnsi="Times New Roman" w:cs="Times New Roman"/>
          <w:sz w:val="24"/>
          <w:szCs w:val="24"/>
          <w:lang w:val="en-GB"/>
        </w:rPr>
      </w:pPr>
    </w:p>
    <w:p w:rsidR="00F902CC" w:rsidRPr="00FA31AC" w:rsidRDefault="00F902CC" w:rsidP="00F902CC">
      <w:pPr>
        <w:pStyle w:val="ListParagraph"/>
        <w:numPr>
          <w:ilvl w:val="0"/>
          <w:numId w:val="1"/>
        </w:numPr>
        <w:rPr>
          <w:rFonts w:ascii="Times New Roman" w:hAnsi="Times New Roman" w:cs="Times New Roman"/>
          <w:b/>
          <w:i/>
          <w:sz w:val="24"/>
          <w:szCs w:val="24"/>
          <w:lang w:val="en-GB"/>
        </w:rPr>
      </w:pPr>
      <w:r>
        <w:rPr>
          <w:rFonts w:ascii="Times New Roman" w:hAnsi="Times New Roman" w:cs="Times New Roman"/>
          <w:b/>
          <w:i/>
          <w:sz w:val="24"/>
          <w:szCs w:val="24"/>
          <w:lang w:val="en-GB"/>
        </w:rPr>
        <w:t xml:space="preserve">Calculation of concentration changes in contaminant concentrations </w:t>
      </w:r>
    </w:p>
    <w:p w:rsidR="00F902CC" w:rsidRPr="00CE1359"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To estimate the impact of additional contaminant flux to a receiving water body we compare equilibrium concentration in a well-mixed water volume, flushed with constant discharge, with and without additional inputs.</w:t>
      </w:r>
    </w:p>
    <w:p w:rsidR="00F902CC" w:rsidRPr="00CE1359"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In equilibrium, contaminant concentration C in a perfectly mixed flow-through system will equal the concentration of the incoming water</w:t>
      </w:r>
    </w:p>
    <w:p w:rsidR="00F902CC" w:rsidRPr="00CE1359"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C_eq^old = C_in</w:t>
      </w:r>
    </w:p>
    <w:p w:rsidR="00F902CC" w:rsidRPr="00CE1359"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When an additional flux Jc is added to the volume, the dynamical equation read</w:t>
      </w:r>
    </w:p>
    <w:p w:rsidR="00F902CC" w:rsidRPr="00C31474" w:rsidRDefault="00F902CC" w:rsidP="00F902CC">
      <w:pPr>
        <w:rPr>
          <w:rFonts w:ascii="Times New Roman" w:hAnsi="Times New Roman" w:cs="Times New Roman"/>
          <w:sz w:val="24"/>
          <w:szCs w:val="24"/>
          <w:lang w:val="nl-BE"/>
        </w:rPr>
      </w:pPr>
      <w:r w:rsidRPr="00C31474">
        <w:rPr>
          <w:rFonts w:ascii="Times New Roman" w:hAnsi="Times New Roman" w:cs="Times New Roman"/>
          <w:sz w:val="24"/>
          <w:szCs w:val="24"/>
          <w:lang w:val="nl-BE"/>
        </w:rPr>
        <w:t>dC/dt = Jc/V + Q/V x (C_in – C)</w:t>
      </w:r>
    </w:p>
    <w:p w:rsidR="00F902CC" w:rsidRPr="00CE1359"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where V is the volume of the receiving water body. Thus, in equilibrium (dc/dt=0) C_eq now is</w:t>
      </w:r>
    </w:p>
    <w:p w:rsidR="00F902CC" w:rsidRPr="00CE1359"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C_eq ^ne</w:t>
      </w:r>
      <w:r>
        <w:rPr>
          <w:rFonts w:ascii="Times New Roman" w:hAnsi="Times New Roman" w:cs="Times New Roman"/>
          <w:sz w:val="24"/>
          <w:szCs w:val="24"/>
          <w:lang w:val="en-GB"/>
        </w:rPr>
        <w:t xml:space="preserve">w – C_eq^old = Delta C = Jc/Q  </w:t>
      </w:r>
    </w:p>
    <w:p w:rsidR="00F902CC" w:rsidRPr="00CE1359"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 xml:space="preserve">Since significant gradients exists between (contaminant) concentrations in the docks and in the Scheldt, the concentration in the docks is not only determined by freshwater flushing, but also by exchange through the locks, which we approximated to be proportional to the concentration difference. To estimate the dispersion coefficient of this exchange we assumed the salinity in the docks is in equilibrium with both the freshwater input and the exchange over the locks, thus </w:t>
      </w:r>
    </w:p>
    <w:p w:rsidR="00F902CC" w:rsidRPr="00D96C24" w:rsidRDefault="00F902CC" w:rsidP="00F902CC">
      <w:pPr>
        <w:rPr>
          <w:rFonts w:ascii="Times New Roman" w:hAnsi="Times New Roman" w:cs="Times New Roman"/>
          <w:sz w:val="24"/>
          <w:szCs w:val="24"/>
          <w:lang w:val="en-GB"/>
        </w:rPr>
      </w:pPr>
      <w:r w:rsidRPr="00D96C24">
        <w:rPr>
          <w:rFonts w:ascii="Times New Roman" w:hAnsi="Times New Roman" w:cs="Times New Roman"/>
          <w:sz w:val="24"/>
          <w:szCs w:val="24"/>
          <w:lang w:val="en-GB"/>
        </w:rPr>
        <w:t>dS_dock/dt = 0 = -Q/V_dock x S_dock + D/V_dock x (S_Scheldt – S_dock)</w:t>
      </w:r>
    </w:p>
    <w:p w:rsidR="00F902CC" w:rsidRPr="00D96C24" w:rsidRDefault="00F902CC" w:rsidP="00F902CC">
      <w:pPr>
        <w:rPr>
          <w:rFonts w:ascii="Times New Roman" w:hAnsi="Times New Roman" w:cs="Times New Roman"/>
          <w:sz w:val="24"/>
          <w:szCs w:val="24"/>
          <w:lang w:val="en-GB"/>
        </w:rPr>
      </w:pPr>
      <w:r w:rsidRPr="00D96C24">
        <w:rPr>
          <w:rFonts w:ascii="Times New Roman" w:hAnsi="Times New Roman" w:cs="Times New Roman"/>
          <w:sz w:val="24"/>
          <w:szCs w:val="24"/>
          <w:lang w:val="en-GB"/>
        </w:rPr>
        <w:t>=&gt; D = Q x S_dock / (S_Scheldt - S_dock)</w:t>
      </w:r>
    </w:p>
    <w:p w:rsidR="00F902CC" w:rsidRDefault="00F902CC" w:rsidP="00F902CC">
      <w:pPr>
        <w:rPr>
          <w:rFonts w:ascii="Times New Roman" w:hAnsi="Times New Roman" w:cs="Times New Roman"/>
          <w:sz w:val="24"/>
          <w:szCs w:val="24"/>
          <w:lang w:val="en-GB"/>
        </w:rPr>
      </w:pPr>
      <w:r>
        <w:rPr>
          <w:rFonts w:ascii="Times New Roman" w:hAnsi="Times New Roman" w:cs="Times New Roman"/>
          <w:sz w:val="24"/>
          <w:szCs w:val="24"/>
          <w:lang w:val="en-GB"/>
        </w:rPr>
        <w:t>W</w:t>
      </w:r>
      <w:r w:rsidRPr="00D96C24">
        <w:rPr>
          <w:rFonts w:ascii="Times New Roman" w:hAnsi="Times New Roman" w:cs="Times New Roman"/>
          <w:sz w:val="24"/>
          <w:szCs w:val="24"/>
          <w:lang w:val="en-GB"/>
        </w:rPr>
        <w:t>ith observed salinities S_Scheldt ~ 4.5 PSU and S_dock ~ 4 PSU and with a typ</w:t>
      </w:r>
      <w:r>
        <w:rPr>
          <w:rFonts w:ascii="Times New Roman" w:hAnsi="Times New Roman" w:cs="Times New Roman"/>
          <w:sz w:val="24"/>
          <w:szCs w:val="24"/>
          <w:lang w:val="en-GB"/>
        </w:rPr>
        <w:t>ical riverine discharge of 16 m³/s we estimate D = 100 m³</w:t>
      </w:r>
      <w:r w:rsidRPr="00D96C24">
        <w:rPr>
          <w:rFonts w:ascii="Times New Roman" w:hAnsi="Times New Roman" w:cs="Times New Roman"/>
          <w:sz w:val="24"/>
          <w:szCs w:val="24"/>
          <w:lang w:val="en-GB"/>
        </w:rPr>
        <w:t>/s</w:t>
      </w:r>
    </w:p>
    <w:p w:rsidR="00F902CC" w:rsidRPr="00CE1359"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In equilibrium, contaminant concentration C in a perfectly mixed dock with both flushing and dispersive exchange over the lock will be given by</w:t>
      </w:r>
    </w:p>
    <w:p w:rsidR="00F902CC" w:rsidRPr="00EE442C" w:rsidRDefault="00F902CC" w:rsidP="00F902CC">
      <w:pPr>
        <w:rPr>
          <w:rFonts w:ascii="Times New Roman" w:hAnsi="Times New Roman" w:cs="Times New Roman"/>
          <w:sz w:val="24"/>
          <w:szCs w:val="24"/>
          <w:lang w:val="nl-BE"/>
        </w:rPr>
      </w:pPr>
      <w:r w:rsidRPr="00EE442C">
        <w:rPr>
          <w:rFonts w:ascii="Times New Roman" w:hAnsi="Times New Roman" w:cs="Times New Roman"/>
          <w:sz w:val="24"/>
          <w:szCs w:val="24"/>
          <w:lang w:val="nl-BE"/>
        </w:rPr>
        <w:t>dC/dt = 0 = Q/V_dock x (C_in – C) + D/V_dock x (C_Scheldt – C)</w:t>
      </w:r>
    </w:p>
    <w:p w:rsidR="00F902CC" w:rsidRPr="00CE1359"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=&gt; C_eq^old = 1/(Q+D) x (QxC_in + DxC_Scheldt)</w:t>
      </w:r>
    </w:p>
    <w:p w:rsidR="00F902CC" w:rsidRPr="00CE1359"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With an additional contaminant flux J_c, we have</w:t>
      </w:r>
    </w:p>
    <w:p w:rsidR="00F902CC" w:rsidRPr="00EE442C" w:rsidRDefault="00F902CC" w:rsidP="00F902CC">
      <w:pPr>
        <w:rPr>
          <w:rFonts w:ascii="Times New Roman" w:hAnsi="Times New Roman" w:cs="Times New Roman"/>
          <w:sz w:val="24"/>
          <w:szCs w:val="24"/>
          <w:lang w:val="nl-BE"/>
        </w:rPr>
      </w:pPr>
      <w:r w:rsidRPr="00EE442C">
        <w:rPr>
          <w:rFonts w:ascii="Times New Roman" w:hAnsi="Times New Roman" w:cs="Times New Roman"/>
          <w:sz w:val="24"/>
          <w:szCs w:val="24"/>
          <w:lang w:val="nl-BE"/>
        </w:rPr>
        <w:t>dC/dt = 0 = Jc/V + Q/V_dock x (C_in – C) + D/V_dock x (C_Scheldt – C)</w:t>
      </w:r>
    </w:p>
    <w:p w:rsidR="00F902CC" w:rsidRDefault="00F902CC" w:rsidP="00F902CC">
      <w:pPr>
        <w:rPr>
          <w:rFonts w:ascii="Times New Roman" w:hAnsi="Times New Roman" w:cs="Times New Roman"/>
          <w:sz w:val="24"/>
          <w:szCs w:val="24"/>
          <w:lang w:val="en-GB"/>
        </w:rPr>
      </w:pPr>
      <w:r w:rsidRPr="00CE1359">
        <w:rPr>
          <w:rFonts w:ascii="Times New Roman" w:hAnsi="Times New Roman" w:cs="Times New Roman"/>
          <w:sz w:val="24"/>
          <w:szCs w:val="24"/>
          <w:lang w:val="en-GB"/>
        </w:rPr>
        <w:t>=&gt; C_eq^new – C_eq^old = Jc/(Q+D)</w:t>
      </w:r>
    </w:p>
    <w:p w:rsidR="00345F95" w:rsidRPr="00F902CC" w:rsidRDefault="00345F95" w:rsidP="00345F95">
      <w:pPr>
        <w:rPr>
          <w:rFonts w:ascii="Times New Roman" w:hAnsi="Times New Roman" w:cs="Times New Roman"/>
          <w:sz w:val="24"/>
          <w:szCs w:val="24"/>
          <w:lang w:val="en-GB"/>
        </w:rPr>
      </w:pPr>
    </w:p>
    <w:p w:rsidR="00C31474" w:rsidRDefault="00C31474" w:rsidP="00C31474">
      <w:pPr>
        <w:spacing w:after="0"/>
        <w:jc w:val="both"/>
        <w:rPr>
          <w:rFonts w:ascii="Times New Roman" w:hAnsi="Times New Roman" w:cs="Times New Roman"/>
          <w:sz w:val="24"/>
          <w:szCs w:val="24"/>
          <w:lang w:val="en-GB"/>
        </w:rPr>
      </w:pPr>
      <w:r w:rsidRPr="00C31474">
        <w:rPr>
          <w:noProof/>
        </w:rPr>
        <w:lastRenderedPageBreak/>
        <w:drawing>
          <wp:inline distT="0" distB="0" distL="0" distR="0">
            <wp:extent cx="4933950" cy="3117474"/>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38770" cy="3120519"/>
                    </a:xfrm>
                    <a:prstGeom prst="rect">
                      <a:avLst/>
                    </a:prstGeom>
                    <a:noFill/>
                    <a:ln>
                      <a:noFill/>
                    </a:ln>
                  </pic:spPr>
                </pic:pic>
              </a:graphicData>
            </a:graphic>
          </wp:inline>
        </w:drawing>
      </w:r>
    </w:p>
    <w:p w:rsidR="00345F95" w:rsidRPr="00C31474" w:rsidRDefault="00345F95" w:rsidP="00345F95">
      <w:pPr>
        <w:jc w:val="both"/>
        <w:rPr>
          <w:rFonts w:ascii="Times New Roman" w:hAnsi="Times New Roman" w:cs="Times New Roman"/>
          <w:sz w:val="24"/>
          <w:szCs w:val="24"/>
          <w:lang w:val="en-GB"/>
        </w:rPr>
      </w:pPr>
      <w:r w:rsidRPr="00D60D16">
        <w:rPr>
          <w:rFonts w:ascii="Times New Roman" w:hAnsi="Times New Roman" w:cs="Times New Roman"/>
          <w:sz w:val="20"/>
          <w:szCs w:val="24"/>
          <w:lang w:val="en-GB"/>
        </w:rPr>
        <w:t xml:space="preserve">Figure </w:t>
      </w:r>
      <w:r w:rsidR="00C739DD">
        <w:rPr>
          <w:rFonts w:ascii="Times New Roman" w:hAnsi="Times New Roman" w:cs="Times New Roman"/>
          <w:sz w:val="20"/>
          <w:szCs w:val="24"/>
          <w:lang w:val="en-GB"/>
        </w:rPr>
        <w:t>S</w:t>
      </w:r>
      <w:r>
        <w:rPr>
          <w:rFonts w:ascii="Times New Roman" w:hAnsi="Times New Roman" w:cs="Times New Roman"/>
          <w:sz w:val="20"/>
          <w:szCs w:val="24"/>
          <w:lang w:val="en-GB"/>
        </w:rPr>
        <w:t>1</w:t>
      </w:r>
      <w:r w:rsidRPr="00D60D16">
        <w:rPr>
          <w:rFonts w:ascii="Times New Roman" w:hAnsi="Times New Roman" w:cs="Times New Roman"/>
          <w:sz w:val="20"/>
          <w:szCs w:val="24"/>
          <w:lang w:val="en-GB"/>
        </w:rPr>
        <w:t xml:space="preserve">. </w:t>
      </w:r>
      <w:r>
        <w:rPr>
          <w:rFonts w:ascii="Times New Roman" w:hAnsi="Times New Roman" w:cs="Times New Roman"/>
          <w:sz w:val="20"/>
          <w:szCs w:val="24"/>
          <w:lang w:val="en-GB"/>
        </w:rPr>
        <w:t>Scrubber washwater metal concentrations (µg L</w:t>
      </w:r>
      <w:r w:rsidRPr="003F18E0">
        <w:rPr>
          <w:rFonts w:ascii="Times New Roman" w:hAnsi="Times New Roman" w:cs="Times New Roman"/>
          <w:sz w:val="20"/>
          <w:szCs w:val="24"/>
          <w:vertAlign w:val="superscript"/>
          <w:lang w:val="en-GB"/>
        </w:rPr>
        <w:t>-1</w:t>
      </w:r>
      <w:r>
        <w:rPr>
          <w:rFonts w:ascii="Times New Roman" w:hAnsi="Times New Roman" w:cs="Times New Roman"/>
          <w:sz w:val="20"/>
          <w:szCs w:val="24"/>
          <w:lang w:val="en-GB"/>
        </w:rPr>
        <w:t xml:space="preserve">) sampled right before discharge. Open and closed loop data combined. Values below limit of quantification (LOQ) white, values above LOQ black. </w:t>
      </w:r>
      <w:r w:rsidRPr="00377A9F">
        <w:rPr>
          <w:rFonts w:ascii="Times New Roman" w:hAnsi="Times New Roman" w:cs="Times New Roman"/>
          <w:sz w:val="20"/>
          <w:szCs w:val="24"/>
          <w:lang w:val="en-GB"/>
        </w:rPr>
        <w:t xml:space="preserve">Y-axis in logarithmic scale. </w:t>
      </w:r>
      <w:r>
        <w:rPr>
          <w:rFonts w:ascii="Times New Roman" w:hAnsi="Times New Roman" w:cs="Times New Roman"/>
          <w:sz w:val="20"/>
          <w:szCs w:val="24"/>
          <w:lang w:val="en-GB"/>
        </w:rPr>
        <w:t xml:space="preserve">Different LOQ values per parameter are displayed, because reported LOQ values differ among different datasets. </w:t>
      </w:r>
    </w:p>
    <w:p w:rsidR="00345F95" w:rsidRDefault="00345F95" w:rsidP="00C31474">
      <w:pPr>
        <w:spacing w:after="0"/>
        <w:jc w:val="both"/>
        <w:rPr>
          <w:rFonts w:ascii="Times New Roman" w:hAnsi="Times New Roman" w:cs="Times New Roman"/>
          <w:sz w:val="20"/>
          <w:szCs w:val="24"/>
          <w:lang w:val="en-GB"/>
        </w:rPr>
      </w:pPr>
      <w:r w:rsidRPr="00050B47">
        <w:rPr>
          <w:noProof/>
          <w:lang w:val="nl-BE" w:eastAsia="nl-BE"/>
        </w:rPr>
        <w:drawing>
          <wp:inline distT="0" distB="0" distL="0" distR="0" wp14:anchorId="74C6E5A9" wp14:editId="0D657132">
            <wp:extent cx="4119523" cy="33909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2763" b="2156"/>
                    <a:stretch/>
                  </pic:blipFill>
                  <pic:spPr bwMode="auto">
                    <a:xfrm>
                      <a:off x="0" y="0"/>
                      <a:ext cx="4123776" cy="3394401"/>
                    </a:xfrm>
                    <a:prstGeom prst="rect">
                      <a:avLst/>
                    </a:prstGeom>
                    <a:noFill/>
                    <a:ln>
                      <a:noFill/>
                    </a:ln>
                    <a:extLst>
                      <a:ext uri="{53640926-AAD7-44D8-BBD7-CCE9431645EC}">
                        <a14:shadowObscured xmlns:a14="http://schemas.microsoft.com/office/drawing/2010/main"/>
                      </a:ext>
                    </a:extLst>
                  </pic:spPr>
                </pic:pic>
              </a:graphicData>
            </a:graphic>
          </wp:inline>
        </w:drawing>
      </w:r>
    </w:p>
    <w:p w:rsidR="00345F95" w:rsidRPr="0000590F" w:rsidRDefault="00345F95" w:rsidP="00345F95">
      <w:pPr>
        <w:jc w:val="both"/>
        <w:rPr>
          <w:rFonts w:ascii="Times New Roman" w:hAnsi="Times New Roman" w:cs="Times New Roman"/>
          <w:sz w:val="20"/>
          <w:szCs w:val="24"/>
          <w:lang w:val="en-GB"/>
        </w:rPr>
      </w:pPr>
      <w:r w:rsidRPr="00D60D16">
        <w:rPr>
          <w:rFonts w:ascii="Times New Roman" w:hAnsi="Times New Roman" w:cs="Times New Roman"/>
          <w:sz w:val="20"/>
          <w:szCs w:val="24"/>
          <w:lang w:val="en-GB"/>
        </w:rPr>
        <w:t xml:space="preserve">Figure </w:t>
      </w:r>
      <w:r w:rsidR="00C739DD">
        <w:rPr>
          <w:rFonts w:ascii="Times New Roman" w:hAnsi="Times New Roman" w:cs="Times New Roman"/>
          <w:sz w:val="20"/>
          <w:szCs w:val="24"/>
          <w:lang w:val="en-GB"/>
        </w:rPr>
        <w:t>S</w:t>
      </w:r>
      <w:r>
        <w:rPr>
          <w:rFonts w:ascii="Times New Roman" w:hAnsi="Times New Roman" w:cs="Times New Roman"/>
          <w:sz w:val="20"/>
          <w:szCs w:val="24"/>
          <w:lang w:val="en-GB"/>
        </w:rPr>
        <w:t>2</w:t>
      </w:r>
      <w:r w:rsidRPr="00D60D16">
        <w:rPr>
          <w:rFonts w:ascii="Times New Roman" w:hAnsi="Times New Roman" w:cs="Times New Roman"/>
          <w:sz w:val="20"/>
          <w:szCs w:val="24"/>
          <w:lang w:val="en-GB"/>
        </w:rPr>
        <w:t xml:space="preserve">. </w:t>
      </w:r>
      <w:r>
        <w:rPr>
          <w:rFonts w:ascii="Times New Roman" w:hAnsi="Times New Roman" w:cs="Times New Roman"/>
          <w:sz w:val="20"/>
          <w:szCs w:val="24"/>
          <w:lang w:val="en-GB"/>
        </w:rPr>
        <w:t>Scrubber washwater PAH concentrations (µg L</w:t>
      </w:r>
      <w:r w:rsidRPr="003F18E0">
        <w:rPr>
          <w:rFonts w:ascii="Times New Roman" w:hAnsi="Times New Roman" w:cs="Times New Roman"/>
          <w:sz w:val="20"/>
          <w:szCs w:val="24"/>
          <w:vertAlign w:val="superscript"/>
          <w:lang w:val="en-GB"/>
        </w:rPr>
        <w:t>-1</w:t>
      </w:r>
      <w:r>
        <w:rPr>
          <w:rFonts w:ascii="Times New Roman" w:hAnsi="Times New Roman" w:cs="Times New Roman"/>
          <w:sz w:val="20"/>
          <w:szCs w:val="24"/>
          <w:lang w:val="en-GB"/>
        </w:rPr>
        <w:t xml:space="preserve">) sampled right before discharge. Open and closed loop data combined. Values below limit of quantification (LOQ) white, values above LOQ black. </w:t>
      </w:r>
      <w:r w:rsidRPr="00377A9F">
        <w:rPr>
          <w:rFonts w:ascii="Times New Roman" w:hAnsi="Times New Roman" w:cs="Times New Roman"/>
          <w:sz w:val="20"/>
          <w:szCs w:val="24"/>
          <w:lang w:val="en-GB"/>
        </w:rPr>
        <w:t>Y-axis in logarithmic scale.</w:t>
      </w:r>
      <w:r w:rsidRPr="0000590F">
        <w:rPr>
          <w:rFonts w:ascii="Times New Roman" w:hAnsi="Times New Roman" w:cs="Times New Roman"/>
          <w:sz w:val="20"/>
          <w:szCs w:val="24"/>
          <w:lang w:val="en-GB"/>
        </w:rPr>
        <w:t xml:space="preserve"> </w:t>
      </w:r>
      <w:r>
        <w:rPr>
          <w:rFonts w:ascii="Times New Roman" w:hAnsi="Times New Roman" w:cs="Times New Roman"/>
          <w:sz w:val="20"/>
          <w:szCs w:val="24"/>
          <w:lang w:val="en-GB"/>
        </w:rPr>
        <w:t>Different LOQ values per parameter are displayed, because reported LOQ values differ among different datasets.</w:t>
      </w:r>
    </w:p>
    <w:p w:rsidR="00345F95" w:rsidRDefault="00345F95" w:rsidP="00345F95">
      <w:pPr>
        <w:jc w:val="both"/>
        <w:rPr>
          <w:rFonts w:ascii="Times New Roman" w:hAnsi="Times New Roman" w:cs="Times New Roman"/>
          <w:sz w:val="24"/>
          <w:szCs w:val="24"/>
          <w:lang w:val="en-GB"/>
        </w:rPr>
      </w:pPr>
    </w:p>
    <w:p w:rsidR="00C31474" w:rsidRPr="00050B47" w:rsidRDefault="00C31474" w:rsidP="00345F95">
      <w:pPr>
        <w:jc w:val="both"/>
        <w:rPr>
          <w:rFonts w:ascii="Times New Roman" w:hAnsi="Times New Roman" w:cs="Times New Roman"/>
          <w:sz w:val="24"/>
          <w:szCs w:val="24"/>
          <w:lang w:val="en-GB"/>
        </w:rPr>
      </w:pPr>
    </w:p>
    <w:p w:rsidR="00546F22" w:rsidRDefault="00546F22" w:rsidP="00345F95">
      <w:pPr>
        <w:jc w:val="both"/>
        <w:rPr>
          <w:rFonts w:ascii="Times New Roman" w:hAnsi="Times New Roman" w:cs="Times New Roman"/>
          <w:sz w:val="20"/>
          <w:szCs w:val="24"/>
        </w:rPr>
      </w:pPr>
      <w:r>
        <w:rPr>
          <w:rFonts w:ascii="Times New Roman" w:hAnsi="Times New Roman" w:cs="Times New Roman"/>
          <w:sz w:val="20"/>
          <w:szCs w:val="24"/>
        </w:rPr>
        <w:lastRenderedPageBreak/>
        <w:t xml:space="preserve">Table </w:t>
      </w:r>
      <w:r w:rsidR="00C739DD">
        <w:rPr>
          <w:rFonts w:ascii="Times New Roman" w:hAnsi="Times New Roman" w:cs="Times New Roman"/>
          <w:sz w:val="20"/>
          <w:szCs w:val="24"/>
        </w:rPr>
        <w:t>S</w:t>
      </w:r>
      <w:r>
        <w:rPr>
          <w:rFonts w:ascii="Times New Roman" w:hAnsi="Times New Roman" w:cs="Times New Roman"/>
          <w:sz w:val="20"/>
          <w:szCs w:val="24"/>
        </w:rPr>
        <w:t>1</w:t>
      </w:r>
    </w:p>
    <w:p w:rsidR="00546F22" w:rsidRDefault="00546F22" w:rsidP="00345F95">
      <w:pPr>
        <w:jc w:val="both"/>
        <w:rPr>
          <w:rFonts w:ascii="Times New Roman" w:hAnsi="Times New Roman" w:cs="Times New Roman"/>
          <w:sz w:val="20"/>
          <w:szCs w:val="24"/>
        </w:rPr>
      </w:pPr>
      <w:r>
        <w:rPr>
          <w:rFonts w:ascii="Times New Roman" w:hAnsi="Times New Roman" w:cs="Times New Roman"/>
          <w:sz w:val="20"/>
          <w:szCs w:val="24"/>
        </w:rPr>
        <w:t xml:space="preserve">See Excel file. </w:t>
      </w:r>
    </w:p>
    <w:p w:rsidR="00345F95" w:rsidRPr="00377A9F" w:rsidRDefault="00345F95" w:rsidP="00345F95">
      <w:pPr>
        <w:jc w:val="both"/>
        <w:rPr>
          <w:rFonts w:ascii="Times New Roman" w:hAnsi="Times New Roman" w:cs="Times New Roman"/>
          <w:sz w:val="20"/>
          <w:szCs w:val="24"/>
        </w:rPr>
      </w:pPr>
      <w:r w:rsidRPr="004A26EF">
        <w:rPr>
          <w:rFonts w:ascii="Times New Roman" w:hAnsi="Times New Roman" w:cs="Times New Roman"/>
          <w:sz w:val="20"/>
          <w:szCs w:val="24"/>
        </w:rPr>
        <w:t xml:space="preserve">Table </w:t>
      </w:r>
      <w:r w:rsidR="00C739DD">
        <w:rPr>
          <w:rFonts w:ascii="Times New Roman" w:hAnsi="Times New Roman" w:cs="Times New Roman"/>
          <w:sz w:val="20"/>
          <w:szCs w:val="24"/>
        </w:rPr>
        <w:t>S</w:t>
      </w:r>
      <w:r w:rsidRPr="004A26EF">
        <w:rPr>
          <w:rFonts w:ascii="Times New Roman" w:hAnsi="Times New Roman" w:cs="Times New Roman"/>
          <w:sz w:val="20"/>
          <w:szCs w:val="24"/>
        </w:rPr>
        <w:t xml:space="preserve">2. </w:t>
      </w:r>
      <w:r w:rsidRPr="00377A9F">
        <w:rPr>
          <w:rFonts w:ascii="Times New Roman" w:hAnsi="Times New Roman" w:cs="Times New Roman"/>
          <w:sz w:val="20"/>
          <w:szCs w:val="24"/>
        </w:rPr>
        <w:t>The total number of washwater samples (</w:t>
      </w:r>
      <w:r>
        <w:rPr>
          <w:rFonts w:ascii="Times New Roman" w:hAnsi="Times New Roman" w:cs="Times New Roman"/>
          <w:sz w:val="20"/>
          <w:szCs w:val="24"/>
        </w:rPr>
        <w:t xml:space="preserve">n, </w:t>
      </w:r>
      <w:r w:rsidRPr="00377A9F">
        <w:rPr>
          <w:rFonts w:ascii="Times New Roman" w:hAnsi="Times New Roman" w:cs="Times New Roman"/>
          <w:sz w:val="20"/>
          <w:szCs w:val="24"/>
        </w:rPr>
        <w:t xml:space="preserve">open and closed loop combined) and the </w:t>
      </w:r>
      <w:r>
        <w:rPr>
          <w:rFonts w:ascii="Times New Roman" w:hAnsi="Times New Roman" w:cs="Times New Roman"/>
          <w:sz w:val="20"/>
          <w:szCs w:val="24"/>
        </w:rPr>
        <w:t>percentage</w:t>
      </w:r>
      <w:r w:rsidRPr="00377A9F">
        <w:rPr>
          <w:rFonts w:ascii="Times New Roman" w:hAnsi="Times New Roman" w:cs="Times New Roman"/>
          <w:sz w:val="20"/>
          <w:szCs w:val="24"/>
        </w:rPr>
        <w:t xml:space="preserve"> of values which were reported</w:t>
      </w:r>
      <w:r>
        <w:rPr>
          <w:rFonts w:ascii="Times New Roman" w:hAnsi="Times New Roman" w:cs="Times New Roman"/>
          <w:sz w:val="20"/>
          <w:szCs w:val="24"/>
        </w:rPr>
        <w:t xml:space="preserve"> to be</w:t>
      </w:r>
      <w:r w:rsidRPr="00377A9F">
        <w:rPr>
          <w:rFonts w:ascii="Times New Roman" w:hAnsi="Times New Roman" w:cs="Times New Roman"/>
          <w:sz w:val="20"/>
          <w:szCs w:val="24"/>
        </w:rPr>
        <w:t xml:space="preserve"> below the limit of quantification (BLOQ). </w:t>
      </w:r>
      <w:r>
        <w:rPr>
          <w:rFonts w:ascii="Times New Roman" w:hAnsi="Times New Roman" w:cs="Times New Roman"/>
          <w:sz w:val="20"/>
          <w:szCs w:val="24"/>
        </w:rPr>
        <w:t xml:space="preserve">The parameters in bold and underlined are included in further analysis. </w:t>
      </w:r>
    </w:p>
    <w:tbl>
      <w:tblPr>
        <w:tblpPr w:leftFromText="141" w:rightFromText="141" w:vertAnchor="text" w:tblpY="1"/>
        <w:tblOverlap w:val="never"/>
        <w:tblW w:w="3276" w:type="dxa"/>
        <w:tblLook w:val="04A0" w:firstRow="1" w:lastRow="0" w:firstColumn="1" w:lastColumn="0" w:noHBand="0" w:noVBand="1"/>
      </w:tblPr>
      <w:tblGrid>
        <w:gridCol w:w="1184"/>
        <w:gridCol w:w="960"/>
        <w:gridCol w:w="1132"/>
      </w:tblGrid>
      <w:tr w:rsidR="00345F95" w:rsidRPr="00377A9F" w:rsidTr="004D42DB">
        <w:trPr>
          <w:trHeight w:val="300"/>
        </w:trPr>
        <w:tc>
          <w:tcPr>
            <w:tcW w:w="1184" w:type="dxa"/>
            <w:tcBorders>
              <w:top w:val="nil"/>
              <w:left w:val="nil"/>
              <w:bottom w:val="single" w:sz="4" w:space="0" w:color="auto"/>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Parameter</w:t>
            </w:r>
          </w:p>
        </w:tc>
        <w:tc>
          <w:tcPr>
            <w:tcW w:w="960" w:type="dxa"/>
            <w:tcBorders>
              <w:top w:val="nil"/>
              <w:left w:val="nil"/>
              <w:bottom w:val="single" w:sz="4" w:space="0" w:color="auto"/>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n</w:t>
            </w:r>
          </w:p>
        </w:tc>
        <w:tc>
          <w:tcPr>
            <w:tcW w:w="1132" w:type="dxa"/>
            <w:tcBorders>
              <w:top w:val="nil"/>
              <w:left w:val="nil"/>
              <w:bottom w:val="single" w:sz="4" w:space="0" w:color="auto"/>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 xml:space="preserve"> % BLOQ</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As</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66</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71</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Cd</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65</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92</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Cr</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57</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56</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Cu</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69</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28</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Hg</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33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85</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Pb</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66</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70</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Mo</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2</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0</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Ni</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67</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6</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Zn</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69</w:t>
            </w:r>
          </w:p>
        </w:tc>
        <w:tc>
          <w:tcPr>
            <w:tcW w:w="1132" w:type="dxa"/>
            <w:tcBorders>
              <w:top w:val="nil"/>
              <w:left w:val="nil"/>
              <w:bottom w:val="nil"/>
              <w:right w:val="nil"/>
            </w:tcBorders>
            <w:shd w:val="clear" w:color="auto" w:fill="auto"/>
            <w:noWrap/>
            <w:vAlign w:val="bottom"/>
            <w:hideMark/>
          </w:tcPr>
          <w:p w:rsidR="00345F95" w:rsidRPr="00377A9F" w:rsidRDefault="00A512D2" w:rsidP="004D42DB">
            <w:pPr>
              <w:spacing w:after="0" w:line="240" w:lineRule="auto"/>
              <w:jc w:val="center"/>
              <w:rPr>
                <w:rFonts w:ascii="Calibri" w:eastAsia="Times New Roman" w:hAnsi="Calibri" w:cs="Calibri"/>
                <w:b/>
                <w:bCs/>
                <w:color w:val="000000"/>
                <w:lang w:val="en-GB"/>
              </w:rPr>
            </w:pPr>
            <w:r>
              <w:rPr>
                <w:rFonts w:ascii="Calibri" w:eastAsia="Times New Roman" w:hAnsi="Calibri" w:cs="Calibri"/>
                <w:b/>
                <w:bCs/>
                <w:color w:val="000000"/>
                <w:lang w:val="en-GB"/>
              </w:rPr>
              <w:t>30</w:t>
            </w:r>
          </w:p>
        </w:tc>
      </w:tr>
      <w:tr w:rsidR="00345F95" w:rsidRPr="00377A9F" w:rsidTr="004D42DB">
        <w:trPr>
          <w:trHeight w:val="300"/>
        </w:trPr>
        <w:tc>
          <w:tcPr>
            <w:tcW w:w="1184" w:type="dxa"/>
            <w:tcBorders>
              <w:top w:val="nil"/>
              <w:left w:val="nil"/>
              <w:bottom w:val="single" w:sz="4" w:space="0" w:color="auto"/>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V</w:t>
            </w:r>
          </w:p>
        </w:tc>
        <w:tc>
          <w:tcPr>
            <w:tcW w:w="960" w:type="dxa"/>
            <w:tcBorders>
              <w:top w:val="nil"/>
              <w:left w:val="nil"/>
              <w:bottom w:val="single" w:sz="4" w:space="0" w:color="auto"/>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68</w:t>
            </w:r>
          </w:p>
        </w:tc>
        <w:tc>
          <w:tcPr>
            <w:tcW w:w="1132" w:type="dxa"/>
            <w:tcBorders>
              <w:top w:val="nil"/>
              <w:left w:val="nil"/>
              <w:bottom w:val="single" w:sz="4" w:space="0" w:color="auto"/>
              <w:right w:val="nil"/>
            </w:tcBorders>
            <w:shd w:val="clear" w:color="auto" w:fill="auto"/>
            <w:noWrap/>
            <w:vAlign w:val="bottom"/>
            <w:hideMark/>
          </w:tcPr>
          <w:p w:rsidR="00345F95" w:rsidRPr="00377A9F" w:rsidRDefault="00A512D2" w:rsidP="004D42DB">
            <w:pPr>
              <w:spacing w:after="0" w:line="240" w:lineRule="auto"/>
              <w:jc w:val="center"/>
              <w:rPr>
                <w:rFonts w:ascii="Calibri" w:eastAsia="Times New Roman" w:hAnsi="Calibri" w:cs="Calibri"/>
                <w:b/>
                <w:bCs/>
                <w:color w:val="000000"/>
                <w:lang w:val="en-GB"/>
              </w:rPr>
            </w:pPr>
            <w:r>
              <w:rPr>
                <w:rFonts w:ascii="Calibri" w:eastAsia="Times New Roman" w:hAnsi="Calibri" w:cs="Calibri"/>
                <w:b/>
                <w:bCs/>
                <w:color w:val="000000"/>
                <w:lang w:val="en-GB"/>
              </w:rPr>
              <w:t>0</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Ace</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15</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Acy</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25</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Ant</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25</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B(a)A</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47</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B(a)P</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72</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B(b)F</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58</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B(ghi)P</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75</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B(k)F</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52</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83</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Chr</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28</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D(a,h)A</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92</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Fluoran</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9</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Flu</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2</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I(123cd)P</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color w:val="000000"/>
                <w:lang w:val="en-GB"/>
              </w:rPr>
            </w:pPr>
            <w:r w:rsidRPr="00377A9F">
              <w:rPr>
                <w:rFonts w:ascii="Calibri" w:eastAsia="Times New Roman" w:hAnsi="Calibri" w:cs="Calibri"/>
                <w:color w:val="000000"/>
                <w:lang w:val="en-GB"/>
              </w:rPr>
              <w:t>87</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Naph</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59</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0</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Phe</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0</w:t>
            </w:r>
          </w:p>
        </w:tc>
      </w:tr>
      <w:tr w:rsidR="00345F95" w:rsidRPr="00377A9F" w:rsidTr="004D42DB">
        <w:trPr>
          <w:trHeight w:val="300"/>
        </w:trPr>
        <w:tc>
          <w:tcPr>
            <w:tcW w:w="1184"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Pry</w:t>
            </w:r>
          </w:p>
        </w:tc>
        <w:tc>
          <w:tcPr>
            <w:tcW w:w="960"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53</w:t>
            </w:r>
          </w:p>
        </w:tc>
        <w:tc>
          <w:tcPr>
            <w:tcW w:w="1132" w:type="dxa"/>
            <w:tcBorders>
              <w:top w:val="nil"/>
              <w:left w:val="nil"/>
              <w:bottom w:val="nil"/>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13</w:t>
            </w:r>
          </w:p>
        </w:tc>
      </w:tr>
      <w:tr w:rsidR="00345F95" w:rsidRPr="00377A9F" w:rsidTr="004D42DB">
        <w:trPr>
          <w:trHeight w:val="300"/>
        </w:trPr>
        <w:tc>
          <w:tcPr>
            <w:tcW w:w="1184" w:type="dxa"/>
            <w:tcBorders>
              <w:top w:val="nil"/>
              <w:left w:val="nil"/>
              <w:bottom w:val="single" w:sz="4" w:space="0" w:color="auto"/>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u w:val="single"/>
                <w:lang w:val="en-GB"/>
              </w:rPr>
            </w:pPr>
            <w:r w:rsidRPr="00377A9F">
              <w:rPr>
                <w:rFonts w:ascii="Calibri" w:eastAsia="Times New Roman" w:hAnsi="Calibri" w:cs="Calibri"/>
                <w:b/>
                <w:bCs/>
                <w:color w:val="000000"/>
                <w:u w:val="single"/>
                <w:lang w:val="en-GB"/>
              </w:rPr>
              <w:t>Total PAH</w:t>
            </w:r>
          </w:p>
        </w:tc>
        <w:tc>
          <w:tcPr>
            <w:tcW w:w="960" w:type="dxa"/>
            <w:tcBorders>
              <w:top w:val="nil"/>
              <w:left w:val="nil"/>
              <w:bottom w:val="single" w:sz="4" w:space="0" w:color="auto"/>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61</w:t>
            </w:r>
          </w:p>
        </w:tc>
        <w:tc>
          <w:tcPr>
            <w:tcW w:w="1132" w:type="dxa"/>
            <w:tcBorders>
              <w:top w:val="nil"/>
              <w:left w:val="nil"/>
              <w:bottom w:val="single" w:sz="4" w:space="0" w:color="auto"/>
              <w:right w:val="nil"/>
            </w:tcBorders>
            <w:shd w:val="clear" w:color="auto" w:fill="auto"/>
            <w:noWrap/>
            <w:vAlign w:val="bottom"/>
            <w:hideMark/>
          </w:tcPr>
          <w:p w:rsidR="00345F95" w:rsidRPr="00377A9F" w:rsidRDefault="00345F95" w:rsidP="004D42DB">
            <w:pPr>
              <w:spacing w:after="0" w:line="240" w:lineRule="auto"/>
              <w:jc w:val="center"/>
              <w:rPr>
                <w:rFonts w:ascii="Calibri" w:eastAsia="Times New Roman" w:hAnsi="Calibri" w:cs="Calibri"/>
                <w:b/>
                <w:bCs/>
                <w:color w:val="000000"/>
                <w:lang w:val="en-GB"/>
              </w:rPr>
            </w:pPr>
            <w:r w:rsidRPr="00377A9F">
              <w:rPr>
                <w:rFonts w:ascii="Calibri" w:eastAsia="Times New Roman" w:hAnsi="Calibri" w:cs="Calibri"/>
                <w:b/>
                <w:bCs/>
                <w:color w:val="000000"/>
                <w:lang w:val="en-GB"/>
              </w:rPr>
              <w:t>5</w:t>
            </w:r>
          </w:p>
        </w:tc>
      </w:tr>
    </w:tbl>
    <w:p w:rsidR="00345F95" w:rsidRDefault="00345F95" w:rsidP="00345F95">
      <w:pPr>
        <w:jc w:val="both"/>
        <w:rPr>
          <w:rFonts w:ascii="Times New Roman" w:hAnsi="Times New Roman" w:cs="Times New Roman"/>
          <w:sz w:val="24"/>
          <w:szCs w:val="24"/>
          <w:lang w:val="en-GB"/>
        </w:rPr>
      </w:pPr>
      <w:r>
        <w:rPr>
          <w:rFonts w:ascii="Times New Roman" w:hAnsi="Times New Roman" w:cs="Times New Roman"/>
          <w:sz w:val="24"/>
          <w:szCs w:val="24"/>
          <w:lang w:val="en-GB"/>
        </w:rPr>
        <w:br w:type="textWrapping" w:clear="all"/>
      </w:r>
    </w:p>
    <w:p w:rsidR="00546F22" w:rsidRDefault="00546F22" w:rsidP="00345F95">
      <w:pPr>
        <w:jc w:val="both"/>
        <w:rPr>
          <w:rFonts w:ascii="Times New Roman" w:hAnsi="Times New Roman" w:cs="Times New Roman"/>
          <w:sz w:val="24"/>
          <w:szCs w:val="24"/>
          <w:lang w:val="en-GB"/>
        </w:rPr>
      </w:pPr>
    </w:p>
    <w:p w:rsidR="00546F22" w:rsidRDefault="00546F22" w:rsidP="00345F95">
      <w:pPr>
        <w:jc w:val="both"/>
        <w:rPr>
          <w:rFonts w:ascii="Times New Roman" w:hAnsi="Times New Roman" w:cs="Times New Roman"/>
          <w:sz w:val="24"/>
          <w:szCs w:val="24"/>
          <w:lang w:val="en-GB"/>
        </w:rPr>
      </w:pPr>
    </w:p>
    <w:p w:rsidR="00546F22" w:rsidRDefault="00546F22" w:rsidP="00345F95">
      <w:pPr>
        <w:jc w:val="both"/>
        <w:rPr>
          <w:rFonts w:ascii="Times New Roman" w:hAnsi="Times New Roman" w:cs="Times New Roman"/>
          <w:sz w:val="24"/>
          <w:szCs w:val="24"/>
          <w:lang w:val="en-GB"/>
        </w:rPr>
      </w:pPr>
    </w:p>
    <w:p w:rsidR="00546F22" w:rsidRDefault="00546F22" w:rsidP="00345F95">
      <w:pPr>
        <w:jc w:val="both"/>
        <w:rPr>
          <w:rFonts w:ascii="Times New Roman" w:hAnsi="Times New Roman" w:cs="Times New Roman"/>
          <w:sz w:val="24"/>
          <w:szCs w:val="24"/>
          <w:lang w:val="en-GB"/>
        </w:rPr>
      </w:pPr>
    </w:p>
    <w:p w:rsidR="00546F22" w:rsidRDefault="00546F22" w:rsidP="00345F95">
      <w:pPr>
        <w:jc w:val="both"/>
        <w:rPr>
          <w:rFonts w:ascii="Times New Roman" w:hAnsi="Times New Roman" w:cs="Times New Roman"/>
          <w:sz w:val="24"/>
          <w:szCs w:val="24"/>
          <w:lang w:val="en-GB"/>
        </w:rPr>
      </w:pPr>
    </w:p>
    <w:p w:rsidR="00546F22" w:rsidRPr="00050B47" w:rsidRDefault="00546F22" w:rsidP="00345F95">
      <w:pPr>
        <w:jc w:val="both"/>
        <w:rPr>
          <w:rFonts w:ascii="Times New Roman" w:hAnsi="Times New Roman" w:cs="Times New Roman"/>
          <w:sz w:val="24"/>
          <w:szCs w:val="24"/>
          <w:lang w:val="en-GB"/>
        </w:rPr>
      </w:pPr>
    </w:p>
    <w:p w:rsidR="00415255" w:rsidRDefault="00415255" w:rsidP="00415255">
      <w:pPr>
        <w:jc w:val="both"/>
        <w:rPr>
          <w:rFonts w:ascii="Times New Roman" w:hAnsi="Times New Roman" w:cs="Times New Roman"/>
          <w:sz w:val="24"/>
          <w:szCs w:val="24"/>
          <w:lang w:val="en-GB"/>
        </w:rPr>
      </w:pPr>
      <w:r w:rsidRPr="00036E9E">
        <w:rPr>
          <w:rFonts w:ascii="Times New Roman" w:hAnsi="Times New Roman" w:cs="Times New Roman"/>
          <w:b/>
          <w:sz w:val="24"/>
          <w:szCs w:val="24"/>
          <w:lang w:val="en-GB"/>
        </w:rPr>
        <w:lastRenderedPageBreak/>
        <w:t xml:space="preserve">Table </w:t>
      </w:r>
      <w:r>
        <w:rPr>
          <w:rFonts w:ascii="Times New Roman" w:hAnsi="Times New Roman" w:cs="Times New Roman"/>
          <w:b/>
          <w:sz w:val="24"/>
          <w:szCs w:val="24"/>
          <w:lang w:val="en-GB"/>
        </w:rPr>
        <w:t>S3</w:t>
      </w:r>
      <w:r w:rsidRPr="00036E9E">
        <w:rPr>
          <w:rFonts w:ascii="Times New Roman" w:hAnsi="Times New Roman" w:cs="Times New Roman"/>
          <w:b/>
          <w:sz w:val="24"/>
          <w:szCs w:val="24"/>
          <w:lang w:val="en-GB"/>
        </w:rPr>
        <w:t xml:space="preserve">. </w:t>
      </w:r>
      <w:r w:rsidRPr="00036E9E">
        <w:rPr>
          <w:rFonts w:ascii="Times New Roman" w:hAnsi="Times New Roman" w:cs="Times New Roman"/>
          <w:sz w:val="24"/>
          <w:szCs w:val="24"/>
          <w:lang w:val="en-GB"/>
        </w:rPr>
        <w:t xml:space="preserve">Summarising numbers on scrubber washwater concentrations, fluxes and impact on water quality for scenario </w:t>
      </w:r>
      <w:r>
        <w:rPr>
          <w:rFonts w:ascii="Times New Roman" w:hAnsi="Times New Roman" w:cs="Times New Roman"/>
          <w:sz w:val="24"/>
          <w:szCs w:val="24"/>
          <w:lang w:val="en-GB"/>
        </w:rPr>
        <w:t>low (1</w:t>
      </w:r>
      <w:r w:rsidRPr="00036E9E">
        <w:rPr>
          <w:rFonts w:ascii="Times New Roman" w:hAnsi="Times New Roman" w:cs="Times New Roman"/>
          <w:sz w:val="24"/>
          <w:szCs w:val="24"/>
          <w:lang w:val="en-GB"/>
        </w:rPr>
        <w:t xml:space="preserve">0% scrubbers). </w:t>
      </w:r>
    </w:p>
    <w:p w:rsidR="0039715E" w:rsidRDefault="0039715E" w:rsidP="00415255">
      <w:pPr>
        <w:jc w:val="both"/>
        <w:rPr>
          <w:rFonts w:ascii="Times New Roman" w:hAnsi="Times New Roman" w:cs="Times New Roman"/>
          <w:sz w:val="24"/>
          <w:szCs w:val="24"/>
          <w:lang w:val="en-GB"/>
        </w:rPr>
      </w:pPr>
      <w:r w:rsidRPr="0039715E">
        <w:drawing>
          <wp:inline distT="0" distB="0" distL="0" distR="0" wp14:anchorId="1532BECB" wp14:editId="1FC58786">
            <wp:extent cx="5731510" cy="2018665"/>
            <wp:effectExtent l="0" t="0" r="254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31510" cy="2018665"/>
                    </a:xfrm>
                    <a:prstGeom prst="rect">
                      <a:avLst/>
                    </a:prstGeom>
                  </pic:spPr>
                </pic:pic>
              </a:graphicData>
            </a:graphic>
          </wp:inline>
        </w:drawing>
      </w:r>
    </w:p>
    <w:p w:rsidR="00C739DD" w:rsidRPr="00C739DD" w:rsidRDefault="00C739DD" w:rsidP="00C739DD">
      <w:pPr>
        <w:spacing w:after="0"/>
        <w:jc w:val="both"/>
        <w:rPr>
          <w:rFonts w:ascii="Times New Roman" w:eastAsia="Calibri" w:hAnsi="Times New Roman" w:cs="Times New Roman"/>
          <w:sz w:val="20"/>
          <w:szCs w:val="24"/>
          <w:lang w:val="en-GB"/>
        </w:rPr>
      </w:pPr>
      <w:bookmarkStart w:id="0" w:name="_GoBack"/>
      <w:bookmarkEnd w:id="0"/>
      <w:r w:rsidRPr="00C739DD">
        <w:rPr>
          <w:rFonts w:ascii="Times New Roman" w:eastAsia="Calibri" w:hAnsi="Times New Roman" w:cs="Times New Roman"/>
          <w:sz w:val="20"/>
          <w:szCs w:val="24"/>
          <w:lang w:val="en-GB"/>
        </w:rPr>
        <w:t>(1) Average values for total concentrations in the harbour docks</w:t>
      </w:r>
    </w:p>
    <w:p w:rsidR="00C739DD" w:rsidRPr="00C739DD" w:rsidRDefault="00C739DD" w:rsidP="00C739DD">
      <w:pPr>
        <w:rPr>
          <w:rFonts w:ascii="Times New Roman" w:eastAsia="Calibri" w:hAnsi="Times New Roman" w:cs="Times New Roman"/>
          <w:sz w:val="20"/>
          <w:lang w:val="en-GB"/>
        </w:rPr>
      </w:pPr>
      <w:r w:rsidRPr="00C739DD">
        <w:rPr>
          <w:rFonts w:ascii="Times New Roman" w:eastAsia="Calibri" w:hAnsi="Times New Roman" w:cs="Times New Roman"/>
          <w:sz w:val="20"/>
          <w:lang w:val="en-GB"/>
        </w:rPr>
        <w:t>(2) Water Quality Standards (WQS) from the EU WFD (*) or Flanders (dissolved concentrations for metals, total concentrations for PAHs)</w:t>
      </w:r>
    </w:p>
    <w:p w:rsidR="00C739DD" w:rsidRDefault="00C739DD" w:rsidP="00C739DD">
      <w:pPr>
        <w:jc w:val="both"/>
        <w:rPr>
          <w:rFonts w:ascii="Times New Roman" w:hAnsi="Times New Roman" w:cs="Times New Roman"/>
          <w:sz w:val="20"/>
          <w:szCs w:val="24"/>
          <w:lang w:val="en-GB"/>
        </w:rPr>
      </w:pPr>
    </w:p>
    <w:p w:rsidR="002D1E02" w:rsidRPr="00415255" w:rsidRDefault="002D1E02">
      <w:pPr>
        <w:rPr>
          <w:lang w:val="en-GB"/>
        </w:rPr>
      </w:pPr>
    </w:p>
    <w:sectPr w:rsidR="002D1E02" w:rsidRPr="00415255">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7FEE" w:rsidRDefault="004D7FEE" w:rsidP="004D7FEE">
      <w:pPr>
        <w:spacing w:after="0" w:line="240" w:lineRule="auto"/>
      </w:pPr>
      <w:r>
        <w:separator/>
      </w:r>
    </w:p>
  </w:endnote>
  <w:endnote w:type="continuationSeparator" w:id="0">
    <w:p w:rsidR="004D7FEE" w:rsidRDefault="004D7FEE" w:rsidP="004D7F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123217"/>
      <w:docPartObj>
        <w:docPartGallery w:val="Page Numbers (Bottom of Page)"/>
        <w:docPartUnique/>
      </w:docPartObj>
    </w:sdtPr>
    <w:sdtEndPr>
      <w:rPr>
        <w:noProof/>
      </w:rPr>
    </w:sdtEndPr>
    <w:sdtContent>
      <w:p w:rsidR="004D7FEE" w:rsidRDefault="004D7FEE">
        <w:pPr>
          <w:pStyle w:val="Footer"/>
          <w:jc w:val="right"/>
        </w:pPr>
        <w:r>
          <w:fldChar w:fldCharType="begin"/>
        </w:r>
        <w:r>
          <w:instrText xml:space="preserve"> PAGE   \* MERGEFORMAT </w:instrText>
        </w:r>
        <w:r>
          <w:fldChar w:fldCharType="separate"/>
        </w:r>
        <w:r w:rsidR="00C739DD">
          <w:rPr>
            <w:noProof/>
          </w:rPr>
          <w:t>5</w:t>
        </w:r>
        <w:r>
          <w:rPr>
            <w:noProof/>
          </w:rPr>
          <w:fldChar w:fldCharType="end"/>
        </w:r>
      </w:p>
    </w:sdtContent>
  </w:sdt>
  <w:p w:rsidR="004D7FEE" w:rsidRDefault="004D7F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7FEE" w:rsidRDefault="004D7FEE" w:rsidP="004D7FEE">
      <w:pPr>
        <w:spacing w:after="0" w:line="240" w:lineRule="auto"/>
      </w:pPr>
      <w:r>
        <w:separator/>
      </w:r>
    </w:p>
  </w:footnote>
  <w:footnote w:type="continuationSeparator" w:id="0">
    <w:p w:rsidR="004D7FEE" w:rsidRDefault="004D7FEE" w:rsidP="004D7FE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D1CA8"/>
    <w:multiLevelType w:val="hybridMultilevel"/>
    <w:tmpl w:val="B8FE6460"/>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6A2444ED"/>
    <w:multiLevelType w:val="hybridMultilevel"/>
    <w:tmpl w:val="2BB2C55A"/>
    <w:lvl w:ilvl="0" w:tplc="0813000F">
      <w:start w:val="1"/>
      <w:numFmt w:val="decimal"/>
      <w:lvlText w:val="%1."/>
      <w:lvlJc w:val="left"/>
      <w:pPr>
        <w:ind w:left="720" w:hanging="360"/>
      </w:pPr>
      <w:rPr>
        <w:rFonts w:hint="default"/>
        <w:b w:val="0"/>
        <w:i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F95"/>
    <w:rsid w:val="002D1E02"/>
    <w:rsid w:val="00345F95"/>
    <w:rsid w:val="0039715E"/>
    <w:rsid w:val="00415255"/>
    <w:rsid w:val="004D7FEE"/>
    <w:rsid w:val="00546F22"/>
    <w:rsid w:val="00A31D35"/>
    <w:rsid w:val="00A512D2"/>
    <w:rsid w:val="00C31474"/>
    <w:rsid w:val="00C739DD"/>
    <w:rsid w:val="00DC59CD"/>
    <w:rsid w:val="00F902C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30309"/>
  <w15:chartTrackingRefBased/>
  <w15:docId w15:val="{B2D9D4D1-4841-4BBC-A173-B5B1F577F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45F95"/>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45F95"/>
    <w:rPr>
      <w:color w:val="0000FF"/>
      <w:u w:val="single"/>
    </w:rPr>
  </w:style>
  <w:style w:type="paragraph" w:styleId="ListParagraph">
    <w:name w:val="List Paragraph"/>
    <w:basedOn w:val="Normal"/>
    <w:uiPriority w:val="34"/>
    <w:qFormat/>
    <w:rsid w:val="00F902CC"/>
    <w:pPr>
      <w:ind w:left="720"/>
      <w:contextualSpacing/>
    </w:pPr>
  </w:style>
  <w:style w:type="paragraph" w:styleId="Header">
    <w:name w:val="header"/>
    <w:basedOn w:val="Normal"/>
    <w:link w:val="HeaderChar"/>
    <w:uiPriority w:val="99"/>
    <w:unhideWhenUsed/>
    <w:rsid w:val="004D7F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D7FEE"/>
    <w:rPr>
      <w:lang w:val="en-US"/>
    </w:rPr>
  </w:style>
  <w:style w:type="paragraph" w:styleId="Footer">
    <w:name w:val="footer"/>
    <w:basedOn w:val="Normal"/>
    <w:link w:val="FooterChar"/>
    <w:uiPriority w:val="99"/>
    <w:unhideWhenUsed/>
    <w:rsid w:val="004D7F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D7FEE"/>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ohannes.teuchies@uantwerpen.b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5</Pages>
  <Words>684</Words>
  <Characters>3766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Universiteit Antwerpen</Company>
  <LinksUpToDate>false</LinksUpToDate>
  <CharactersWithSpaces>4442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Teuchies Johannes</dc:creator>
  <cp:keywords/>
  <dc:description/>
  <cp:lastModifiedBy>Johannes Teuchies</cp:lastModifiedBy>
  <cp:revision>5</cp:revision>
  <dcterms:created xsi:type="dcterms:W3CDTF">2020-07-07T16:43:00Z</dcterms:created>
  <dcterms:modified xsi:type="dcterms:W3CDTF">2020-07-07T17:26:00Z</dcterms:modified>
</cp:coreProperties>
</file>