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1F428" w14:textId="64850F80" w:rsidR="00D350CF" w:rsidRDefault="00D350CF">
      <w:pPr>
        <w:rPr>
          <w:b/>
          <w:bCs/>
        </w:rPr>
      </w:pPr>
      <w:proofErr w:type="spellStart"/>
      <w:r>
        <w:rPr>
          <w:b/>
          <w:bCs/>
        </w:rPr>
        <w:t>Rienecker</w:t>
      </w:r>
      <w:proofErr w:type="spellEnd"/>
      <w:r>
        <w:rPr>
          <w:b/>
          <w:bCs/>
        </w:rPr>
        <w:t xml:space="preserve"> et al Combined Space Stressors</w:t>
      </w:r>
    </w:p>
    <w:p w14:paraId="15861598" w14:textId="77777777" w:rsidR="00BB7141" w:rsidRDefault="00562013">
      <w:pPr>
        <w:rPr>
          <w:b/>
          <w:bCs/>
        </w:rPr>
      </w:pPr>
      <w:r>
        <w:rPr>
          <w:b/>
          <w:bCs/>
        </w:rPr>
        <w:t>Supplementary Information</w:t>
      </w:r>
    </w:p>
    <w:p w14:paraId="7993ED23" w14:textId="0B92B067" w:rsidR="00514ABA" w:rsidRDefault="00BB7141">
      <w:r>
        <w:rPr>
          <w:noProof/>
        </w:rPr>
        <w:drawing>
          <wp:inline distT="0" distB="0" distL="0" distR="0" wp14:anchorId="1E77A3E9" wp14:editId="65487F44">
            <wp:extent cx="5632704" cy="7733534"/>
            <wp:effectExtent l="0" t="0" r="0" b="127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156" cy="779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E3E5C" w14:textId="071EEA6A" w:rsidR="00514ABA" w:rsidRDefault="00BB7141">
      <w:pPr>
        <w:sectPr w:rsidR="00514AB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eastAsia="Calibri" w:hAnsi="Arial" w:cs="Arial"/>
          <w:i/>
          <w:noProof/>
          <w:color w:val="44546A"/>
        </w:rPr>
        <w:lastRenderedPageBreak/>
        <w:drawing>
          <wp:inline distT="0" distB="0" distL="0" distR="0" wp14:anchorId="59A4C922" wp14:editId="772D979C">
            <wp:extent cx="5544820" cy="8229600"/>
            <wp:effectExtent l="0" t="0" r="5080" b="0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i/>
          <w:noProof/>
          <w:color w:val="44546A"/>
        </w:rPr>
        <w:lastRenderedPageBreak/>
        <w:drawing>
          <wp:inline distT="0" distB="0" distL="0" distR="0" wp14:anchorId="48855067" wp14:editId="1255F8D5">
            <wp:extent cx="5943600" cy="3672840"/>
            <wp:effectExtent l="0" t="0" r="0" b="0"/>
            <wp:docPr id="10" name="Picture 10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bar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i/>
          <w:noProof/>
          <w:color w:val="44546A"/>
        </w:rPr>
        <w:drawing>
          <wp:inline distT="0" distB="0" distL="0" distR="0" wp14:anchorId="098EB759" wp14:editId="1E12F425">
            <wp:extent cx="5943600" cy="346646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5C4F">
        <w:rPr>
          <w:noProof/>
        </w:rPr>
        <w:lastRenderedPageBreak/>
        <w:drawing>
          <wp:inline distT="0" distB="0" distL="0" distR="0" wp14:anchorId="4813869A" wp14:editId="27B81702">
            <wp:extent cx="5943600" cy="6468745"/>
            <wp:effectExtent l="0" t="0" r="0" b="0"/>
            <wp:docPr id="15" name="Picture 15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6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9DC0F" w14:textId="7B8EB7DA" w:rsidR="00514ABA" w:rsidRDefault="00BB7141">
      <w:r>
        <w:rPr>
          <w:noProof/>
        </w:rPr>
        <w:lastRenderedPageBreak/>
        <w:drawing>
          <wp:inline distT="0" distB="0" distL="0" distR="0" wp14:anchorId="2D302A5F" wp14:editId="6B037064">
            <wp:extent cx="8229600" cy="3629660"/>
            <wp:effectExtent l="0" t="0" r="0" b="2540"/>
            <wp:docPr id="14" name="Picture 1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EE01C" w14:textId="5E084EB6" w:rsidR="00514ABA" w:rsidRDefault="00514ABA"/>
    <w:p w14:paraId="19E0D6FC" w14:textId="77777777" w:rsidR="00514ABA" w:rsidRDefault="00514ABA">
      <w:pPr>
        <w:sectPr w:rsidR="00514ABA" w:rsidSect="00514AB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4BAD9A1" w14:textId="77777777" w:rsidR="00514ABA" w:rsidRDefault="00514ABA">
      <w:pPr>
        <w:rPr>
          <w:rFonts w:ascii="Arial" w:eastAsia="Calibri" w:hAnsi="Arial" w:cs="Arial"/>
          <w:i/>
          <w:color w:val="44546A"/>
        </w:rPr>
      </w:pPr>
    </w:p>
    <w:p w14:paraId="72E6809C" w14:textId="77777777" w:rsidR="00514ABA" w:rsidRDefault="00514ABA">
      <w:pPr>
        <w:rPr>
          <w:rFonts w:ascii="Arial" w:eastAsia="Calibri" w:hAnsi="Arial" w:cs="Arial"/>
          <w:i/>
          <w:color w:val="44546A"/>
        </w:rPr>
      </w:pPr>
      <w:r>
        <w:rPr>
          <w:rFonts w:ascii="Arial" w:eastAsia="Calibri" w:hAnsi="Arial" w:cs="Arial"/>
          <w:i/>
          <w:noProof/>
          <w:color w:val="44546A"/>
        </w:rPr>
        <w:drawing>
          <wp:inline distT="0" distB="0" distL="0" distR="0" wp14:anchorId="426B73C2" wp14:editId="49DA54B6">
            <wp:extent cx="8222400" cy="3481342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641" cy="349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E28A0" w14:textId="77777777" w:rsidR="00514ABA" w:rsidRDefault="00514ABA">
      <w:pPr>
        <w:rPr>
          <w:rFonts w:ascii="Arial" w:eastAsia="Calibri" w:hAnsi="Arial" w:cs="Arial"/>
          <w:i/>
          <w:color w:val="44546A"/>
        </w:rPr>
      </w:pPr>
    </w:p>
    <w:p w14:paraId="0C9C13D4" w14:textId="0FE0CB26" w:rsidR="00562013" w:rsidRDefault="00562013">
      <w:pPr>
        <w:rPr>
          <w:rFonts w:ascii="Arial" w:eastAsia="Calibri" w:hAnsi="Arial" w:cs="Arial"/>
          <w:i/>
          <w:color w:val="44546A"/>
        </w:rPr>
      </w:pPr>
      <w:r>
        <w:rPr>
          <w:rFonts w:ascii="Arial" w:eastAsia="Calibri" w:hAnsi="Arial" w:cs="Arial"/>
          <w:i/>
          <w:color w:val="44546A"/>
        </w:rPr>
        <w:br w:type="page"/>
      </w:r>
    </w:p>
    <w:p w14:paraId="5AB15B72" w14:textId="77777777" w:rsidR="00562013" w:rsidRDefault="00562013" w:rsidP="00562013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Calibri" w:hAnsi="Arial" w:cs="Arial"/>
          <w:i/>
          <w:color w:val="44546A"/>
        </w:rPr>
        <w:sectPr w:rsidR="00562013" w:rsidSect="00514AB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CF35133" w14:textId="53FF9C8F" w:rsidR="00562013" w:rsidRPr="0056340B" w:rsidRDefault="00562013" w:rsidP="00562013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Calibri" w:hAnsi="Arial" w:cs="Arial"/>
          <w:color w:val="44546A"/>
        </w:rPr>
      </w:pPr>
      <w:r>
        <w:rPr>
          <w:rFonts w:ascii="Arial" w:eastAsia="Calibri" w:hAnsi="Arial" w:cs="Arial"/>
          <w:i/>
          <w:color w:val="44546A"/>
        </w:rPr>
        <w:lastRenderedPageBreak/>
        <w:t xml:space="preserve">Supplementary </w:t>
      </w:r>
      <w:r w:rsidRPr="0056340B">
        <w:rPr>
          <w:rFonts w:ascii="Arial" w:eastAsia="Calibri" w:hAnsi="Arial" w:cs="Arial"/>
          <w:i/>
          <w:color w:val="44546A"/>
        </w:rPr>
        <w:t xml:space="preserve">Table </w:t>
      </w:r>
      <w:r w:rsidR="008544B0">
        <w:rPr>
          <w:rFonts w:ascii="Arial" w:eastAsia="Calibri" w:hAnsi="Arial" w:cs="Arial"/>
          <w:i/>
          <w:color w:val="44546A"/>
        </w:rPr>
        <w:t>S</w:t>
      </w:r>
      <w:r w:rsidR="008544B0">
        <w:rPr>
          <w:rFonts w:ascii="Arial" w:hAnsi="Arial" w:cs="Arial"/>
          <w:i/>
          <w:color w:val="44546A"/>
        </w:rPr>
        <w:t>1</w:t>
      </w:r>
      <w:r w:rsidRPr="0056340B">
        <w:rPr>
          <w:rFonts w:ascii="Arial" w:eastAsia="Calibri" w:hAnsi="Arial" w:cs="Arial"/>
          <w:i/>
          <w:color w:val="44546A"/>
        </w:rPr>
        <w:t xml:space="preserve"> Semi-Supervised Nonlinear PCA</w:t>
      </w:r>
    </w:p>
    <w:tbl>
      <w:tblPr>
        <w:tblW w:w="13225" w:type="dxa"/>
        <w:tblLayout w:type="fixed"/>
        <w:tblLook w:val="0400" w:firstRow="0" w:lastRow="0" w:firstColumn="0" w:lastColumn="0" w:noHBand="0" w:noVBand="1"/>
      </w:tblPr>
      <w:tblGrid>
        <w:gridCol w:w="2155"/>
        <w:gridCol w:w="900"/>
        <w:gridCol w:w="1170"/>
        <w:gridCol w:w="810"/>
        <w:gridCol w:w="810"/>
        <w:gridCol w:w="900"/>
        <w:gridCol w:w="1170"/>
        <w:gridCol w:w="810"/>
        <w:gridCol w:w="810"/>
        <w:gridCol w:w="900"/>
        <w:gridCol w:w="1170"/>
        <w:gridCol w:w="810"/>
        <w:gridCol w:w="810"/>
      </w:tblGrid>
      <w:tr w:rsidR="00562013" w:rsidRPr="0056340B" w14:paraId="3E3E4D7D" w14:textId="77777777" w:rsidTr="005064F4">
        <w:trPr>
          <w:trHeight w:val="315"/>
        </w:trPr>
        <w:tc>
          <w:tcPr>
            <w:tcW w:w="21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bottom"/>
          </w:tcPr>
          <w:p w14:paraId="3D7EC215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Component Loadings</w:t>
            </w:r>
          </w:p>
        </w:tc>
        <w:tc>
          <w:tcPr>
            <w:tcW w:w="2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E86E14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PC1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D3D5EC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95% Bootstrap CI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C2A4B5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PC2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C35BC20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95% Bootstrap CI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47EE195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PC3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2A0CF53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95% Bootstrap CI</w:t>
            </w:r>
          </w:p>
        </w:tc>
      </w:tr>
      <w:tr w:rsidR="00562013" w:rsidRPr="0056340B" w14:paraId="5F1A1C2E" w14:textId="77777777" w:rsidTr="005064F4">
        <w:trPr>
          <w:trHeight w:val="315"/>
        </w:trPr>
        <w:tc>
          <w:tcPr>
            <w:tcW w:w="215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</w:tcPr>
          <w:p w14:paraId="772F7FEF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14:paraId="744BF79F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Loading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14:paraId="21677C16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Bootstrap Mean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A100C12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Lower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ABCB3A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Upper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A07537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Loading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14:paraId="0FBDB6A5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Bootstrap Mean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148E90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Lower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AE141D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Upper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46624C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Loading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35B535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Bootstrap Mean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75838C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Lower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449523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Upper</w:t>
            </w:r>
          </w:p>
        </w:tc>
      </w:tr>
      <w:tr w:rsidR="00562013" w:rsidRPr="0056340B" w14:paraId="73130A2D" w14:textId="77777777" w:rsidTr="005064F4">
        <w:trPr>
          <w:trHeight w:val="31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7B800F5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Sociability Time with Mouse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372C4"/>
            <w:vAlign w:val="bottom"/>
          </w:tcPr>
          <w:p w14:paraId="39096E3A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0.857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372C4"/>
            <w:vAlign w:val="bottom"/>
          </w:tcPr>
          <w:p w14:paraId="39D67BE4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0.834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5BA4FA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0.617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D51223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0.953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7FB"/>
            <w:vAlign w:val="bottom"/>
          </w:tcPr>
          <w:p w14:paraId="5B25CAB7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0.063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7FB"/>
            <w:vAlign w:val="bottom"/>
          </w:tcPr>
          <w:p w14:paraId="53DEAE03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0.038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C699A2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-0.516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0AEF2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0.36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6C3"/>
            <w:vAlign w:val="bottom"/>
          </w:tcPr>
          <w:p w14:paraId="7B44649C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-0.231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CB"/>
            <w:vAlign w:val="bottom"/>
          </w:tcPr>
          <w:p w14:paraId="09D4A7B1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-0.184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31DDE2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-0.508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1A03DE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0.533</w:t>
            </w:r>
          </w:p>
        </w:tc>
      </w:tr>
      <w:tr w:rsidR="00562013" w:rsidRPr="0056340B" w14:paraId="01B6148E" w14:textId="77777777" w:rsidTr="005064F4">
        <w:trPr>
          <w:trHeight w:val="315"/>
        </w:trPr>
        <w:tc>
          <w:tcPr>
            <w:tcW w:w="2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C7A58D5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Social Memory Total Time with Mice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17EC9"/>
            <w:vAlign w:val="bottom"/>
          </w:tcPr>
          <w:p w14:paraId="3CAEC037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0.796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7AC8"/>
            <w:vAlign w:val="bottom"/>
          </w:tcPr>
          <w:p w14:paraId="1710D9D8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0.788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20177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0.667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7F35CF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0.893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C8"/>
            <w:vAlign w:val="bottom"/>
          </w:tcPr>
          <w:p w14:paraId="053FF82E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-0.154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C8"/>
            <w:vAlign w:val="bottom"/>
          </w:tcPr>
          <w:p w14:paraId="0220B61C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F708E5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-0.395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CFFEE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0.075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691"/>
            <w:vAlign w:val="bottom"/>
          </w:tcPr>
          <w:p w14:paraId="6693038F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-0.418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087"/>
            <w:vAlign w:val="bottom"/>
          </w:tcPr>
          <w:p w14:paraId="30FC6456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-0.423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1F37C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-0.582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06B763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-0.215</w:t>
            </w:r>
          </w:p>
        </w:tc>
      </w:tr>
      <w:tr w:rsidR="00562013" w:rsidRPr="0056340B" w14:paraId="3A347FE4" w14:textId="77777777" w:rsidTr="005064F4">
        <w:trPr>
          <w:trHeight w:val="315"/>
        </w:trPr>
        <w:tc>
          <w:tcPr>
            <w:tcW w:w="2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13F38EB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Cardiac Percent B Cells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496D3"/>
            <w:vAlign w:val="bottom"/>
          </w:tcPr>
          <w:p w14:paraId="31776518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9ED7"/>
            <w:vAlign w:val="bottom"/>
          </w:tcPr>
          <w:p w14:paraId="4C6E0C68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0.578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DEBE95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0.039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23AEF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0.809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bottom"/>
          </w:tcPr>
          <w:p w14:paraId="67DBD6BC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0.184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bottom"/>
          </w:tcPr>
          <w:p w14:paraId="77C9EA6C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0.141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33224E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-0.427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7C18E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0.627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372C4"/>
            <w:vAlign w:val="bottom"/>
          </w:tcPr>
          <w:p w14:paraId="30895FC5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0.657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372C4"/>
            <w:vAlign w:val="bottom"/>
          </w:tcPr>
          <w:p w14:paraId="212BD3B9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0.707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661ACD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0.343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1F05F6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1.012</w:t>
            </w:r>
          </w:p>
        </w:tc>
      </w:tr>
      <w:tr w:rsidR="00562013" w:rsidRPr="0056340B" w14:paraId="42C5E164" w14:textId="77777777" w:rsidTr="005064F4">
        <w:trPr>
          <w:trHeight w:val="315"/>
        </w:trPr>
        <w:tc>
          <w:tcPr>
            <w:tcW w:w="2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B1B1949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Social Memory Time with Familiar Mouse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8D4"/>
            <w:vAlign w:val="bottom"/>
          </w:tcPr>
          <w:p w14:paraId="29A5B5A0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0.629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8D4"/>
            <w:vAlign w:val="bottom"/>
          </w:tcPr>
          <w:p w14:paraId="55358621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0.613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77303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0.331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B3F774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0.781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E52"/>
            <w:vAlign w:val="bottom"/>
          </w:tcPr>
          <w:p w14:paraId="2B291448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-0.482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84B"/>
            <w:vAlign w:val="bottom"/>
          </w:tcPr>
          <w:p w14:paraId="61FBC5D4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-0.485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12E49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-0.898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958F2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-0.005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A97"/>
            <w:vAlign w:val="bottom"/>
          </w:tcPr>
          <w:p w14:paraId="58961F1E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-0.398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58E"/>
            <w:vAlign w:val="bottom"/>
          </w:tcPr>
          <w:p w14:paraId="1234AE9F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-0.401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BD2BF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-0.698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7099B7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-0.008</w:t>
            </w:r>
          </w:p>
        </w:tc>
      </w:tr>
      <w:tr w:rsidR="00562013" w:rsidRPr="0056340B" w14:paraId="07A5ADAF" w14:textId="77777777" w:rsidTr="005064F4">
        <w:trPr>
          <w:trHeight w:val="315"/>
        </w:trPr>
        <w:tc>
          <w:tcPr>
            <w:tcW w:w="2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C647FFC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RAWM Total Average Errors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ECB66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0.052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DE4"/>
            <w:vAlign w:val="bottom"/>
          </w:tcPr>
          <w:p w14:paraId="5F1DF4A0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-0.066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3E7F9C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-0.586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24336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0.424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372C4"/>
            <w:vAlign w:val="bottom"/>
          </w:tcPr>
          <w:p w14:paraId="1CC949A8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0.903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372C4"/>
            <w:vAlign w:val="bottom"/>
          </w:tcPr>
          <w:p w14:paraId="711B801B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0.804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0E6FFD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0.396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B1135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1.007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D4"/>
            <w:vAlign w:val="bottom"/>
          </w:tcPr>
          <w:p w14:paraId="47FFDEFE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-0.161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2D1"/>
            <w:vAlign w:val="bottom"/>
          </w:tcPr>
          <w:p w14:paraId="3E1A8DB7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-0.162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BB7E59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-0.744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AE025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0.51</w:t>
            </w:r>
          </w:p>
        </w:tc>
      </w:tr>
      <w:tr w:rsidR="00562013" w:rsidRPr="0056340B" w14:paraId="64B36E6C" w14:textId="77777777" w:rsidTr="005064F4">
        <w:trPr>
          <w:trHeight w:val="315"/>
        </w:trPr>
        <w:tc>
          <w:tcPr>
            <w:tcW w:w="2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A04B591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NOR Percent Time with Novel Object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DB5"/>
            <w:vAlign w:val="bottom"/>
          </w:tcPr>
          <w:p w14:paraId="21B665D8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-0.178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2A2"/>
            <w:vAlign w:val="bottom"/>
          </w:tcPr>
          <w:p w14:paraId="6D6DC27E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-0.229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B505D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-0.561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6CB89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0.095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7A4DA"/>
            <w:vAlign w:val="bottom"/>
          </w:tcPr>
          <w:p w14:paraId="2B4B391D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0.584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BA8DC"/>
            <w:vAlign w:val="bottom"/>
          </w:tcPr>
          <w:p w14:paraId="7FDAC80D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0.499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39959C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-0.495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2D30F4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0.817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127"/>
            <w:vAlign w:val="bottom"/>
          </w:tcPr>
          <w:p w14:paraId="2BBBCBB8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-0.82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127"/>
            <w:vAlign w:val="bottom"/>
          </w:tcPr>
          <w:p w14:paraId="5E832BD5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-0.769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3569FC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-1.081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FE00F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-0.268</w:t>
            </w:r>
          </w:p>
        </w:tc>
      </w:tr>
      <w:tr w:rsidR="00562013" w:rsidRPr="0056340B" w14:paraId="0DAB9C82" w14:textId="77777777" w:rsidTr="005064F4">
        <w:trPr>
          <w:trHeight w:val="315"/>
        </w:trPr>
        <w:tc>
          <w:tcPr>
            <w:tcW w:w="2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2A0104E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Cardiac Percent Monocytes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127"/>
            <w:vAlign w:val="bottom"/>
          </w:tcPr>
          <w:p w14:paraId="619E6FD4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-0.515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127"/>
            <w:vAlign w:val="bottom"/>
          </w:tcPr>
          <w:p w14:paraId="1634FCA6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-0.535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D1D9C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-0.714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F5B115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-0.269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127"/>
            <w:vAlign w:val="bottom"/>
          </w:tcPr>
          <w:p w14:paraId="18972A14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-0.606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127"/>
            <w:vAlign w:val="bottom"/>
          </w:tcPr>
          <w:p w14:paraId="7A36049F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-0.582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C5348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F3AD06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-0.107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58D"/>
            <w:vAlign w:val="bottom"/>
          </w:tcPr>
          <w:p w14:paraId="3C419E0A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-0.433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895"/>
            <w:vAlign w:val="bottom"/>
          </w:tcPr>
          <w:p w14:paraId="3C58BDD3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77197A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-0.769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91E48" w14:textId="77777777" w:rsidR="00562013" w:rsidRPr="00884000" w:rsidRDefault="00562013" w:rsidP="0050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884000">
              <w:rPr>
                <w:rFonts w:ascii="Arial" w:hAnsi="Arial" w:cs="Arial"/>
                <w:smallCaps/>
                <w:sz w:val="20"/>
                <w:szCs w:val="20"/>
              </w:rPr>
              <w:t>0.268</w:t>
            </w:r>
          </w:p>
        </w:tc>
      </w:tr>
    </w:tbl>
    <w:p w14:paraId="3B266871" w14:textId="33CAD492" w:rsidR="00562013" w:rsidRDefault="00562013"/>
    <w:p w14:paraId="30275233" w14:textId="0F847723" w:rsidR="008544B0" w:rsidRDefault="008544B0">
      <w:r>
        <w:br w:type="page"/>
      </w:r>
    </w:p>
    <w:p w14:paraId="6055ABF8" w14:textId="77777777" w:rsidR="008544B0" w:rsidRDefault="008544B0">
      <w:pPr>
        <w:sectPr w:rsidR="008544B0" w:rsidSect="00514AB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1B32E52" w14:textId="68AA9908" w:rsidR="008544B0" w:rsidRPr="004A7140" w:rsidRDefault="008544B0" w:rsidP="008544B0">
      <w:pPr>
        <w:pStyle w:val="Caption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Supplementary </w:t>
      </w:r>
      <w:r w:rsidRPr="004A7140">
        <w:rPr>
          <w:sz w:val="24"/>
          <w:szCs w:val="24"/>
        </w:rPr>
        <w:t xml:space="preserve">Table </w:t>
      </w:r>
      <w:r>
        <w:rPr>
          <w:sz w:val="24"/>
          <w:szCs w:val="24"/>
        </w:rPr>
        <w:t>S2</w:t>
      </w:r>
      <w:r w:rsidRPr="004A7140">
        <w:rPr>
          <w:sz w:val="24"/>
          <w:szCs w:val="24"/>
        </w:rPr>
        <w:t xml:space="preserve"> Blood cell markers for flow cytometry</w:t>
      </w:r>
    </w:p>
    <w:tbl>
      <w:tblPr>
        <w:tblStyle w:val="GridTable2-Accent3"/>
        <w:tblW w:w="0" w:type="auto"/>
        <w:tblLook w:val="04A0" w:firstRow="1" w:lastRow="0" w:firstColumn="1" w:lastColumn="0" w:noHBand="0" w:noVBand="1"/>
      </w:tblPr>
      <w:tblGrid>
        <w:gridCol w:w="2880"/>
        <w:gridCol w:w="6470"/>
      </w:tblGrid>
      <w:tr w:rsidR="008544B0" w:rsidRPr="00E5531C" w14:paraId="56444116" w14:textId="77777777" w:rsidTr="00506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204E8D6" w14:textId="77777777" w:rsidR="008544B0" w:rsidRPr="00E5531C" w:rsidRDefault="008544B0" w:rsidP="005064F4">
            <w:pPr>
              <w:rPr>
                <w:b w:val="0"/>
                <w:bCs w:val="0"/>
                <w:i w:val="0"/>
                <w:iCs/>
              </w:rPr>
            </w:pPr>
            <w:r w:rsidRPr="00E5531C">
              <w:rPr>
                <w:b w:val="0"/>
                <w:bCs w:val="0"/>
                <w:i w:val="0"/>
                <w:iCs/>
              </w:rPr>
              <w:t>Immune Cell Population</w:t>
            </w:r>
          </w:p>
        </w:tc>
        <w:tc>
          <w:tcPr>
            <w:tcW w:w="6470" w:type="dxa"/>
          </w:tcPr>
          <w:p w14:paraId="71654CE7" w14:textId="77777777" w:rsidR="008544B0" w:rsidRPr="00E5531C" w:rsidRDefault="008544B0" w:rsidP="005064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 w:val="0"/>
                <w:iCs/>
              </w:rPr>
            </w:pPr>
            <w:r w:rsidRPr="00E5531C">
              <w:rPr>
                <w:b w:val="0"/>
                <w:bCs w:val="0"/>
                <w:i w:val="0"/>
                <w:iCs/>
              </w:rPr>
              <w:t>Surface Staining</w:t>
            </w:r>
          </w:p>
        </w:tc>
      </w:tr>
      <w:tr w:rsidR="008544B0" w:rsidRPr="00E5531C" w14:paraId="6130B910" w14:textId="77777777" w:rsidTr="005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381DCE9" w14:textId="77777777" w:rsidR="008544B0" w:rsidRPr="00E5531C" w:rsidRDefault="008544B0" w:rsidP="005064F4">
            <w:pPr>
              <w:rPr>
                <w:b w:val="0"/>
                <w:bCs w:val="0"/>
                <w:i w:val="0"/>
                <w:iCs/>
              </w:rPr>
            </w:pPr>
            <w:r w:rsidRPr="00E5531C">
              <w:rPr>
                <w:b w:val="0"/>
                <w:bCs w:val="0"/>
                <w:i w:val="0"/>
                <w:iCs/>
              </w:rPr>
              <w:t>CD8</w:t>
            </w:r>
            <w:r w:rsidRPr="00E5531C">
              <w:rPr>
                <w:b w:val="0"/>
                <w:bCs w:val="0"/>
                <w:i w:val="0"/>
                <w:iCs/>
                <w:vertAlign w:val="superscript"/>
              </w:rPr>
              <w:t>+</w:t>
            </w:r>
            <w:r w:rsidRPr="00E5531C">
              <w:rPr>
                <w:b w:val="0"/>
                <w:bCs w:val="0"/>
                <w:i w:val="0"/>
                <w:iCs/>
              </w:rPr>
              <w:t xml:space="preserve"> Cytotoxic T cells</w:t>
            </w:r>
          </w:p>
        </w:tc>
        <w:tc>
          <w:tcPr>
            <w:tcW w:w="6470" w:type="dxa"/>
          </w:tcPr>
          <w:p w14:paraId="78048A0B" w14:textId="77777777" w:rsidR="008544B0" w:rsidRPr="00E5531C" w:rsidRDefault="008544B0" w:rsidP="005064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/>
              </w:rPr>
            </w:pPr>
            <w:r w:rsidRPr="00E5531C">
              <w:rPr>
                <w:b/>
                <w:i w:val="0"/>
                <w:iCs/>
              </w:rPr>
              <w:t>CD45</w:t>
            </w:r>
            <w:r w:rsidRPr="00E5531C">
              <w:rPr>
                <w:b/>
                <w:i w:val="0"/>
                <w:iCs/>
                <w:vertAlign w:val="superscript"/>
              </w:rPr>
              <w:t>+</w:t>
            </w:r>
            <w:r w:rsidRPr="00E5531C">
              <w:rPr>
                <w:b/>
                <w:i w:val="0"/>
                <w:iCs/>
              </w:rPr>
              <w:t>, CD3</w:t>
            </w:r>
            <w:r w:rsidRPr="00E5531C">
              <w:rPr>
                <w:b/>
                <w:i w:val="0"/>
                <w:iCs/>
                <w:vertAlign w:val="superscript"/>
              </w:rPr>
              <w:t>+</w:t>
            </w:r>
            <w:r w:rsidRPr="00E5531C">
              <w:rPr>
                <w:b/>
                <w:i w:val="0"/>
                <w:iCs/>
              </w:rPr>
              <w:t>, CD8</w:t>
            </w:r>
            <w:r w:rsidRPr="00E5531C">
              <w:rPr>
                <w:b/>
                <w:i w:val="0"/>
                <w:iCs/>
                <w:vertAlign w:val="superscript"/>
              </w:rPr>
              <w:t>+</w:t>
            </w:r>
            <w:r w:rsidRPr="00E5531C">
              <w:rPr>
                <w:i w:val="0"/>
                <w:iCs/>
              </w:rPr>
              <w:t>, CD4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CD11b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NK1.1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CD19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Ly6G</w:t>
            </w:r>
            <w:r w:rsidRPr="00E5531C">
              <w:rPr>
                <w:i w:val="0"/>
                <w:iCs/>
                <w:vertAlign w:val="superscript"/>
              </w:rPr>
              <w:t>-</w:t>
            </w:r>
          </w:p>
        </w:tc>
      </w:tr>
      <w:tr w:rsidR="008544B0" w:rsidRPr="00E5531C" w14:paraId="12A11D88" w14:textId="77777777" w:rsidTr="005064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5387866" w14:textId="77777777" w:rsidR="008544B0" w:rsidRPr="00E5531C" w:rsidRDefault="008544B0" w:rsidP="005064F4">
            <w:pPr>
              <w:rPr>
                <w:b w:val="0"/>
                <w:bCs w:val="0"/>
                <w:i w:val="0"/>
                <w:iCs/>
              </w:rPr>
            </w:pPr>
            <w:r w:rsidRPr="00E5531C">
              <w:rPr>
                <w:b w:val="0"/>
                <w:bCs w:val="0"/>
                <w:i w:val="0"/>
                <w:iCs/>
              </w:rPr>
              <w:t>CD4</w:t>
            </w:r>
            <w:r w:rsidRPr="00E5531C">
              <w:rPr>
                <w:b w:val="0"/>
                <w:bCs w:val="0"/>
                <w:i w:val="0"/>
                <w:iCs/>
                <w:vertAlign w:val="superscript"/>
              </w:rPr>
              <w:t>+</w:t>
            </w:r>
            <w:r w:rsidRPr="00E5531C">
              <w:rPr>
                <w:b w:val="0"/>
                <w:bCs w:val="0"/>
                <w:i w:val="0"/>
                <w:iCs/>
              </w:rPr>
              <w:t xml:space="preserve"> T helper cells</w:t>
            </w:r>
          </w:p>
        </w:tc>
        <w:tc>
          <w:tcPr>
            <w:tcW w:w="6470" w:type="dxa"/>
          </w:tcPr>
          <w:p w14:paraId="026FB5E1" w14:textId="77777777" w:rsidR="008544B0" w:rsidRPr="00E5531C" w:rsidRDefault="008544B0" w:rsidP="005064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</w:rPr>
            </w:pPr>
            <w:r w:rsidRPr="00E5531C">
              <w:rPr>
                <w:b/>
                <w:i w:val="0"/>
                <w:iCs/>
              </w:rPr>
              <w:t>CD45</w:t>
            </w:r>
            <w:r w:rsidRPr="00E5531C">
              <w:rPr>
                <w:b/>
                <w:i w:val="0"/>
                <w:iCs/>
                <w:vertAlign w:val="superscript"/>
              </w:rPr>
              <w:t>+</w:t>
            </w:r>
            <w:r w:rsidRPr="00E5531C">
              <w:rPr>
                <w:b/>
                <w:i w:val="0"/>
                <w:iCs/>
              </w:rPr>
              <w:t>, CD3</w:t>
            </w:r>
            <w:r w:rsidRPr="00E5531C">
              <w:rPr>
                <w:b/>
                <w:i w:val="0"/>
                <w:iCs/>
                <w:vertAlign w:val="superscript"/>
              </w:rPr>
              <w:t>+</w:t>
            </w:r>
            <w:r w:rsidRPr="00E5531C">
              <w:rPr>
                <w:b/>
                <w:i w:val="0"/>
                <w:iCs/>
              </w:rPr>
              <w:t>, CD4</w:t>
            </w:r>
            <w:r w:rsidRPr="00E5531C">
              <w:rPr>
                <w:b/>
                <w:i w:val="0"/>
                <w:iCs/>
                <w:vertAlign w:val="superscript"/>
              </w:rPr>
              <w:t>+</w:t>
            </w:r>
            <w:r w:rsidRPr="00E5531C">
              <w:rPr>
                <w:i w:val="0"/>
                <w:iCs/>
              </w:rPr>
              <w:t>, CD8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CD11b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NK1.1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CD19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Ly6G</w:t>
            </w:r>
            <w:r w:rsidRPr="00E5531C">
              <w:rPr>
                <w:i w:val="0"/>
                <w:iCs/>
                <w:vertAlign w:val="superscript"/>
              </w:rPr>
              <w:t>-</w:t>
            </w:r>
          </w:p>
        </w:tc>
      </w:tr>
      <w:tr w:rsidR="008544B0" w:rsidRPr="00E5531C" w14:paraId="2038213B" w14:textId="77777777" w:rsidTr="005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9F6A501" w14:textId="77777777" w:rsidR="008544B0" w:rsidRPr="00E5531C" w:rsidRDefault="008544B0" w:rsidP="005064F4">
            <w:pPr>
              <w:rPr>
                <w:b w:val="0"/>
                <w:bCs w:val="0"/>
                <w:i w:val="0"/>
                <w:iCs/>
              </w:rPr>
            </w:pPr>
            <w:r w:rsidRPr="00E5531C">
              <w:rPr>
                <w:b w:val="0"/>
                <w:bCs w:val="0"/>
                <w:i w:val="0"/>
                <w:iCs/>
              </w:rPr>
              <w:t>B cells</w:t>
            </w:r>
          </w:p>
        </w:tc>
        <w:tc>
          <w:tcPr>
            <w:tcW w:w="6470" w:type="dxa"/>
          </w:tcPr>
          <w:p w14:paraId="1624E37E" w14:textId="77777777" w:rsidR="008544B0" w:rsidRPr="00E5531C" w:rsidRDefault="008544B0" w:rsidP="005064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/>
              </w:rPr>
            </w:pPr>
            <w:r w:rsidRPr="00E5531C">
              <w:rPr>
                <w:b/>
                <w:i w:val="0"/>
                <w:iCs/>
              </w:rPr>
              <w:t>CD45</w:t>
            </w:r>
            <w:r w:rsidRPr="00E5531C">
              <w:rPr>
                <w:b/>
                <w:i w:val="0"/>
                <w:iCs/>
                <w:vertAlign w:val="superscript"/>
              </w:rPr>
              <w:t>+</w:t>
            </w:r>
            <w:r w:rsidRPr="00E5531C">
              <w:rPr>
                <w:b/>
                <w:i w:val="0"/>
                <w:iCs/>
              </w:rPr>
              <w:t>, CD19</w:t>
            </w:r>
            <w:r w:rsidRPr="00E5531C">
              <w:rPr>
                <w:b/>
                <w:i w:val="0"/>
                <w:iCs/>
                <w:vertAlign w:val="superscript"/>
              </w:rPr>
              <w:t>+</w:t>
            </w:r>
            <w:r w:rsidRPr="00E5531C">
              <w:rPr>
                <w:i w:val="0"/>
                <w:iCs/>
              </w:rPr>
              <w:t>, CD3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CD4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CD8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CD11b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NK1.1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Ly6G</w:t>
            </w:r>
            <w:r w:rsidRPr="00E5531C">
              <w:rPr>
                <w:i w:val="0"/>
                <w:iCs/>
                <w:vertAlign w:val="superscript"/>
              </w:rPr>
              <w:t>-</w:t>
            </w:r>
          </w:p>
        </w:tc>
      </w:tr>
      <w:tr w:rsidR="008544B0" w:rsidRPr="00E5531C" w14:paraId="750F319F" w14:textId="77777777" w:rsidTr="005064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45FA0B6" w14:textId="77777777" w:rsidR="008544B0" w:rsidRPr="00E5531C" w:rsidRDefault="008544B0" w:rsidP="005064F4">
            <w:pPr>
              <w:rPr>
                <w:b w:val="0"/>
                <w:bCs w:val="0"/>
                <w:i w:val="0"/>
                <w:iCs/>
              </w:rPr>
            </w:pPr>
            <w:r w:rsidRPr="00E5531C">
              <w:rPr>
                <w:b w:val="0"/>
                <w:bCs w:val="0"/>
                <w:i w:val="0"/>
                <w:iCs/>
              </w:rPr>
              <w:t>NK Cells</w:t>
            </w:r>
          </w:p>
        </w:tc>
        <w:tc>
          <w:tcPr>
            <w:tcW w:w="6470" w:type="dxa"/>
          </w:tcPr>
          <w:p w14:paraId="03A53C83" w14:textId="77777777" w:rsidR="008544B0" w:rsidRPr="00E5531C" w:rsidRDefault="008544B0" w:rsidP="005064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</w:rPr>
            </w:pPr>
            <w:r w:rsidRPr="00E5531C">
              <w:rPr>
                <w:b/>
                <w:i w:val="0"/>
                <w:iCs/>
              </w:rPr>
              <w:t>CD45</w:t>
            </w:r>
            <w:r w:rsidRPr="00E5531C">
              <w:rPr>
                <w:b/>
                <w:i w:val="0"/>
                <w:iCs/>
                <w:vertAlign w:val="superscript"/>
              </w:rPr>
              <w:t>+</w:t>
            </w:r>
            <w:r w:rsidRPr="00E5531C">
              <w:rPr>
                <w:b/>
                <w:i w:val="0"/>
                <w:iCs/>
              </w:rPr>
              <w:t>, NK1.1</w:t>
            </w:r>
            <w:r w:rsidRPr="00E5531C">
              <w:rPr>
                <w:b/>
                <w:i w:val="0"/>
                <w:iCs/>
                <w:vertAlign w:val="superscript"/>
              </w:rPr>
              <w:t>+</w:t>
            </w:r>
            <w:r w:rsidRPr="00E5531C">
              <w:rPr>
                <w:i w:val="0"/>
                <w:iCs/>
              </w:rPr>
              <w:t>, CD3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CD4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CD8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CD11b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CD19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Ly6G</w:t>
            </w:r>
            <w:r w:rsidRPr="00E5531C">
              <w:rPr>
                <w:i w:val="0"/>
                <w:iCs/>
                <w:vertAlign w:val="superscript"/>
              </w:rPr>
              <w:t>-</w:t>
            </w:r>
          </w:p>
        </w:tc>
      </w:tr>
      <w:tr w:rsidR="008544B0" w:rsidRPr="00E5531C" w14:paraId="5735459D" w14:textId="77777777" w:rsidTr="005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2EF9E44" w14:textId="77777777" w:rsidR="008544B0" w:rsidRPr="00E5531C" w:rsidRDefault="008544B0" w:rsidP="005064F4">
            <w:pPr>
              <w:rPr>
                <w:b w:val="0"/>
                <w:bCs w:val="0"/>
                <w:i w:val="0"/>
                <w:iCs/>
              </w:rPr>
            </w:pPr>
            <w:r w:rsidRPr="00E5531C">
              <w:rPr>
                <w:b w:val="0"/>
                <w:bCs w:val="0"/>
                <w:i w:val="0"/>
                <w:iCs/>
              </w:rPr>
              <w:t>Monocytes</w:t>
            </w:r>
          </w:p>
        </w:tc>
        <w:tc>
          <w:tcPr>
            <w:tcW w:w="6470" w:type="dxa"/>
          </w:tcPr>
          <w:p w14:paraId="1D977A23" w14:textId="77777777" w:rsidR="008544B0" w:rsidRPr="00E5531C" w:rsidRDefault="008544B0" w:rsidP="005064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iCs/>
              </w:rPr>
            </w:pPr>
            <w:r w:rsidRPr="00E5531C">
              <w:rPr>
                <w:b/>
                <w:i w:val="0"/>
                <w:iCs/>
              </w:rPr>
              <w:t>CD45</w:t>
            </w:r>
            <w:r w:rsidRPr="00E5531C">
              <w:rPr>
                <w:b/>
                <w:i w:val="0"/>
                <w:iCs/>
                <w:vertAlign w:val="superscript"/>
              </w:rPr>
              <w:t>+</w:t>
            </w:r>
            <w:r w:rsidRPr="00E5531C">
              <w:rPr>
                <w:b/>
                <w:i w:val="0"/>
                <w:iCs/>
              </w:rPr>
              <w:t>, CD11b</w:t>
            </w:r>
            <w:r w:rsidRPr="00E5531C">
              <w:rPr>
                <w:b/>
                <w:i w:val="0"/>
                <w:iCs/>
                <w:vertAlign w:val="superscript"/>
              </w:rPr>
              <w:t>+</w:t>
            </w:r>
            <w:r w:rsidRPr="00E5531C">
              <w:rPr>
                <w:i w:val="0"/>
                <w:iCs/>
              </w:rPr>
              <w:t>, CD3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CD4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CD8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NK1.1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CD19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Ly6G</w:t>
            </w:r>
            <w:r w:rsidRPr="00E5531C">
              <w:rPr>
                <w:i w:val="0"/>
                <w:iCs/>
                <w:vertAlign w:val="superscript"/>
              </w:rPr>
              <w:t>-</w:t>
            </w:r>
          </w:p>
        </w:tc>
      </w:tr>
      <w:tr w:rsidR="008544B0" w:rsidRPr="00E5531C" w14:paraId="668ACC68" w14:textId="77777777" w:rsidTr="005064F4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1BC7B04" w14:textId="77777777" w:rsidR="008544B0" w:rsidRPr="00E5531C" w:rsidRDefault="008544B0" w:rsidP="005064F4">
            <w:pPr>
              <w:rPr>
                <w:b w:val="0"/>
                <w:bCs w:val="0"/>
                <w:i w:val="0"/>
                <w:iCs/>
              </w:rPr>
            </w:pPr>
            <w:r w:rsidRPr="00E5531C">
              <w:rPr>
                <w:b w:val="0"/>
                <w:bCs w:val="0"/>
                <w:i w:val="0"/>
                <w:iCs/>
              </w:rPr>
              <w:t>Neutrophils</w:t>
            </w:r>
          </w:p>
        </w:tc>
        <w:tc>
          <w:tcPr>
            <w:tcW w:w="6470" w:type="dxa"/>
          </w:tcPr>
          <w:p w14:paraId="26C82045" w14:textId="77777777" w:rsidR="008544B0" w:rsidRPr="00E5531C" w:rsidRDefault="008544B0" w:rsidP="005064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/>
              </w:rPr>
            </w:pPr>
            <w:r w:rsidRPr="00E5531C">
              <w:rPr>
                <w:b/>
                <w:i w:val="0"/>
                <w:iCs/>
              </w:rPr>
              <w:t>CD45</w:t>
            </w:r>
            <w:r w:rsidRPr="00E5531C">
              <w:rPr>
                <w:b/>
                <w:i w:val="0"/>
                <w:iCs/>
                <w:vertAlign w:val="superscript"/>
              </w:rPr>
              <w:t>+</w:t>
            </w:r>
            <w:r w:rsidRPr="00E5531C">
              <w:rPr>
                <w:b/>
                <w:i w:val="0"/>
                <w:iCs/>
              </w:rPr>
              <w:t>, Ly6G</w:t>
            </w:r>
            <w:r w:rsidRPr="00E5531C">
              <w:rPr>
                <w:b/>
                <w:i w:val="0"/>
                <w:iCs/>
                <w:vertAlign w:val="superscript"/>
              </w:rPr>
              <w:t>+</w:t>
            </w:r>
            <w:r w:rsidRPr="00E5531C">
              <w:rPr>
                <w:i w:val="0"/>
                <w:iCs/>
              </w:rPr>
              <w:t>, CD3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CD4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CD8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CD11b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NK1.1</w:t>
            </w:r>
            <w:r w:rsidRPr="00E5531C">
              <w:rPr>
                <w:i w:val="0"/>
                <w:iCs/>
                <w:vertAlign w:val="superscript"/>
              </w:rPr>
              <w:t>-</w:t>
            </w:r>
            <w:r w:rsidRPr="00E5531C">
              <w:rPr>
                <w:i w:val="0"/>
                <w:iCs/>
              </w:rPr>
              <w:t>, CD19</w:t>
            </w:r>
            <w:r w:rsidRPr="00E5531C">
              <w:rPr>
                <w:i w:val="0"/>
                <w:iCs/>
                <w:vertAlign w:val="superscript"/>
              </w:rPr>
              <w:t>-</w:t>
            </w:r>
          </w:p>
        </w:tc>
      </w:tr>
    </w:tbl>
    <w:p w14:paraId="67DB3A3A" w14:textId="77777777" w:rsidR="005D5D93" w:rsidRDefault="005D5D93">
      <w:pPr>
        <w:sectPr w:rsidR="005D5D93" w:rsidSect="008544B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FAA929C" w14:textId="029A0081" w:rsidR="005D5D93" w:rsidRDefault="005D5D93" w:rsidP="005D5D93">
      <w:pPr>
        <w:pStyle w:val="NormalWeb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Supplementary Figure Legends</w:t>
      </w:r>
    </w:p>
    <w:p w14:paraId="144D5ECC" w14:textId="77777777" w:rsidR="00D35C4F" w:rsidRDefault="00D35C4F" w:rsidP="00D35C4F">
      <w:pPr>
        <w:pStyle w:val="NormalWeb"/>
        <w:jc w:val="both"/>
      </w:pPr>
      <w:r>
        <w:rPr>
          <w:rFonts w:ascii="Arial" w:hAnsi="Arial" w:cs="Arial"/>
          <w:b/>
          <w:bCs/>
        </w:rPr>
        <w:t xml:space="preserve">Figure S1 NOR Day 4. </w:t>
      </w:r>
      <w:r>
        <w:rPr>
          <w:rFonts w:ascii="ArialMT" w:hAnsi="ArialMT"/>
        </w:rPr>
        <w:t>(A) Total Time with Objects for Males trended toward a significant main effect of GCR (</w:t>
      </w:r>
      <w:proofErr w:type="gramStart"/>
      <w:r>
        <w:rPr>
          <w:rFonts w:ascii="ArialMT" w:hAnsi="ArialMT"/>
        </w:rPr>
        <w:t>F(</w:t>
      </w:r>
      <w:proofErr w:type="gramEnd"/>
      <w:r>
        <w:rPr>
          <w:rFonts w:ascii="ArialMT" w:hAnsi="ArialMT"/>
        </w:rPr>
        <w:t>1,54) = 3.805, p=0.0563, η</w:t>
      </w:r>
      <w:r>
        <w:rPr>
          <w:rFonts w:ascii="ArialMT" w:hAnsi="ArialMT"/>
          <w:position w:val="8"/>
          <w:sz w:val="16"/>
          <w:szCs w:val="16"/>
        </w:rPr>
        <w:t xml:space="preserve">2 </w:t>
      </w:r>
      <w:r>
        <w:rPr>
          <w:rFonts w:ascii="ArialMT" w:hAnsi="ArialMT"/>
        </w:rPr>
        <w:t>= 0.066). (B) Time with Novel Object for Males trended toward a significant effect of housing (</w:t>
      </w:r>
      <w:proofErr w:type="gramStart"/>
      <w:r>
        <w:rPr>
          <w:rFonts w:ascii="ArialMT" w:hAnsi="ArialMT"/>
        </w:rPr>
        <w:t>F(</w:t>
      </w:r>
      <w:proofErr w:type="gramEnd"/>
      <w:r>
        <w:rPr>
          <w:rFonts w:ascii="ArialMT" w:hAnsi="ArialMT"/>
        </w:rPr>
        <w:t>2,54) = 3.159, p = 0.050, η</w:t>
      </w:r>
      <w:r>
        <w:rPr>
          <w:rFonts w:ascii="ArialMT" w:hAnsi="ArialMT"/>
          <w:position w:val="8"/>
          <w:sz w:val="16"/>
          <w:szCs w:val="16"/>
        </w:rPr>
        <w:t xml:space="preserve">2 </w:t>
      </w:r>
      <w:r>
        <w:rPr>
          <w:rFonts w:ascii="ArialMT" w:hAnsi="ArialMT"/>
        </w:rPr>
        <w:t>= 0.105) (C) Time with Familiar Object for Males trended toward a significant main effect of GCR (F(1,54) = 3.301, p=0.0748, η</w:t>
      </w:r>
      <w:r>
        <w:rPr>
          <w:rFonts w:ascii="ArialMT" w:hAnsi="ArialMT"/>
          <w:position w:val="8"/>
          <w:sz w:val="16"/>
          <w:szCs w:val="16"/>
        </w:rPr>
        <w:t xml:space="preserve">2 </w:t>
      </w:r>
      <w:r>
        <w:rPr>
          <w:rFonts w:ascii="ArialMT" w:hAnsi="ArialMT"/>
        </w:rPr>
        <w:t>= 0.058). (D) Total Time with Objects for Females trended toward a significant main effect of GCR (</w:t>
      </w:r>
      <w:proofErr w:type="gramStart"/>
      <w:r>
        <w:rPr>
          <w:rFonts w:ascii="ArialMT" w:hAnsi="ArialMT"/>
        </w:rPr>
        <w:t>F(</w:t>
      </w:r>
      <w:proofErr w:type="gramEnd"/>
      <w:r>
        <w:rPr>
          <w:rFonts w:ascii="ArialMT" w:hAnsi="ArialMT"/>
        </w:rPr>
        <w:t>1,49) = 3.188, p = 0.080, η</w:t>
      </w:r>
      <w:r>
        <w:rPr>
          <w:rFonts w:ascii="ArialMT" w:hAnsi="ArialMT"/>
          <w:position w:val="8"/>
          <w:sz w:val="16"/>
          <w:szCs w:val="16"/>
        </w:rPr>
        <w:t xml:space="preserve">2 </w:t>
      </w:r>
      <w:r>
        <w:rPr>
          <w:rFonts w:ascii="ArialMT" w:hAnsi="ArialMT"/>
        </w:rPr>
        <w:t xml:space="preserve">= 0.061). (E) % Time with Novel for Females showed no significant main effects or interaction between GCR and Housing. Three female 50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 animals were excluded for failing to perform the task. Males: n=10 for all groups. Females: n = 9 for SI 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 and SI+HU 50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 and n = 8 for group 50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, n=10 for all others. </w:t>
      </w:r>
    </w:p>
    <w:p w14:paraId="4811CB8E" w14:textId="77777777" w:rsidR="00D35C4F" w:rsidRDefault="00D35C4F" w:rsidP="00D35C4F">
      <w:pPr>
        <w:pStyle w:val="NormalWeb"/>
        <w:shd w:val="clear" w:color="auto" w:fill="FFFFFF"/>
        <w:jc w:val="both"/>
      </w:pPr>
      <w:r>
        <w:rPr>
          <w:rFonts w:ascii="Arial" w:hAnsi="Arial" w:cs="Arial"/>
          <w:b/>
          <w:bCs/>
          <w:sz w:val="22"/>
          <w:szCs w:val="22"/>
        </w:rPr>
        <w:t xml:space="preserve">Figure S2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GCRsim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and sex differences in sociability. </w:t>
      </w:r>
      <w:r>
        <w:rPr>
          <w:rFonts w:ascii="ArialMT" w:hAnsi="ArialMT"/>
          <w:sz w:val="22"/>
          <w:szCs w:val="22"/>
        </w:rPr>
        <w:t xml:space="preserve">The </w:t>
      </w:r>
      <w:proofErr w:type="gramStart"/>
      <w:r>
        <w:rPr>
          <w:rFonts w:ascii="ArialMT" w:hAnsi="ArialMT"/>
          <w:sz w:val="22"/>
          <w:szCs w:val="22"/>
        </w:rPr>
        <w:t>three chamber</w:t>
      </w:r>
      <w:proofErr w:type="gramEnd"/>
      <w:r>
        <w:rPr>
          <w:rFonts w:ascii="ArialMT" w:hAnsi="ArialMT"/>
          <w:sz w:val="22"/>
          <w:szCs w:val="22"/>
        </w:rPr>
        <w:t xml:space="preserve"> social approach task was used to assess sociability. Males (</w:t>
      </w:r>
      <w:proofErr w:type="gramStart"/>
      <w:r>
        <w:rPr>
          <w:rFonts w:ascii="ArialMT" w:hAnsi="ArialMT"/>
          <w:sz w:val="22"/>
          <w:szCs w:val="22"/>
        </w:rPr>
        <w:t>A,B</w:t>
      </w:r>
      <w:proofErr w:type="gramEnd"/>
      <w:r>
        <w:rPr>
          <w:rFonts w:ascii="ArialMT" w:hAnsi="ArialMT"/>
          <w:sz w:val="22"/>
          <w:szCs w:val="22"/>
        </w:rPr>
        <w:t xml:space="preserve">,C) and Females (D, E, F). Both males and females showed adequate preference for the mouse over the cage (A, D). (B) Male mice receiving 50 </w:t>
      </w:r>
      <w:proofErr w:type="spellStart"/>
      <w:r>
        <w:rPr>
          <w:rFonts w:ascii="ArialMT" w:hAnsi="ArialMT"/>
          <w:sz w:val="22"/>
          <w:szCs w:val="22"/>
        </w:rPr>
        <w:t>cGy</w:t>
      </w:r>
      <w:proofErr w:type="spellEnd"/>
      <w:r>
        <w:rPr>
          <w:rFonts w:ascii="ArialMT" w:hAnsi="ArialMT"/>
          <w:sz w:val="22"/>
          <w:szCs w:val="22"/>
        </w:rPr>
        <w:t xml:space="preserve"> of </w:t>
      </w:r>
      <w:proofErr w:type="spellStart"/>
      <w:r>
        <w:rPr>
          <w:rFonts w:ascii="ArialMT" w:hAnsi="ArialMT"/>
          <w:sz w:val="22"/>
          <w:szCs w:val="22"/>
        </w:rPr>
        <w:t>GCRsim</w:t>
      </w:r>
      <w:proofErr w:type="spellEnd"/>
      <w:r>
        <w:rPr>
          <w:rFonts w:ascii="ArialMT" w:hAnsi="ArialMT"/>
          <w:sz w:val="22"/>
          <w:szCs w:val="22"/>
        </w:rPr>
        <w:t xml:space="preserve"> spent significantly less time with the mouse (F(1,48)=5.921, p=0.019, </w:t>
      </w:r>
      <w:r>
        <w:rPr>
          <w:rFonts w:ascii="ArialMT" w:hAnsi="ArialMT"/>
        </w:rPr>
        <w:t>η</w:t>
      </w:r>
      <w:r>
        <w:rPr>
          <w:rFonts w:ascii="ArialMT" w:hAnsi="ArialMT"/>
          <w:position w:val="8"/>
          <w:sz w:val="16"/>
          <w:szCs w:val="16"/>
        </w:rPr>
        <w:t xml:space="preserve">2 </w:t>
      </w:r>
      <w:r>
        <w:rPr>
          <w:rFonts w:ascii="ArialMT" w:hAnsi="ArialMT"/>
        </w:rPr>
        <w:t>= 0.110</w:t>
      </w:r>
      <w:r>
        <w:rPr>
          <w:rFonts w:ascii="ArialMT" w:hAnsi="ArialMT"/>
          <w:sz w:val="22"/>
          <w:szCs w:val="22"/>
        </w:rPr>
        <w:t xml:space="preserve">) (mean diff -11.169, 95%CI(-20.398 to -1.940), p = 0.019) and (C) less total time with the cage and mouse together (F(1,48)=8.666, p=0.005, </w:t>
      </w:r>
      <w:r>
        <w:rPr>
          <w:rFonts w:ascii="ArialMT" w:hAnsi="ArialMT"/>
        </w:rPr>
        <w:t>η</w:t>
      </w:r>
      <w:r>
        <w:rPr>
          <w:rFonts w:ascii="ArialMT" w:hAnsi="ArialMT"/>
          <w:position w:val="8"/>
          <w:sz w:val="16"/>
          <w:szCs w:val="16"/>
        </w:rPr>
        <w:t xml:space="preserve">2 </w:t>
      </w:r>
      <w:r>
        <w:rPr>
          <w:rFonts w:ascii="ArialMT" w:hAnsi="ArialMT"/>
        </w:rPr>
        <w:t>= 0.153</w:t>
      </w:r>
      <w:r>
        <w:rPr>
          <w:rFonts w:ascii="ArialMT" w:hAnsi="ArialMT"/>
          <w:sz w:val="22"/>
          <w:szCs w:val="22"/>
        </w:rPr>
        <w:t xml:space="preserve">) (mean diff -13.797, 95%CI(-23.220 to -4.373), p = 0.005). Female mice receiving 50 </w:t>
      </w:r>
      <w:proofErr w:type="spellStart"/>
      <w:r>
        <w:rPr>
          <w:rFonts w:ascii="ArialMT" w:hAnsi="ArialMT"/>
          <w:sz w:val="22"/>
          <w:szCs w:val="22"/>
        </w:rPr>
        <w:t>cGy</w:t>
      </w:r>
      <w:proofErr w:type="spellEnd"/>
      <w:r>
        <w:rPr>
          <w:rFonts w:ascii="ArialMT" w:hAnsi="ArialMT"/>
          <w:sz w:val="22"/>
          <w:szCs w:val="22"/>
        </w:rPr>
        <w:t xml:space="preserve"> of </w:t>
      </w:r>
      <w:proofErr w:type="spellStart"/>
      <w:r>
        <w:rPr>
          <w:rFonts w:ascii="ArialMT" w:hAnsi="ArialMT"/>
          <w:sz w:val="22"/>
          <w:szCs w:val="22"/>
        </w:rPr>
        <w:t>GCRsim</w:t>
      </w:r>
      <w:proofErr w:type="spellEnd"/>
      <w:r>
        <w:rPr>
          <w:rFonts w:ascii="ArialMT" w:hAnsi="ArialMT"/>
          <w:sz w:val="22"/>
          <w:szCs w:val="22"/>
        </w:rPr>
        <w:t xml:space="preserve"> also spent significantly less total time with the cage and mouse together (</w:t>
      </w:r>
      <w:proofErr w:type="gramStart"/>
      <w:r>
        <w:rPr>
          <w:rFonts w:ascii="ArialMT" w:hAnsi="ArialMT"/>
          <w:sz w:val="22"/>
          <w:szCs w:val="22"/>
        </w:rPr>
        <w:t>F(</w:t>
      </w:r>
      <w:proofErr w:type="gramEnd"/>
      <w:r>
        <w:rPr>
          <w:rFonts w:ascii="ArialMT" w:hAnsi="ArialMT"/>
          <w:sz w:val="22"/>
          <w:szCs w:val="22"/>
        </w:rPr>
        <w:t xml:space="preserve">1,51)=4.262, p=0.044, </w:t>
      </w:r>
      <w:r>
        <w:rPr>
          <w:rFonts w:ascii="ArialMT" w:hAnsi="ArialMT"/>
        </w:rPr>
        <w:t>η</w:t>
      </w:r>
      <w:r>
        <w:rPr>
          <w:rFonts w:ascii="ArialMT" w:hAnsi="ArialMT"/>
          <w:position w:val="8"/>
          <w:sz w:val="16"/>
          <w:szCs w:val="16"/>
        </w:rPr>
        <w:t xml:space="preserve">2 </w:t>
      </w:r>
      <w:r>
        <w:rPr>
          <w:rFonts w:ascii="ArialMT" w:hAnsi="ArialMT"/>
        </w:rPr>
        <w:t>= 0.077</w:t>
      </w:r>
      <w:r>
        <w:rPr>
          <w:rFonts w:ascii="ArialMT" w:hAnsi="ArialMT"/>
          <w:sz w:val="22"/>
          <w:szCs w:val="22"/>
        </w:rPr>
        <w:t xml:space="preserve">) (F), but showed no differences in time spent with the mouse (E). Sociability Males: n = 9 for all groups except Group 0 </w:t>
      </w:r>
      <w:proofErr w:type="spellStart"/>
      <w:r>
        <w:rPr>
          <w:rFonts w:ascii="ArialMT" w:hAnsi="ArialMT"/>
          <w:sz w:val="22"/>
          <w:szCs w:val="22"/>
        </w:rPr>
        <w:t>cGy</w:t>
      </w:r>
      <w:proofErr w:type="spellEnd"/>
      <w:r>
        <w:rPr>
          <w:rFonts w:ascii="ArialMT" w:hAnsi="ArialMT"/>
          <w:sz w:val="22"/>
          <w:szCs w:val="22"/>
        </w:rPr>
        <w:t xml:space="preserve"> (n=8) and SI 0 </w:t>
      </w:r>
      <w:proofErr w:type="spellStart"/>
      <w:r>
        <w:rPr>
          <w:rFonts w:ascii="ArialMT" w:hAnsi="ArialMT"/>
          <w:sz w:val="22"/>
          <w:szCs w:val="22"/>
        </w:rPr>
        <w:t>cGy</w:t>
      </w:r>
      <w:proofErr w:type="spellEnd"/>
      <w:r>
        <w:rPr>
          <w:rFonts w:ascii="ArialMT" w:hAnsi="ArialMT"/>
          <w:sz w:val="22"/>
          <w:szCs w:val="22"/>
        </w:rPr>
        <w:t xml:space="preserve"> (n=10). Four animals were removed because due to errors in the task. One male was removed because %Time with Mouse exceeded the 85% threshold. Females: n = 9 for SI 0 </w:t>
      </w:r>
      <w:proofErr w:type="spellStart"/>
      <w:r>
        <w:rPr>
          <w:rFonts w:ascii="ArialMT" w:hAnsi="ArialMT"/>
          <w:sz w:val="22"/>
          <w:szCs w:val="22"/>
        </w:rPr>
        <w:t>cGy</w:t>
      </w:r>
      <w:proofErr w:type="spellEnd"/>
      <w:r>
        <w:rPr>
          <w:rFonts w:ascii="ArialMT" w:hAnsi="ArialMT"/>
          <w:sz w:val="22"/>
          <w:szCs w:val="22"/>
        </w:rPr>
        <w:t xml:space="preserve">, SI+HU 0cGy, SI+HU 50 </w:t>
      </w:r>
      <w:proofErr w:type="spellStart"/>
      <w:r>
        <w:rPr>
          <w:rFonts w:ascii="ArialMT" w:hAnsi="ArialMT"/>
          <w:sz w:val="22"/>
          <w:szCs w:val="22"/>
        </w:rPr>
        <w:t>cGy</w:t>
      </w:r>
      <w:proofErr w:type="spellEnd"/>
      <w:r>
        <w:rPr>
          <w:rFonts w:ascii="ArialMT" w:hAnsi="ArialMT"/>
          <w:sz w:val="22"/>
          <w:szCs w:val="22"/>
        </w:rPr>
        <w:t xml:space="preserve">, n= 10 for all others. One female was removed for failing to perform the task. *p&lt;0.05, **p&lt;0.01 </w:t>
      </w:r>
    </w:p>
    <w:p w14:paraId="4E65B7F1" w14:textId="77777777" w:rsidR="00D35C4F" w:rsidRDefault="00D35C4F" w:rsidP="00D35C4F">
      <w:pPr>
        <w:pStyle w:val="NormalWeb"/>
        <w:jc w:val="both"/>
      </w:pPr>
      <w:r>
        <w:rPr>
          <w:rFonts w:ascii="Arial" w:hAnsi="Arial" w:cs="Arial"/>
          <w:b/>
          <w:bCs/>
        </w:rPr>
        <w:t xml:space="preserve">Figure S3 Social Memory. </w:t>
      </w:r>
      <w:r>
        <w:rPr>
          <w:rFonts w:ascii="ArialMT" w:hAnsi="ArialMT"/>
        </w:rPr>
        <w:t xml:space="preserve">Percent Time spent with Novel Mouse for (A) Males and (B) Females. There were no significant interactions or main effects within either sex when examined by two-way ANOVA. Males: n=6 for group 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, n=7 for SI+HU 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, n=8 for SI+HU 50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, n=9 for SI 50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, n=10 for all others. Eight animals were removed due to errors in the task. One animal was removed due to %Time Novel Mouse exceeding the 85% threshold. Females: n=8 for SI 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 and SI+HU 50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, n= 9 for group 50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, n=10 for all others. One animal was removed due to errors in the task, and two animals were removed due to %Time Novel Mouse exceeding the 85% threshold. </w:t>
      </w:r>
    </w:p>
    <w:p w14:paraId="3D475096" w14:textId="77777777" w:rsidR="00D35C4F" w:rsidRDefault="00D35C4F" w:rsidP="00D35C4F">
      <w:pPr>
        <w:pStyle w:val="NormalWeb"/>
        <w:jc w:val="both"/>
      </w:pPr>
      <w:r>
        <w:rPr>
          <w:rFonts w:ascii="Arial" w:hAnsi="Arial" w:cs="Arial"/>
          <w:b/>
          <w:bCs/>
        </w:rPr>
        <w:t>Figure S4 Combined Stressors effects on sensorimotor function</w:t>
      </w:r>
      <w:r>
        <w:rPr>
          <w:rFonts w:ascii="ArialMT" w:hAnsi="ArialMT"/>
        </w:rPr>
        <w:t>. Balance beam was used to assess sensorimotor function 14 days after SI+HU animals were reloaded. (A) Males and (B) Females. There was a significant main effect of housing for female mice on the balance beam (</w:t>
      </w:r>
      <w:proofErr w:type="gramStart"/>
      <w:r>
        <w:rPr>
          <w:rFonts w:ascii="ArialMT" w:hAnsi="ArialMT"/>
        </w:rPr>
        <w:t>F(</w:t>
      </w:r>
      <w:proofErr w:type="gramEnd"/>
      <w:r>
        <w:rPr>
          <w:rFonts w:ascii="ArialMT" w:hAnsi="ArialMT"/>
        </w:rPr>
        <w:t>2,52) = 3.702, p = 0.031, η</w:t>
      </w:r>
      <w:r>
        <w:rPr>
          <w:rFonts w:ascii="ArialMT" w:hAnsi="ArialMT"/>
          <w:position w:val="8"/>
          <w:sz w:val="16"/>
          <w:szCs w:val="16"/>
        </w:rPr>
        <w:t xml:space="preserve">2 </w:t>
      </w:r>
      <w:r>
        <w:rPr>
          <w:rFonts w:ascii="ArialMT" w:hAnsi="ArialMT"/>
        </w:rPr>
        <w:t>= 0.125). SI females traveled faster than group housed females (mean diff 1.594 cm/s, 95%</w:t>
      </w:r>
      <w:proofErr w:type="gramStart"/>
      <w:r>
        <w:rPr>
          <w:rFonts w:ascii="ArialMT" w:hAnsi="ArialMT"/>
        </w:rPr>
        <w:t>CI(</w:t>
      </w:r>
      <w:proofErr w:type="gramEnd"/>
      <w:r>
        <w:rPr>
          <w:rFonts w:ascii="ArialMT" w:hAnsi="ArialMT"/>
        </w:rPr>
        <w:t xml:space="preserve">0.127 to 3.061), p = 0.029). Males: n=9 for group 50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 and n=10 for all others. Females: n=9 for SI 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 and group 50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, and n = 10 for all others. </w:t>
      </w:r>
    </w:p>
    <w:p w14:paraId="2E6F445F" w14:textId="77777777" w:rsidR="00D35C4F" w:rsidRDefault="00D35C4F" w:rsidP="00D35C4F">
      <w:pPr>
        <w:pStyle w:val="NormalWeb"/>
        <w:shd w:val="clear" w:color="auto" w:fill="FFFFFF"/>
        <w:jc w:val="both"/>
      </w:pPr>
      <w:r>
        <w:rPr>
          <w:rFonts w:ascii="Arial" w:hAnsi="Arial" w:cs="Arial"/>
          <w:b/>
          <w:bCs/>
        </w:rPr>
        <w:t>Figure S5 Combined stressors effects on anxiety</w:t>
      </w:r>
      <w:r>
        <w:rPr>
          <w:rFonts w:ascii="ArialMT" w:hAnsi="ArialMT"/>
        </w:rPr>
        <w:t xml:space="preserve">. Elevated Plus Maze (EPM) and Open Field (OF) were used to assess anxiety at different time points after exposure to </w:t>
      </w:r>
      <w:proofErr w:type="spellStart"/>
      <w:r>
        <w:rPr>
          <w:rFonts w:ascii="ArialMT" w:hAnsi="ArialMT"/>
        </w:rPr>
        <w:lastRenderedPageBreak/>
        <w:t>GCRsim</w:t>
      </w:r>
      <w:proofErr w:type="spellEnd"/>
      <w:r>
        <w:rPr>
          <w:rFonts w:ascii="ArialMT" w:hAnsi="ArialMT"/>
        </w:rPr>
        <w:t xml:space="preserve">. Animals were 33 weeks of age during EPM testing and 39-41 weeks of age during OF testing. (A) EPM Open Arm + Center Time in 5 min for Males showed no differences. (B) There was a main effect of </w:t>
      </w:r>
      <w:proofErr w:type="spellStart"/>
      <w:r>
        <w:rPr>
          <w:rFonts w:ascii="ArialMT" w:hAnsi="ArialMT"/>
        </w:rPr>
        <w:t>GCRsim</w:t>
      </w:r>
      <w:proofErr w:type="spellEnd"/>
      <w:r>
        <w:rPr>
          <w:rFonts w:ascii="ArialMT" w:hAnsi="ArialMT"/>
        </w:rPr>
        <w:t xml:space="preserve"> on EPM Open Arm + Center Time for females, </w:t>
      </w:r>
      <w:proofErr w:type="gramStart"/>
      <w:r>
        <w:rPr>
          <w:rFonts w:ascii="ArialMT" w:hAnsi="ArialMT"/>
        </w:rPr>
        <w:t>F(</w:t>
      </w:r>
      <w:proofErr w:type="gramEnd"/>
      <w:r>
        <w:rPr>
          <w:rFonts w:ascii="ArialMT" w:hAnsi="ArialMT"/>
        </w:rPr>
        <w:t>1,48) = 4.417, p = 0.041, η</w:t>
      </w:r>
      <w:r>
        <w:rPr>
          <w:rFonts w:ascii="ArialMT" w:hAnsi="ArialMT"/>
          <w:position w:val="8"/>
          <w:sz w:val="18"/>
          <w:szCs w:val="18"/>
        </w:rPr>
        <w:t xml:space="preserve">2 </w:t>
      </w:r>
      <w:r>
        <w:rPr>
          <w:rFonts w:ascii="ArialMT" w:hAnsi="ArialMT"/>
        </w:rPr>
        <w:t xml:space="preserve">= 0.152 (mean diff -16.765 s, 95%CI(-32.803 to -0.726), p = 0.041). Males: n= 10 for SI 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 and SI 50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, n=8 </w:t>
      </w:r>
      <w:proofErr w:type="spellStart"/>
      <w:r>
        <w:rPr>
          <w:rFonts w:ascii="ArialMT" w:hAnsi="ArialMT"/>
        </w:rPr>
        <w:t>forgroup</w:t>
      </w:r>
      <w:proofErr w:type="spellEnd"/>
      <w:r>
        <w:rPr>
          <w:rFonts w:ascii="ArialMT" w:hAnsi="ArialMT"/>
        </w:rPr>
        <w:t xml:space="preserve"> 50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, n =9 for all others; Females: n=10 for SI+HU 0 and 50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, n=9 for SI 0cGy and Group 0 and 50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, n=8 for SI 50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. Open Field (OF) Time in the Center of the arena in 10 min for (C) Males and (D) Females. </w:t>
      </w:r>
      <w:proofErr w:type="gramStart"/>
      <w:r>
        <w:rPr>
          <w:rFonts w:ascii="ArialMT" w:hAnsi="ArialMT"/>
        </w:rPr>
        <w:t>Two way</w:t>
      </w:r>
      <w:proofErr w:type="gramEnd"/>
      <w:r>
        <w:rPr>
          <w:rFonts w:ascii="ArialMT" w:hAnsi="ArialMT"/>
        </w:rPr>
        <w:t xml:space="preserve"> ANOVA within each sex for each task showed no significant effects. Males: n=10 for all groups. Females: n=10 for all groups except SI 0cGy and group 50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, n=9. *p &lt; 0.05 </w:t>
      </w:r>
    </w:p>
    <w:p w14:paraId="5D00D0D9" w14:textId="77777777" w:rsidR="00D35C4F" w:rsidRDefault="00D35C4F" w:rsidP="00D35C4F">
      <w:pPr>
        <w:pStyle w:val="NormalWeb"/>
        <w:jc w:val="both"/>
      </w:pPr>
      <w:r>
        <w:rPr>
          <w:rFonts w:ascii="Arial" w:hAnsi="Arial" w:cs="Arial"/>
          <w:b/>
          <w:bCs/>
        </w:rPr>
        <w:t xml:space="preserve">Figure S6 Combined stressors do not alter early blood cell populations in females. </w:t>
      </w:r>
      <w:r>
        <w:rPr>
          <w:rFonts w:ascii="ArialMT" w:hAnsi="ArialMT"/>
        </w:rPr>
        <w:t xml:space="preserve">Blood from female mice was collected from tail vein 3 weeks after </w:t>
      </w:r>
      <w:proofErr w:type="spellStart"/>
      <w:r>
        <w:rPr>
          <w:rFonts w:ascii="ArialMT" w:hAnsi="ArialMT"/>
        </w:rPr>
        <w:t>GCRsim</w:t>
      </w:r>
      <w:proofErr w:type="spellEnd"/>
      <w:r>
        <w:rPr>
          <w:rFonts w:ascii="ArialMT" w:hAnsi="ArialMT"/>
        </w:rPr>
        <w:t xml:space="preserve"> irradiation and analyzed using flow cytometry. (A) % Monocytes of CD45+ leukocytes (B) % NK cells of CD45+ cells (C) % B cells of CD45+ cells. </w:t>
      </w:r>
      <w:proofErr w:type="gramStart"/>
      <w:r>
        <w:rPr>
          <w:rFonts w:ascii="ArialMT" w:hAnsi="ArialMT"/>
        </w:rPr>
        <w:t>Females</w:t>
      </w:r>
      <w:proofErr w:type="gramEnd"/>
      <w:r>
        <w:rPr>
          <w:rFonts w:ascii="ArialMT" w:hAnsi="ArialMT"/>
        </w:rPr>
        <w:t xml:space="preserve"> monocytes: n= 7 group 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, n=6 for all other groups. Female NK cells: n=9 for SI 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 and group 50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, n=10 for all others. Females B cells: n=7 group 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, n=5 group 50 </w:t>
      </w:r>
      <w:proofErr w:type="spellStart"/>
      <w:r>
        <w:rPr>
          <w:rFonts w:ascii="ArialMT" w:hAnsi="ArialMT"/>
        </w:rPr>
        <w:t>cGy</w:t>
      </w:r>
      <w:proofErr w:type="spellEnd"/>
      <w:r>
        <w:rPr>
          <w:rFonts w:ascii="ArialMT" w:hAnsi="ArialMT"/>
        </w:rPr>
        <w:t xml:space="preserve">, n=6 for all other groups. </w:t>
      </w:r>
    </w:p>
    <w:p w14:paraId="6EBD65F1" w14:textId="77777777" w:rsidR="001E64A9" w:rsidRDefault="001E64A9" w:rsidP="003446F2">
      <w:pPr>
        <w:pStyle w:val="NormalWeb"/>
      </w:pPr>
    </w:p>
    <w:p w14:paraId="0749AABA" w14:textId="77777777" w:rsidR="005D5D93" w:rsidRPr="00562013" w:rsidRDefault="005D5D93"/>
    <w:sectPr w:rsidR="005D5D93" w:rsidRPr="00562013" w:rsidSect="005D5D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013"/>
    <w:rsid w:val="001E64A9"/>
    <w:rsid w:val="003446F2"/>
    <w:rsid w:val="00514ABA"/>
    <w:rsid w:val="00562013"/>
    <w:rsid w:val="005D5D93"/>
    <w:rsid w:val="006F490C"/>
    <w:rsid w:val="008544B0"/>
    <w:rsid w:val="009358EB"/>
    <w:rsid w:val="00BB7141"/>
    <w:rsid w:val="00D350CF"/>
    <w:rsid w:val="00D3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F4748"/>
  <w15:chartTrackingRefBased/>
  <w15:docId w15:val="{64E3A3E4-3407-8549-A30A-13EB4B0C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5D9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8544B0"/>
    <w:pPr>
      <w:spacing w:after="200"/>
      <w:jc w:val="both"/>
    </w:pPr>
    <w:rPr>
      <w:rFonts w:ascii="Arial" w:eastAsiaTheme="minorEastAsia" w:hAnsi="Arial" w:cs="Arial"/>
      <w:i/>
      <w:iCs/>
      <w:color w:val="44546A" w:themeColor="text2"/>
      <w:sz w:val="18"/>
      <w:szCs w:val="18"/>
    </w:rPr>
  </w:style>
  <w:style w:type="table" w:styleId="GridTable2-Accent3">
    <w:name w:val="Grid Table 2 Accent 3"/>
    <w:basedOn w:val="TableNormal"/>
    <w:uiPriority w:val="47"/>
    <w:rsid w:val="008544B0"/>
    <w:pPr>
      <w:jc w:val="both"/>
    </w:pPr>
    <w:rPr>
      <w:rFonts w:ascii="Arial" w:eastAsia="Arial" w:hAnsi="Arial" w:cs="Arial"/>
      <w:i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9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2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1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7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2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2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1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2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6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9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4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1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3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9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3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89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8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5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945</Words>
  <Characters>5389</Characters>
  <Application>Microsoft Office Word</Application>
  <DocSecurity>0</DocSecurity>
  <Lines>44</Lines>
  <Paragraphs>12</Paragraphs>
  <ScaleCrop>false</ScaleCrop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Rienecker, Kira D. (ARC-SCR)[Blue Marble Space]</dc:creator>
  <cp:keywords/>
  <dc:description/>
  <cp:lastModifiedBy>Rienecker, Kira D. (ARC-SCR)[Blue Marble Space]</cp:lastModifiedBy>
  <cp:revision>5</cp:revision>
  <dcterms:created xsi:type="dcterms:W3CDTF">2022-12-04T21:53:00Z</dcterms:created>
  <dcterms:modified xsi:type="dcterms:W3CDTF">2022-12-08T02:47:00Z</dcterms:modified>
</cp:coreProperties>
</file>