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A3D" w:rsidRDefault="000D41E7" w:rsidP="00982A3D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Toc81703355"/>
      <w:r>
        <w:rPr>
          <w:rFonts w:ascii="Times New Roman" w:hAnsi="Times New Roman" w:cs="Times New Roman"/>
          <w:sz w:val="24"/>
          <w:szCs w:val="24"/>
        </w:rPr>
        <w:t>Annexures</w:t>
      </w:r>
    </w:p>
    <w:p w:rsidR="00A94BCA" w:rsidRDefault="00A94BCA" w:rsidP="00982A3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4BCA" w:rsidRPr="00982A3D" w:rsidRDefault="000D41E7" w:rsidP="00A94BCA">
      <w:pPr>
        <w:rPr>
          <w:rFonts w:ascii="Times New Roman" w:hAnsi="Times New Roman" w:cs="Times New Roman"/>
          <w:b/>
          <w:sz w:val="24"/>
          <w:szCs w:val="24"/>
        </w:rPr>
      </w:pPr>
      <w:bookmarkStart w:id="1" w:name="_Toc63294775"/>
      <w:bookmarkStart w:id="2" w:name="_Toc81703368"/>
      <w:r>
        <w:rPr>
          <w:rFonts w:ascii="Times New Roman" w:hAnsi="Times New Roman" w:cs="Times New Roman"/>
          <w:b/>
          <w:sz w:val="24"/>
          <w:szCs w:val="24"/>
        </w:rPr>
        <w:t>Annexure 1</w:t>
      </w:r>
      <w:r w:rsidR="00A94BCA" w:rsidRPr="00982A3D">
        <w:rPr>
          <w:rFonts w:ascii="Times New Roman" w:hAnsi="Times New Roman" w:cs="Times New Roman"/>
          <w:b/>
          <w:sz w:val="24"/>
          <w:szCs w:val="24"/>
        </w:rPr>
        <w:t>: Operational definitions</w:t>
      </w:r>
      <w:bookmarkEnd w:id="1"/>
      <w:bookmarkEnd w:id="2"/>
    </w:p>
    <w:tbl>
      <w:tblPr>
        <w:tblStyle w:val="TableGrid"/>
        <w:tblW w:w="10008" w:type="dxa"/>
        <w:tblLook w:val="04A0" w:firstRow="1" w:lastRow="0" w:firstColumn="1" w:lastColumn="0" w:noHBand="0" w:noVBand="1"/>
      </w:tblPr>
      <w:tblGrid>
        <w:gridCol w:w="1555"/>
        <w:gridCol w:w="8453"/>
      </w:tblGrid>
      <w:tr w:rsidR="00A94BCA" w:rsidRPr="00982A3D" w:rsidTr="00E80656">
        <w:tc>
          <w:tcPr>
            <w:tcW w:w="1555" w:type="dxa"/>
          </w:tcPr>
          <w:p w:rsidR="00A94BCA" w:rsidRPr="00982A3D" w:rsidRDefault="00A94BCA" w:rsidP="00E8065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Early child development</w:t>
            </w:r>
          </w:p>
        </w:tc>
        <w:tc>
          <w:tcPr>
            <w:tcW w:w="8453" w:type="dxa"/>
          </w:tcPr>
          <w:p w:rsidR="00A94BCA" w:rsidRPr="00982A3D" w:rsidRDefault="00A94BCA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ECD encompasses physical, socio-emotional, cognitive, and motor development of children between 0-8 years of age [6]</w:t>
            </w:r>
          </w:p>
        </w:tc>
      </w:tr>
      <w:tr w:rsidR="00A94BCA" w:rsidRPr="00982A3D" w:rsidTr="00E80656">
        <w:tc>
          <w:tcPr>
            <w:tcW w:w="1555" w:type="dxa"/>
          </w:tcPr>
          <w:p w:rsidR="00A94BCA" w:rsidRPr="00982A3D" w:rsidRDefault="00A94BCA" w:rsidP="00E80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Nutrition Interventions</w:t>
            </w:r>
          </w:p>
        </w:tc>
        <w:tc>
          <w:tcPr>
            <w:tcW w:w="8453" w:type="dxa"/>
          </w:tcPr>
          <w:p w:rsidR="00A94BCA" w:rsidRPr="00982A3D" w:rsidRDefault="00A94BCA" w:rsidP="00E80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Nutrition interventions are policies, services, learning experiences and other actions implemented by schools, individuals or groups to make healthy nutrition a way of daily life [6]</w:t>
            </w:r>
          </w:p>
        </w:tc>
      </w:tr>
      <w:tr w:rsidR="00A94BCA" w:rsidRPr="00982A3D" w:rsidTr="00E80656">
        <w:tc>
          <w:tcPr>
            <w:tcW w:w="1555" w:type="dxa"/>
          </w:tcPr>
          <w:p w:rsidR="00A94BCA" w:rsidRPr="00982A3D" w:rsidRDefault="00A94BCA" w:rsidP="00E80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Malnutrition</w:t>
            </w:r>
          </w:p>
        </w:tc>
        <w:tc>
          <w:tcPr>
            <w:tcW w:w="8453" w:type="dxa"/>
          </w:tcPr>
          <w:p w:rsidR="00A94BCA" w:rsidRPr="00982A3D" w:rsidRDefault="00A94BCA" w:rsidP="00E80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Malnutrition includes over nutrition and nutritional deficiencies as well as undernutrition  </w:t>
            </w: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which impairs health, intellectual activity, adaptive</w:t>
            </w:r>
            <w:r w:rsidRPr="00982A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behaviour, education, productivity, and well-being, and can induce death [6]</w:t>
            </w:r>
          </w:p>
        </w:tc>
      </w:tr>
      <w:tr w:rsidR="00A94BCA" w:rsidRPr="00982A3D" w:rsidTr="00E80656">
        <w:tc>
          <w:tcPr>
            <w:tcW w:w="1555" w:type="dxa"/>
          </w:tcPr>
          <w:p w:rsidR="00A94BCA" w:rsidRPr="00982A3D" w:rsidRDefault="00A94BCA" w:rsidP="00E80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School community</w:t>
            </w:r>
          </w:p>
        </w:tc>
        <w:tc>
          <w:tcPr>
            <w:tcW w:w="8453" w:type="dxa"/>
          </w:tcPr>
          <w:p w:rsidR="00A94BCA" w:rsidRPr="00982A3D" w:rsidRDefault="00A94BCA" w:rsidP="00E80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School community comprised of preschool teachers, preschool  principal, representative from preschool management committee and parent teacher committee</w:t>
            </w:r>
          </w:p>
        </w:tc>
      </w:tr>
      <w:tr w:rsidR="00A94BCA" w:rsidRPr="00982A3D" w:rsidTr="00E80656">
        <w:tc>
          <w:tcPr>
            <w:tcW w:w="1555" w:type="dxa"/>
          </w:tcPr>
          <w:p w:rsidR="00A94BCA" w:rsidRPr="00982A3D" w:rsidRDefault="00A94BCA" w:rsidP="00E80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Nutrition Friendly School Initiative [7]</w:t>
            </w:r>
          </w:p>
        </w:tc>
        <w:tc>
          <w:tcPr>
            <w:tcW w:w="8453" w:type="dxa"/>
          </w:tcPr>
          <w:p w:rsidR="00A94BCA" w:rsidRPr="00982A3D" w:rsidRDefault="00A94BCA" w:rsidP="00E80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 xml:space="preserve">NFSI includes five components, which represent the conditions or criteria for schools to be considered nutrition-friendly: </w:t>
            </w:r>
          </w:p>
          <w:p w:rsidR="00A94BCA" w:rsidRPr="00982A3D" w:rsidRDefault="00A94BCA" w:rsidP="00E8065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 xml:space="preserve">A written school policy on nutrition (also named Nutrition-Friendly Schools’ policy); </w:t>
            </w:r>
          </w:p>
          <w:p w:rsidR="00A94BCA" w:rsidRPr="00982A3D" w:rsidRDefault="00A94BCA" w:rsidP="00E8065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Awareness and capacity strengthening of the school community;</w:t>
            </w:r>
          </w:p>
          <w:p w:rsidR="00A94BCA" w:rsidRPr="00982A3D" w:rsidRDefault="00A94BCA" w:rsidP="00E8065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 xml:space="preserve">Curriculum development and modification; </w:t>
            </w:r>
          </w:p>
          <w:p w:rsidR="00A94BCA" w:rsidRPr="00982A3D" w:rsidRDefault="00A94BCA" w:rsidP="00E8065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Creation of a supportive school environment for optimal nutrition and health;</w:t>
            </w:r>
          </w:p>
          <w:p w:rsidR="00A94BCA" w:rsidRPr="00982A3D" w:rsidRDefault="00A94BCA" w:rsidP="00E8065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School nutrition and health services</w:t>
            </w:r>
          </w:p>
        </w:tc>
      </w:tr>
      <w:tr w:rsidR="00A94BCA" w:rsidRPr="00982A3D" w:rsidTr="00E80656">
        <w:tc>
          <w:tcPr>
            <w:tcW w:w="1555" w:type="dxa"/>
          </w:tcPr>
          <w:p w:rsidR="00A94BCA" w:rsidRPr="00982A3D" w:rsidRDefault="00A94BCA" w:rsidP="00E80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 xml:space="preserve">Preschool </w:t>
            </w:r>
          </w:p>
        </w:tc>
        <w:tc>
          <w:tcPr>
            <w:tcW w:w="8453" w:type="dxa"/>
          </w:tcPr>
          <w:p w:rsidR="00A94BCA" w:rsidRPr="00982A3D" w:rsidRDefault="00A94BCA" w:rsidP="00E80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 preschool, also known as nursery school, pre-primary school, or play school, is an educational establishment or learning space offering early childhood education to children before they begin compulsory education at primary school.</w:t>
            </w:r>
          </w:p>
        </w:tc>
      </w:tr>
    </w:tbl>
    <w:p w:rsidR="00A94BCA" w:rsidRPr="00982A3D" w:rsidRDefault="00A94BCA" w:rsidP="00A94BCA">
      <w:pPr>
        <w:rPr>
          <w:rFonts w:ascii="Times New Roman" w:hAnsi="Times New Roman" w:cs="Times New Roman"/>
          <w:sz w:val="24"/>
          <w:szCs w:val="24"/>
        </w:rPr>
      </w:pPr>
    </w:p>
    <w:p w:rsidR="00A94BCA" w:rsidRPr="00982A3D" w:rsidRDefault="00A94BCA" w:rsidP="00A94BCA">
      <w:pPr>
        <w:rPr>
          <w:rFonts w:ascii="Times New Roman" w:hAnsi="Times New Roman" w:cs="Times New Roman"/>
          <w:sz w:val="24"/>
          <w:szCs w:val="24"/>
        </w:rPr>
      </w:pPr>
    </w:p>
    <w:p w:rsidR="00A94BCA" w:rsidRPr="00982A3D" w:rsidRDefault="00A94BCA" w:rsidP="00A94BCA">
      <w:pPr>
        <w:rPr>
          <w:rFonts w:ascii="Times New Roman" w:hAnsi="Times New Roman" w:cs="Times New Roman"/>
          <w:sz w:val="24"/>
          <w:szCs w:val="24"/>
        </w:rPr>
      </w:pPr>
    </w:p>
    <w:p w:rsidR="00A94BCA" w:rsidRPr="00982A3D" w:rsidRDefault="00A94BCA" w:rsidP="00A94BCA">
      <w:pPr>
        <w:rPr>
          <w:rFonts w:ascii="Times New Roman" w:hAnsi="Times New Roman" w:cs="Times New Roman"/>
          <w:sz w:val="24"/>
          <w:szCs w:val="24"/>
        </w:rPr>
      </w:pPr>
    </w:p>
    <w:p w:rsidR="00A94BCA" w:rsidRDefault="00A94BCA" w:rsidP="00A94BCA">
      <w:pPr>
        <w:rPr>
          <w:rFonts w:ascii="Times New Roman" w:hAnsi="Times New Roman" w:cs="Times New Roman"/>
          <w:sz w:val="24"/>
          <w:szCs w:val="24"/>
        </w:rPr>
      </w:pPr>
    </w:p>
    <w:p w:rsidR="00A94BCA" w:rsidRDefault="00A94BCA" w:rsidP="00A94BCA">
      <w:pPr>
        <w:rPr>
          <w:rFonts w:ascii="Times New Roman" w:hAnsi="Times New Roman" w:cs="Times New Roman"/>
          <w:sz w:val="24"/>
          <w:szCs w:val="24"/>
        </w:rPr>
      </w:pPr>
    </w:p>
    <w:p w:rsidR="00A94BCA" w:rsidRDefault="00A94BCA" w:rsidP="00A94BCA">
      <w:pPr>
        <w:rPr>
          <w:rFonts w:ascii="Times New Roman" w:hAnsi="Times New Roman" w:cs="Times New Roman"/>
          <w:sz w:val="24"/>
          <w:szCs w:val="24"/>
        </w:rPr>
      </w:pPr>
    </w:p>
    <w:p w:rsidR="00A94BCA" w:rsidRDefault="00A94BCA" w:rsidP="00A94BCA">
      <w:pPr>
        <w:rPr>
          <w:rFonts w:ascii="Times New Roman" w:hAnsi="Times New Roman" w:cs="Times New Roman"/>
          <w:sz w:val="24"/>
          <w:szCs w:val="24"/>
        </w:rPr>
      </w:pPr>
    </w:p>
    <w:p w:rsidR="00A94BCA" w:rsidRDefault="00A94BCA" w:rsidP="00A94BCA">
      <w:pPr>
        <w:rPr>
          <w:rFonts w:ascii="Times New Roman" w:hAnsi="Times New Roman" w:cs="Times New Roman"/>
          <w:sz w:val="24"/>
          <w:szCs w:val="24"/>
        </w:rPr>
      </w:pPr>
    </w:p>
    <w:p w:rsidR="00A94BCA" w:rsidRDefault="00A94BCA" w:rsidP="00A94BCA">
      <w:pPr>
        <w:rPr>
          <w:rFonts w:ascii="Times New Roman" w:hAnsi="Times New Roman" w:cs="Times New Roman"/>
          <w:sz w:val="24"/>
          <w:szCs w:val="24"/>
        </w:rPr>
      </w:pPr>
    </w:p>
    <w:p w:rsidR="00A94BCA" w:rsidRDefault="00A94BCA" w:rsidP="00A94BCA">
      <w:pPr>
        <w:rPr>
          <w:rFonts w:ascii="Times New Roman" w:hAnsi="Times New Roman" w:cs="Times New Roman"/>
          <w:sz w:val="24"/>
          <w:szCs w:val="24"/>
        </w:rPr>
      </w:pPr>
    </w:p>
    <w:p w:rsidR="00A94BCA" w:rsidRPr="00982A3D" w:rsidRDefault="00A94BCA" w:rsidP="00A94BCA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0D41E7" w:rsidP="00982A3D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Annexure 2</w:t>
      </w:r>
      <w:r w:rsidR="00982A3D" w:rsidRPr="00982A3D">
        <w:rPr>
          <w:rFonts w:ascii="Times New Roman" w:hAnsi="Times New Roman" w:cs="Times New Roman"/>
          <w:b/>
          <w:sz w:val="24"/>
          <w:szCs w:val="24"/>
          <w:lang w:val="en-GB"/>
        </w:rPr>
        <w:t xml:space="preserve">: Health, Nutrition, Development and Education profile of children under five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982A3D" w:rsidRPr="00982A3D">
        <w:rPr>
          <w:rFonts w:ascii="Times New Roman" w:hAnsi="Times New Roman" w:cs="Times New Roman"/>
          <w:b/>
          <w:sz w:val="24"/>
          <w:szCs w:val="24"/>
          <w:lang w:val="en-GB"/>
        </w:rPr>
        <w:t>years</w:t>
      </w:r>
      <w:r w:rsidR="00A94BC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982A3D" w:rsidRPr="00982A3D">
        <w:rPr>
          <w:rFonts w:ascii="Times New Roman" w:hAnsi="Times New Roman" w:cs="Times New Roman"/>
          <w:b/>
          <w:sz w:val="24"/>
          <w:szCs w:val="24"/>
          <w:lang w:val="en-GB"/>
        </w:rPr>
        <w:t>of age in Sindh province [3]</w:t>
      </w:r>
      <w:bookmarkEnd w:id="0"/>
    </w:p>
    <w:p w:rsidR="003736AD" w:rsidRPr="00982A3D" w:rsidRDefault="003736A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490" w:type="dxa"/>
        <w:tblInd w:w="-572" w:type="dxa"/>
        <w:tblLook w:val="04A0" w:firstRow="1" w:lastRow="0" w:firstColumn="1" w:lastColumn="0" w:noHBand="0" w:noVBand="1"/>
      </w:tblPr>
      <w:tblGrid>
        <w:gridCol w:w="2835"/>
        <w:gridCol w:w="6379"/>
        <w:gridCol w:w="1276"/>
      </w:tblGrid>
      <w:tr w:rsidR="00982A3D" w:rsidRPr="00982A3D" w:rsidTr="00E80656">
        <w:tc>
          <w:tcPr>
            <w:tcW w:w="2835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Indicators</w:t>
            </w:r>
          </w:p>
        </w:tc>
        <w:tc>
          <w:tcPr>
            <w:tcW w:w="6379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Definition</w:t>
            </w:r>
          </w:p>
        </w:tc>
        <w:tc>
          <w:tcPr>
            <w:tcW w:w="1276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Value (%)</w:t>
            </w:r>
          </w:p>
        </w:tc>
      </w:tr>
      <w:tr w:rsidR="00982A3D" w:rsidRPr="00982A3D" w:rsidTr="00E80656">
        <w:tc>
          <w:tcPr>
            <w:tcW w:w="10490" w:type="dxa"/>
            <w:gridSpan w:val="3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Child Health and Nutrition</w:t>
            </w:r>
          </w:p>
        </w:tc>
      </w:tr>
      <w:tr w:rsidR="00982A3D" w:rsidRPr="00982A3D" w:rsidTr="00E80656">
        <w:tc>
          <w:tcPr>
            <w:tcW w:w="2835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Under-five mortality rate</w:t>
            </w:r>
          </w:p>
        </w:tc>
        <w:tc>
          <w:tcPr>
            <w:tcW w:w="6379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Probability of dying between birth and the fifth birthday</w:t>
            </w:r>
          </w:p>
        </w:tc>
        <w:tc>
          <w:tcPr>
            <w:tcW w:w="1276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46/1000</w:t>
            </w:r>
          </w:p>
        </w:tc>
      </w:tr>
      <w:tr w:rsidR="00982A3D" w:rsidRPr="00982A3D" w:rsidTr="00E80656">
        <w:tc>
          <w:tcPr>
            <w:tcW w:w="2835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Full immunization</w:t>
            </w: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coverage</w:t>
            </w:r>
          </w:p>
        </w:tc>
        <w:tc>
          <w:tcPr>
            <w:tcW w:w="6379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a) 12-23 months had received all basic vaccinations at any time before the survey</w:t>
            </w: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b) 24-35 months had received all vaccinations recommended in the national immunization schedule</w:t>
            </w:r>
          </w:p>
        </w:tc>
        <w:tc>
          <w:tcPr>
            <w:tcW w:w="1276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43.8</w:t>
            </w: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32.7</w:t>
            </w:r>
          </w:p>
        </w:tc>
      </w:tr>
      <w:tr w:rsidR="00982A3D" w:rsidRPr="00982A3D" w:rsidTr="00E80656">
        <w:tc>
          <w:tcPr>
            <w:tcW w:w="2835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Diarrhoea treatment with oral rehydration salts solution (ORS) and zinc</w:t>
            </w:r>
          </w:p>
        </w:tc>
        <w:tc>
          <w:tcPr>
            <w:tcW w:w="6379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Percentage of children under age 5 with diarrhoea in the last 2 weeks who received ORS and zinc</w:t>
            </w:r>
          </w:p>
        </w:tc>
        <w:tc>
          <w:tcPr>
            <w:tcW w:w="1276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22.4</w:t>
            </w:r>
          </w:p>
        </w:tc>
      </w:tr>
      <w:tr w:rsidR="00982A3D" w:rsidRPr="00982A3D" w:rsidTr="00E80656">
        <w:tc>
          <w:tcPr>
            <w:tcW w:w="2835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Underweight prevalence</w:t>
            </w:r>
          </w:p>
        </w:tc>
        <w:tc>
          <w:tcPr>
            <w:tcW w:w="6379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Percentage of children under age 5 who fall below minus two standard deviations (moderate and severe)</w:t>
            </w:r>
          </w:p>
        </w:tc>
        <w:tc>
          <w:tcPr>
            <w:tcW w:w="1276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40.7</w:t>
            </w:r>
          </w:p>
        </w:tc>
      </w:tr>
      <w:tr w:rsidR="00982A3D" w:rsidRPr="00982A3D" w:rsidTr="00E80656">
        <w:tc>
          <w:tcPr>
            <w:tcW w:w="2835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Stunting prevalence</w:t>
            </w:r>
          </w:p>
        </w:tc>
        <w:tc>
          <w:tcPr>
            <w:tcW w:w="6379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Percentage of children under age 5 who fall below minus two standard deviations (moderate and severe)</w:t>
            </w:r>
          </w:p>
        </w:tc>
        <w:tc>
          <w:tcPr>
            <w:tcW w:w="1276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50.2</w:t>
            </w:r>
          </w:p>
        </w:tc>
      </w:tr>
      <w:tr w:rsidR="00982A3D" w:rsidRPr="00982A3D" w:rsidTr="00E80656">
        <w:tc>
          <w:tcPr>
            <w:tcW w:w="2835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Wasting prevalence</w:t>
            </w:r>
          </w:p>
        </w:tc>
        <w:tc>
          <w:tcPr>
            <w:tcW w:w="6379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Percentage of children under age 5 who fall below1 minus two standard deviations (moderate and severe)</w:t>
            </w:r>
          </w:p>
        </w:tc>
        <w:tc>
          <w:tcPr>
            <w:tcW w:w="1276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4.8</w:t>
            </w:r>
          </w:p>
        </w:tc>
      </w:tr>
      <w:tr w:rsidR="00982A3D" w:rsidRPr="00982A3D" w:rsidTr="00E80656">
        <w:tc>
          <w:tcPr>
            <w:tcW w:w="2835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Overweight prevalence</w:t>
            </w:r>
          </w:p>
        </w:tc>
        <w:tc>
          <w:tcPr>
            <w:tcW w:w="6379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Percentage of children under age 5 who are above two standard deviations (moderate and severe)</w:t>
            </w:r>
          </w:p>
        </w:tc>
        <w:tc>
          <w:tcPr>
            <w:tcW w:w="1276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3.7</w:t>
            </w:r>
          </w:p>
        </w:tc>
      </w:tr>
      <w:tr w:rsidR="00982A3D" w:rsidRPr="00982A3D" w:rsidTr="00E80656">
        <w:tc>
          <w:tcPr>
            <w:tcW w:w="10490" w:type="dxa"/>
            <w:gridSpan w:val="3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Child Development, Education and Learning</w:t>
            </w:r>
          </w:p>
        </w:tc>
      </w:tr>
      <w:tr w:rsidR="00982A3D" w:rsidRPr="00982A3D" w:rsidTr="00E80656">
        <w:tc>
          <w:tcPr>
            <w:tcW w:w="2835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Early stimulation and</w:t>
            </w: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responsive care</w:t>
            </w:r>
          </w:p>
        </w:tc>
        <w:tc>
          <w:tcPr>
            <w:tcW w:w="6379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Percentage of children age 24-59 months engaged in four or more activities to provide early stimulation</w:t>
            </w: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and responsive care in the last 3 days with</w:t>
            </w: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(a) Any adult household member</w:t>
            </w: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(b) Father</w:t>
            </w: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(c) Mother</w:t>
            </w:r>
          </w:p>
        </w:tc>
        <w:tc>
          <w:tcPr>
            <w:tcW w:w="1276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46.2</w:t>
            </w: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17.4</w:t>
            </w:r>
          </w:p>
        </w:tc>
      </w:tr>
      <w:tr w:rsidR="00982A3D" w:rsidRPr="00982A3D" w:rsidTr="00E80656">
        <w:tc>
          <w:tcPr>
            <w:tcW w:w="2835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Early child development</w:t>
            </w: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6379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Percentage of children age 36-59 months who are developmentally on track in at least three of the following four domains: literacy-numeracy, physical, social-emotional, and learning</w:t>
            </w:r>
          </w:p>
        </w:tc>
        <w:tc>
          <w:tcPr>
            <w:tcW w:w="1276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47.5</w:t>
            </w:r>
          </w:p>
        </w:tc>
      </w:tr>
      <w:tr w:rsidR="00982A3D" w:rsidRPr="00982A3D" w:rsidTr="00E80656">
        <w:tc>
          <w:tcPr>
            <w:tcW w:w="2835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Attendance to early</w:t>
            </w: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childhood education</w:t>
            </w:r>
          </w:p>
        </w:tc>
        <w:tc>
          <w:tcPr>
            <w:tcW w:w="6379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Percentage of children age 36-59 months who are attending an early childhood education programme</w:t>
            </w:r>
          </w:p>
        </w:tc>
        <w:tc>
          <w:tcPr>
            <w:tcW w:w="1276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</w:t>
            </w:r>
          </w:p>
        </w:tc>
      </w:tr>
      <w:tr w:rsidR="00982A3D" w:rsidRPr="00982A3D" w:rsidTr="00E80656">
        <w:tc>
          <w:tcPr>
            <w:tcW w:w="2835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Out-of-school rate</w:t>
            </w:r>
          </w:p>
        </w:tc>
        <w:tc>
          <w:tcPr>
            <w:tcW w:w="6379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Percentage of children of primary school age who are not attending primary or middle school</w:t>
            </w:r>
          </w:p>
        </w:tc>
        <w:tc>
          <w:tcPr>
            <w:tcW w:w="1276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42.7</w:t>
            </w:r>
          </w:p>
        </w:tc>
      </w:tr>
      <w:tr w:rsidR="00982A3D" w:rsidRPr="00982A3D" w:rsidTr="00E80656">
        <w:tc>
          <w:tcPr>
            <w:tcW w:w="2835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School readiness</w:t>
            </w:r>
          </w:p>
        </w:tc>
        <w:tc>
          <w:tcPr>
            <w:tcW w:w="6379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Percentage of children attending the first grade of primary school who attended early childhood education programme during the previous school year</w:t>
            </w:r>
          </w:p>
        </w:tc>
        <w:tc>
          <w:tcPr>
            <w:tcW w:w="1276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57.2</w:t>
            </w:r>
          </w:p>
        </w:tc>
      </w:tr>
      <w:tr w:rsidR="00982A3D" w:rsidRPr="00982A3D" w:rsidTr="00E80656">
        <w:tc>
          <w:tcPr>
            <w:tcW w:w="2835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Opportunity to participate</w:t>
            </w:r>
          </w:p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in School Management</w:t>
            </w:r>
          </w:p>
        </w:tc>
        <w:tc>
          <w:tcPr>
            <w:tcW w:w="6379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Percentage of children aged 7-14 years attending schools whose school governing body is open to parental participation, as reported by respondents</w:t>
            </w:r>
          </w:p>
        </w:tc>
        <w:tc>
          <w:tcPr>
            <w:tcW w:w="1276" w:type="dxa"/>
          </w:tcPr>
          <w:p w:rsidR="00982A3D" w:rsidRPr="00982A3D" w:rsidRDefault="00982A3D" w:rsidP="00E8065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22.5</w:t>
            </w:r>
          </w:p>
        </w:tc>
      </w:tr>
    </w:tbl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2E0C9B" w:rsidRPr="00982A3D" w:rsidRDefault="002E0C9B" w:rsidP="002E0C9B">
      <w:pPr>
        <w:rPr>
          <w:rFonts w:ascii="Times New Roman" w:hAnsi="Times New Roman" w:cs="Times New Roman"/>
          <w:sz w:val="24"/>
          <w:szCs w:val="24"/>
        </w:rPr>
      </w:pPr>
    </w:p>
    <w:p w:rsidR="002E0C9B" w:rsidRPr="00263700" w:rsidRDefault="002E0C9B" w:rsidP="002E0C9B">
      <w:pPr>
        <w:rPr>
          <w:rFonts w:ascii="Times New Roman" w:hAnsi="Times New Roman" w:cs="Times New Roman"/>
          <w:b/>
          <w:sz w:val="24"/>
          <w:szCs w:val="24"/>
        </w:rPr>
      </w:pPr>
      <w:bookmarkStart w:id="3" w:name="_Toc81703374"/>
      <w:r w:rsidRPr="00982A3D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Pr="00982A3D">
        <w:rPr>
          <w:rFonts w:ascii="Times New Roman" w:hAnsi="Times New Roman" w:cs="Times New Roman"/>
          <w:b/>
          <w:sz w:val="24"/>
          <w:szCs w:val="24"/>
        </w:rPr>
        <w:t>: Inclusion and exclusion criteria of study participants</w:t>
      </w:r>
      <w:bookmarkEnd w:id="3"/>
    </w:p>
    <w:tbl>
      <w:tblPr>
        <w:tblStyle w:val="TableGrid"/>
        <w:tblW w:w="10349" w:type="dxa"/>
        <w:tblInd w:w="-289" w:type="dxa"/>
        <w:tblLook w:val="04A0" w:firstRow="1" w:lastRow="0" w:firstColumn="1" w:lastColumn="0" w:noHBand="0" w:noVBand="1"/>
      </w:tblPr>
      <w:tblGrid>
        <w:gridCol w:w="1376"/>
        <w:gridCol w:w="5290"/>
        <w:gridCol w:w="3683"/>
      </w:tblGrid>
      <w:tr w:rsidR="002E0C9B" w:rsidRPr="00982A3D" w:rsidTr="007E51F6">
        <w:tc>
          <w:tcPr>
            <w:tcW w:w="1376" w:type="dxa"/>
          </w:tcPr>
          <w:p w:rsidR="002E0C9B" w:rsidRPr="00982A3D" w:rsidRDefault="002E0C9B" w:rsidP="007E51F6">
            <w:pPr>
              <w:pStyle w:val="NoSpacing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2A3D">
              <w:rPr>
                <w:rFonts w:ascii="Times New Roman" w:hAnsi="Times New Roman"/>
                <w:b/>
                <w:sz w:val="24"/>
                <w:szCs w:val="24"/>
              </w:rPr>
              <w:t>Participant category</w:t>
            </w:r>
          </w:p>
        </w:tc>
        <w:tc>
          <w:tcPr>
            <w:tcW w:w="5290" w:type="dxa"/>
          </w:tcPr>
          <w:p w:rsidR="002E0C9B" w:rsidRPr="00982A3D" w:rsidRDefault="002E0C9B" w:rsidP="007E51F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b/>
                <w:sz w:val="24"/>
                <w:szCs w:val="24"/>
              </w:rPr>
              <w:t>Inclusion criteria</w:t>
            </w:r>
          </w:p>
        </w:tc>
        <w:tc>
          <w:tcPr>
            <w:tcW w:w="3683" w:type="dxa"/>
          </w:tcPr>
          <w:p w:rsidR="002E0C9B" w:rsidRPr="00982A3D" w:rsidRDefault="002E0C9B" w:rsidP="007E51F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b/>
                <w:sz w:val="24"/>
                <w:szCs w:val="24"/>
              </w:rPr>
              <w:t>Exclusion criteria</w:t>
            </w:r>
          </w:p>
        </w:tc>
      </w:tr>
      <w:tr w:rsidR="002E0C9B" w:rsidRPr="00982A3D" w:rsidTr="007E51F6">
        <w:tc>
          <w:tcPr>
            <w:tcW w:w="1376" w:type="dxa"/>
          </w:tcPr>
          <w:p w:rsidR="002E0C9B" w:rsidRPr="00982A3D" w:rsidRDefault="002E0C9B" w:rsidP="007E51F6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School Community</w:t>
            </w:r>
          </w:p>
        </w:tc>
        <w:tc>
          <w:tcPr>
            <w:tcW w:w="5290" w:type="dxa"/>
          </w:tcPr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Affiliated with school for at least six months</w:t>
            </w:r>
          </w:p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Available at time of study (during implementation phase)</w:t>
            </w:r>
          </w:p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Nominated by school principal</w:t>
            </w:r>
          </w:p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Anticipate to continue working with preschool for  next six months at least</w:t>
            </w:r>
          </w:p>
        </w:tc>
        <w:tc>
          <w:tcPr>
            <w:tcW w:w="3683" w:type="dxa"/>
          </w:tcPr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Not available during the</w:t>
            </w:r>
          </w:p>
          <w:p w:rsidR="002E0C9B" w:rsidRPr="00982A3D" w:rsidRDefault="002E0C9B" w:rsidP="007E51F6">
            <w:pPr>
              <w:pStyle w:val="NoSpacing"/>
              <w:spacing w:line="276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 xml:space="preserve">implementation phase </w:t>
            </w:r>
          </w:p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Not willing to participate</w:t>
            </w:r>
          </w:p>
          <w:p w:rsidR="002E0C9B" w:rsidRPr="00982A3D" w:rsidRDefault="002E0C9B" w:rsidP="007E51F6">
            <w:pPr>
              <w:pStyle w:val="NoSpacing"/>
              <w:spacing w:line="276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Voluntarily</w:t>
            </w:r>
          </w:p>
        </w:tc>
      </w:tr>
      <w:tr w:rsidR="002E0C9B" w:rsidRPr="00982A3D" w:rsidTr="007E51F6">
        <w:tc>
          <w:tcPr>
            <w:tcW w:w="1376" w:type="dxa"/>
          </w:tcPr>
          <w:p w:rsidR="002E0C9B" w:rsidRPr="00982A3D" w:rsidRDefault="002E0C9B" w:rsidP="007E51F6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Parents of preschool children</w:t>
            </w:r>
          </w:p>
        </w:tc>
        <w:tc>
          <w:tcPr>
            <w:tcW w:w="5290" w:type="dxa"/>
          </w:tcPr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Familiarity with Urdu or English language</w:t>
            </w:r>
          </w:p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Voluntary participation in training</w:t>
            </w:r>
          </w:p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 xml:space="preserve">Direct care provider of child </w:t>
            </w:r>
          </w:p>
          <w:p w:rsidR="002E0C9B" w:rsidRPr="00982A3D" w:rsidRDefault="002E0C9B" w:rsidP="007E51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3" w:type="dxa"/>
          </w:tcPr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Refuse to participate in study</w:t>
            </w:r>
          </w:p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 xml:space="preserve">Unable to attend the training </w:t>
            </w:r>
          </w:p>
          <w:p w:rsidR="002E0C9B" w:rsidRPr="00982A3D" w:rsidRDefault="002E0C9B" w:rsidP="007E51F6">
            <w:pPr>
              <w:pStyle w:val="NoSpacing"/>
              <w:spacing w:line="276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session</w:t>
            </w:r>
          </w:p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Not familiar with Urdu language</w:t>
            </w:r>
          </w:p>
        </w:tc>
      </w:tr>
      <w:tr w:rsidR="002E0C9B" w:rsidRPr="00982A3D" w:rsidTr="007E51F6">
        <w:tc>
          <w:tcPr>
            <w:tcW w:w="1376" w:type="dxa"/>
          </w:tcPr>
          <w:p w:rsidR="002E0C9B" w:rsidRPr="00982A3D" w:rsidRDefault="002E0C9B" w:rsidP="007E51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A3D">
              <w:rPr>
                <w:rFonts w:ascii="Times New Roman" w:hAnsi="Times New Roman" w:cs="Times New Roman"/>
                <w:sz w:val="24"/>
                <w:szCs w:val="24"/>
              </w:rPr>
              <w:t>Children</w:t>
            </w:r>
          </w:p>
        </w:tc>
        <w:tc>
          <w:tcPr>
            <w:tcW w:w="5290" w:type="dxa"/>
          </w:tcPr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Preschool student of age 24-83</w:t>
            </w:r>
            <w:r w:rsidRPr="00982A3D">
              <w:rPr>
                <w:rFonts w:ascii="Times New Roman" w:hAnsi="Times New Roman"/>
                <w:sz w:val="24"/>
                <w:szCs w:val="24"/>
              </w:rPr>
              <w:t xml:space="preserve"> months. </w:t>
            </w:r>
          </w:p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kern w:val="24"/>
                <w:sz w:val="24"/>
                <w:szCs w:val="24"/>
              </w:rPr>
              <w:t xml:space="preserve">Child present/available at the time of </w:t>
            </w:r>
          </w:p>
          <w:p w:rsidR="002E0C9B" w:rsidRPr="00982A3D" w:rsidRDefault="002E0C9B" w:rsidP="007E51F6">
            <w:pPr>
              <w:pStyle w:val="NoSpacing"/>
              <w:spacing w:line="276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kern w:val="24"/>
                <w:sz w:val="24"/>
                <w:szCs w:val="24"/>
              </w:rPr>
              <w:t>anthropometric assessment</w:t>
            </w:r>
          </w:p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kern w:val="24"/>
                <w:sz w:val="24"/>
                <w:szCs w:val="24"/>
              </w:rPr>
              <w:t>Student with at least 50% attendance at the school (except of newly enrolled child)</w:t>
            </w:r>
          </w:p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kern w:val="24"/>
                <w:sz w:val="24"/>
                <w:szCs w:val="24"/>
              </w:rPr>
              <w:t>No sign of medical complications (as outlined in ‘National Guidelines for Community based Management of Acute Malnutrition, 2015)</w:t>
            </w:r>
          </w:p>
        </w:tc>
        <w:tc>
          <w:tcPr>
            <w:tcW w:w="3683" w:type="dxa"/>
          </w:tcPr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 xml:space="preserve">Refusal of parents on any </w:t>
            </w:r>
          </w:p>
          <w:p w:rsidR="002E0C9B" w:rsidRPr="00982A3D" w:rsidRDefault="002E0C9B" w:rsidP="007E51F6">
            <w:pPr>
              <w:pStyle w:val="NoSpacing"/>
              <w:spacing w:line="276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participation</w:t>
            </w:r>
          </w:p>
          <w:p w:rsidR="002E0C9B" w:rsidRPr="00982A3D" w:rsidRDefault="002E0C9B" w:rsidP="002E0C9B">
            <w:pPr>
              <w:pStyle w:val="NoSpacing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 xml:space="preserve">Any disability that hinders </w:t>
            </w:r>
          </w:p>
          <w:p w:rsidR="002E0C9B" w:rsidRPr="00982A3D" w:rsidRDefault="002E0C9B" w:rsidP="007E51F6">
            <w:pPr>
              <w:pStyle w:val="NoSpacing"/>
              <w:spacing w:line="276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982A3D">
              <w:rPr>
                <w:rFonts w:ascii="Times New Roman" w:hAnsi="Times New Roman"/>
                <w:sz w:val="24"/>
                <w:szCs w:val="24"/>
              </w:rPr>
              <w:t>anthropometric assessment</w:t>
            </w:r>
          </w:p>
          <w:p w:rsidR="002E0C9B" w:rsidRPr="00982A3D" w:rsidRDefault="002E0C9B" w:rsidP="007E51F6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E0C9B" w:rsidRPr="00982A3D" w:rsidRDefault="002E0C9B" w:rsidP="007E51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E0C9B" w:rsidRPr="00982A3D" w:rsidRDefault="002E0C9B" w:rsidP="002E0C9B">
      <w:pPr>
        <w:rPr>
          <w:rFonts w:ascii="Times New Roman" w:hAnsi="Times New Roman" w:cs="Times New Roman"/>
          <w:sz w:val="24"/>
          <w:szCs w:val="24"/>
        </w:rPr>
      </w:pPr>
    </w:p>
    <w:p w:rsid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2E0C9B" w:rsidRDefault="002E0C9B">
      <w:pPr>
        <w:rPr>
          <w:rFonts w:ascii="Times New Roman" w:hAnsi="Times New Roman" w:cs="Times New Roman"/>
          <w:sz w:val="24"/>
          <w:szCs w:val="24"/>
        </w:rPr>
      </w:pPr>
    </w:p>
    <w:p w:rsidR="002E0C9B" w:rsidRDefault="002E0C9B">
      <w:pPr>
        <w:rPr>
          <w:rFonts w:ascii="Times New Roman" w:hAnsi="Times New Roman" w:cs="Times New Roman"/>
          <w:sz w:val="24"/>
          <w:szCs w:val="24"/>
        </w:rPr>
      </w:pPr>
    </w:p>
    <w:p w:rsidR="002E0C9B" w:rsidRDefault="002E0C9B">
      <w:pPr>
        <w:rPr>
          <w:rFonts w:ascii="Times New Roman" w:hAnsi="Times New Roman" w:cs="Times New Roman"/>
          <w:sz w:val="24"/>
          <w:szCs w:val="24"/>
        </w:rPr>
      </w:pPr>
    </w:p>
    <w:p w:rsidR="002E0C9B" w:rsidRPr="00982A3D" w:rsidRDefault="002E0C9B">
      <w:pPr>
        <w:rPr>
          <w:rFonts w:ascii="Times New Roman" w:hAnsi="Times New Roman" w:cs="Times New Roman"/>
          <w:sz w:val="24"/>
          <w:szCs w:val="24"/>
        </w:rPr>
      </w:pPr>
    </w:p>
    <w:p w:rsidR="000D41E7" w:rsidRPr="000D41E7" w:rsidRDefault="000D41E7" w:rsidP="000D41E7">
      <w:pPr>
        <w:rPr>
          <w:rFonts w:ascii="Times New Roman" w:hAnsi="Times New Roman" w:cs="Times New Roman"/>
          <w:b/>
          <w:sz w:val="24"/>
        </w:rPr>
      </w:pPr>
      <w:r w:rsidRPr="000D41E7">
        <w:rPr>
          <w:rFonts w:ascii="Times New Roman" w:hAnsi="Times New Roman" w:cs="Times New Roman"/>
          <w:b/>
          <w:sz w:val="24"/>
        </w:rPr>
        <w:lastRenderedPageBreak/>
        <w:t xml:space="preserve">Annexure </w:t>
      </w:r>
      <w:r w:rsidR="002E0C9B">
        <w:rPr>
          <w:rFonts w:ascii="Times New Roman" w:hAnsi="Times New Roman" w:cs="Times New Roman"/>
          <w:b/>
          <w:sz w:val="24"/>
        </w:rPr>
        <w:t>4</w:t>
      </w:r>
      <w:r w:rsidRPr="000D41E7">
        <w:rPr>
          <w:rFonts w:ascii="Times New Roman" w:hAnsi="Times New Roman" w:cs="Times New Roman"/>
          <w:b/>
          <w:sz w:val="24"/>
        </w:rPr>
        <w:t>: In-depth Interview guide for Qualitative data collection</w:t>
      </w:r>
    </w:p>
    <w:p w:rsidR="000D41E7" w:rsidRPr="00E51A79" w:rsidRDefault="000D41E7" w:rsidP="000D41E7">
      <w:p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</w:p>
    <w:p w:rsidR="000D41E7" w:rsidRPr="00E51A79" w:rsidRDefault="000D41E7" w:rsidP="000D41E7">
      <w:pPr>
        <w:spacing w:after="0"/>
        <w:rPr>
          <w:rFonts w:eastAsia="Times New Roman" w:cstheme="minorHAnsi"/>
        </w:rPr>
      </w:pPr>
      <w:r w:rsidRPr="00E51A79">
        <w:rPr>
          <w:rFonts w:eastAsia="Times New Roman" w:cstheme="minorHAnsi"/>
        </w:rPr>
        <w:t>This guide is designed for In-depth interviews for School Community (School Head teacher, Principal, representative from Parent Teacher Committee, ECD experts and Head of programs)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0D41E7" w:rsidRPr="00E51A79" w:rsidTr="007E51F6">
        <w:tc>
          <w:tcPr>
            <w:tcW w:w="9776" w:type="dxa"/>
          </w:tcPr>
          <w:p w:rsidR="000D41E7" w:rsidRPr="00E51A79" w:rsidRDefault="000D41E7" w:rsidP="007E51F6">
            <w:pPr>
              <w:rPr>
                <w:rFonts w:eastAsia="Times New Roman" w:cstheme="minorHAnsi"/>
                <w:b/>
              </w:rPr>
            </w:pPr>
            <w:r w:rsidRPr="00E51A79">
              <w:rPr>
                <w:rFonts w:eastAsia="Times New Roman" w:cstheme="minorHAnsi"/>
                <w:b/>
              </w:rPr>
              <w:t>Understanding the health and nutrition in context to pre-school setting</w:t>
            </w:r>
          </w:p>
        </w:tc>
      </w:tr>
      <w:tr w:rsidR="000D41E7" w:rsidRPr="00E51A79" w:rsidTr="007E51F6">
        <w:trPr>
          <w:trHeight w:val="395"/>
        </w:trPr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3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What are the main health and nutrition issues among pre-school children of age 24-59 months?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3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Does your school have any school-based Health and nutrition assessment program/s?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3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What measures/ mechanism are in placed (or in practice) for the betterment of health and nutrition status of pre-school children.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3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Do you think parents have sufficient information/ knowledge regarding healthy diet and nutrition status of their children?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7E51F6">
            <w:pPr>
              <w:rPr>
                <w:rFonts w:eastAsia="Times New Roman" w:cstheme="minorHAnsi"/>
                <w:b/>
              </w:rPr>
            </w:pPr>
            <w:r w:rsidRPr="00E51A79">
              <w:rPr>
                <w:rFonts w:eastAsia="Times New Roman" w:cstheme="minorHAnsi"/>
                <w:b/>
              </w:rPr>
              <w:t xml:space="preserve">Understanding roles and responsibilities 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4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In your opinion, does school can play its role in improving the health and nutrition status of pre-school children?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4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What is the role of school/ management in improving the nutrition status of children?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4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What activities school/management may consider ensuring enabling environment for preschool children towards attaining improve health and nutrition status.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4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What is the role of parents in improving the nutrition status of children and how would your school have engaged parents to ensure it?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4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In your opinion how parents should be engaged with school to support in adopting nutrition initiatives in pre-school setting?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7E51F6">
            <w:pPr>
              <w:rPr>
                <w:rFonts w:eastAsia="Times New Roman" w:cstheme="minorHAnsi"/>
                <w:b/>
              </w:rPr>
            </w:pPr>
            <w:r w:rsidRPr="00E51A79">
              <w:rPr>
                <w:rFonts w:eastAsia="Times New Roman" w:cstheme="minorHAnsi"/>
                <w:b/>
              </w:rPr>
              <w:t>Understanding about school-based nutrition activities and interventions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5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Have you ever heard about school-based nutrition initiatives/Programs? If yes, please mention some of key interventions preschool/ primary schools have adopted?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5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List down regular school activities that support health and nutrition of pre-school children?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5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In your opinion does pre-school curriculum support parents in improving health and nutrition status of children?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5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In your opinion, what interventions school management should consider or focus on for pre-school children?</w:t>
            </w:r>
          </w:p>
        </w:tc>
      </w:tr>
      <w:tr w:rsidR="000D41E7" w:rsidRPr="00E51A79" w:rsidTr="007E51F6">
        <w:trPr>
          <w:trHeight w:val="399"/>
        </w:trPr>
        <w:tc>
          <w:tcPr>
            <w:tcW w:w="9776" w:type="dxa"/>
          </w:tcPr>
          <w:p w:rsidR="000D41E7" w:rsidRPr="00E51A79" w:rsidRDefault="000D41E7" w:rsidP="007E51F6">
            <w:pPr>
              <w:rPr>
                <w:rFonts w:eastAsia="Times New Roman" w:cstheme="minorHAnsi"/>
                <w:b/>
              </w:rPr>
            </w:pPr>
            <w:r w:rsidRPr="00E51A79">
              <w:rPr>
                <w:rFonts w:eastAsia="Times New Roman" w:cstheme="minorHAnsi"/>
                <w:b/>
              </w:rPr>
              <w:t>Understanding of resources requirement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6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Who can be the main stakeholder/ person responsible in implementing such nutrition initiatives?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6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Does school has capacity to initiate or implement nutrition centred program?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6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Do you think adopting nutrition initiatives in pre-school setting required any funds to make it sustainable? Or it can be done through regular school activities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0D41E7">
            <w:pPr>
              <w:numPr>
                <w:ilvl w:val="0"/>
                <w:numId w:val="6"/>
              </w:numPr>
              <w:spacing w:line="276" w:lineRule="auto"/>
              <w:rPr>
                <w:rFonts w:eastAsia="Times New Roman" w:cstheme="minorHAnsi"/>
              </w:rPr>
            </w:pPr>
            <w:r w:rsidRPr="00E51A79">
              <w:rPr>
                <w:rFonts w:eastAsia="Times New Roman" w:cstheme="minorHAnsi"/>
              </w:rPr>
              <w:t>What additional resources school management would require in adopting school based nutrition awareness?</w:t>
            </w:r>
          </w:p>
        </w:tc>
      </w:tr>
      <w:tr w:rsidR="000D41E7" w:rsidRPr="00E51A79" w:rsidTr="007E51F6">
        <w:tc>
          <w:tcPr>
            <w:tcW w:w="9776" w:type="dxa"/>
          </w:tcPr>
          <w:p w:rsidR="000D41E7" w:rsidRPr="00E51A79" w:rsidRDefault="000D41E7" w:rsidP="007E51F6">
            <w:pPr>
              <w:rPr>
                <w:rFonts w:eastAsia="Times New Roman" w:cstheme="minorHAnsi"/>
                <w:b/>
              </w:rPr>
            </w:pPr>
            <w:r w:rsidRPr="00E51A79">
              <w:rPr>
                <w:rFonts w:eastAsia="Times New Roman" w:cstheme="minorHAnsi"/>
                <w:b/>
              </w:rPr>
              <w:t>Opportunities and challenges for way forward and key recommendations</w:t>
            </w:r>
          </w:p>
          <w:p w:rsidR="000D41E7" w:rsidRPr="00E51A79" w:rsidRDefault="000D41E7" w:rsidP="007E51F6">
            <w:pPr>
              <w:rPr>
                <w:rFonts w:eastAsia="Times New Roman" w:cstheme="minorHAnsi"/>
              </w:rPr>
            </w:pPr>
          </w:p>
        </w:tc>
      </w:tr>
    </w:tbl>
    <w:p w:rsidR="000D41E7" w:rsidRPr="008E720B" w:rsidRDefault="000D41E7" w:rsidP="000D41E7">
      <w:pPr>
        <w:spacing w:after="0"/>
        <w:rPr>
          <w:rFonts w:eastAsia="Times New Roman" w:cstheme="minorHAnsi"/>
        </w:rPr>
      </w:pPr>
    </w:p>
    <w:p w:rsidR="000D41E7" w:rsidRPr="008E720B" w:rsidRDefault="000D41E7" w:rsidP="000D41E7">
      <w:pPr>
        <w:spacing w:after="0"/>
        <w:rPr>
          <w:rFonts w:eastAsia="Times New Roman" w:cstheme="minorHAnsi"/>
        </w:rPr>
      </w:pPr>
    </w:p>
    <w:p w:rsidR="000D41E7" w:rsidRPr="000D41E7" w:rsidRDefault="000D41E7" w:rsidP="000D41E7">
      <w:pPr>
        <w:rPr>
          <w:rFonts w:ascii="Times New Roman" w:hAnsi="Times New Roman" w:cs="Times New Roman"/>
          <w:b/>
          <w:sz w:val="24"/>
        </w:rPr>
      </w:pPr>
      <w:r w:rsidRPr="000D41E7">
        <w:rPr>
          <w:rFonts w:ascii="Times New Roman" w:hAnsi="Times New Roman" w:cs="Times New Roman"/>
          <w:b/>
          <w:sz w:val="24"/>
        </w:rPr>
        <w:lastRenderedPageBreak/>
        <w:t xml:space="preserve">Annexure </w:t>
      </w:r>
      <w:r w:rsidR="002E0C9B">
        <w:rPr>
          <w:rFonts w:ascii="Times New Roman" w:hAnsi="Times New Roman" w:cs="Times New Roman"/>
          <w:b/>
          <w:sz w:val="24"/>
        </w:rPr>
        <w:t>5</w:t>
      </w:r>
      <w:r w:rsidRPr="000D41E7">
        <w:rPr>
          <w:rFonts w:ascii="Times New Roman" w:hAnsi="Times New Roman" w:cs="Times New Roman"/>
          <w:b/>
          <w:sz w:val="24"/>
        </w:rPr>
        <w:t>: Knowledge Assessment Questionnaire for Parents (Pre-Post Test)</w:t>
      </w:r>
    </w:p>
    <w:p w:rsidR="000D41E7" w:rsidRPr="008E720B" w:rsidRDefault="000D41E7" w:rsidP="000D41E7">
      <w:pPr>
        <w:pStyle w:val="NoSpacing"/>
      </w:pPr>
    </w:p>
    <w:p w:rsidR="000D41E7" w:rsidRPr="008E720B" w:rsidRDefault="000D41E7" w:rsidP="000D41E7">
      <w:pPr>
        <w:pStyle w:val="NoSpacing"/>
        <w:spacing w:line="276" w:lineRule="auto"/>
        <w:rPr>
          <w:rFonts w:asciiTheme="minorHAnsi" w:hAnsiTheme="minorHAnsi" w:cstheme="minorHAnsi"/>
          <w:b/>
        </w:rPr>
      </w:pPr>
      <w:r w:rsidRPr="008E720B">
        <w:rPr>
          <w:rFonts w:asciiTheme="minorHAnsi" w:hAnsiTheme="minorHAnsi" w:cstheme="minorHAnsi"/>
          <w:b/>
        </w:rPr>
        <w:t>Name of Parent: _______________                                                Name of Child __________________</w:t>
      </w:r>
    </w:p>
    <w:p w:rsidR="000D41E7" w:rsidRPr="008E720B" w:rsidRDefault="000D41E7" w:rsidP="000D41E7">
      <w:pPr>
        <w:pStyle w:val="NoSpacing"/>
        <w:spacing w:line="276" w:lineRule="auto"/>
        <w:jc w:val="center"/>
        <w:rPr>
          <w:rFonts w:asciiTheme="minorHAnsi" w:hAnsiTheme="minorHAnsi" w:cstheme="minorHAnsi"/>
          <w:b/>
        </w:rPr>
      </w:pPr>
    </w:p>
    <w:p w:rsidR="000D41E7" w:rsidRPr="008E720B" w:rsidRDefault="000D41E7" w:rsidP="000D41E7">
      <w:pPr>
        <w:pStyle w:val="NoSpacing"/>
        <w:spacing w:line="276" w:lineRule="auto"/>
        <w:rPr>
          <w:rFonts w:ascii="Times New Roman" w:hAnsi="Times New Roman"/>
          <w:sz w:val="24"/>
          <w:szCs w:val="24"/>
        </w:rPr>
      </w:pPr>
      <w:r w:rsidRPr="008E720B">
        <w:rPr>
          <w:rFonts w:asciiTheme="minorHAnsi" w:hAnsiTheme="minorHAnsi" w:cstheme="minorHAnsi"/>
        </w:rPr>
        <w:t xml:space="preserve"> Please tick mark your responses</w:t>
      </w:r>
      <w:r w:rsidRPr="008E720B">
        <w:rPr>
          <w:rFonts w:ascii="Times New Roman" w:hAnsi="Times New Roman"/>
        </w:rPr>
        <w:t xml:space="preserve"> </w:t>
      </w:r>
    </w:p>
    <w:p w:rsidR="000D41E7" w:rsidRPr="008E720B" w:rsidRDefault="000D41E7" w:rsidP="000D41E7">
      <w:pPr>
        <w:pStyle w:val="NoSpacing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10207" w:type="dxa"/>
        <w:tblInd w:w="-714" w:type="dxa"/>
        <w:tblLook w:val="04A0" w:firstRow="1" w:lastRow="0" w:firstColumn="1" w:lastColumn="0" w:noHBand="0" w:noVBand="1"/>
      </w:tblPr>
      <w:tblGrid>
        <w:gridCol w:w="851"/>
        <w:gridCol w:w="7507"/>
        <w:gridCol w:w="751"/>
        <w:gridCol w:w="1098"/>
      </w:tblGrid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jc w:val="center"/>
              <w:rPr>
                <w:rFonts w:asciiTheme="minorHAnsi" w:hAnsiTheme="minorHAnsi" w:cstheme="minorHAnsi"/>
                <w:b/>
              </w:rPr>
            </w:pPr>
            <w:r w:rsidRPr="008E720B">
              <w:rPr>
                <w:rFonts w:asciiTheme="minorHAnsi" w:hAnsiTheme="minorHAnsi" w:cstheme="minorHAnsi"/>
                <w:b/>
              </w:rPr>
              <w:t>S. No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jc w:val="center"/>
              <w:rPr>
                <w:rFonts w:asciiTheme="minorHAnsi" w:hAnsiTheme="minorHAnsi" w:cstheme="minorHAnsi"/>
                <w:b/>
              </w:rPr>
            </w:pPr>
            <w:r w:rsidRPr="008E720B">
              <w:rPr>
                <w:rFonts w:asciiTheme="minorHAnsi" w:hAnsiTheme="minorHAnsi" w:cstheme="minorHAnsi"/>
                <w:b/>
              </w:rPr>
              <w:t>Questions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jc w:val="center"/>
              <w:rPr>
                <w:rFonts w:asciiTheme="minorHAnsi" w:hAnsiTheme="minorHAnsi" w:cstheme="minorHAnsi"/>
                <w:b/>
              </w:rPr>
            </w:pPr>
            <w:r w:rsidRPr="008E720B">
              <w:rPr>
                <w:rFonts w:asciiTheme="minorHAnsi" w:hAnsiTheme="minorHAnsi" w:cstheme="minorHAnsi"/>
                <w:b/>
              </w:rPr>
              <w:t>True</w:t>
            </w: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jc w:val="center"/>
              <w:rPr>
                <w:rFonts w:asciiTheme="minorHAnsi" w:hAnsiTheme="minorHAnsi" w:cstheme="minorHAnsi"/>
                <w:b/>
              </w:rPr>
            </w:pPr>
            <w:r w:rsidRPr="008E720B">
              <w:rPr>
                <w:rFonts w:asciiTheme="minorHAnsi" w:hAnsiTheme="minorHAnsi" w:cstheme="minorHAnsi"/>
                <w:b/>
              </w:rPr>
              <w:t>False</w:t>
            </w: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9356" w:type="dxa"/>
            <w:gridSpan w:val="3"/>
            <w:shd w:val="clear" w:color="auto" w:fill="D0CECE" w:themeFill="background2" w:themeFillShade="E6"/>
          </w:tcPr>
          <w:p w:rsidR="000D41E7" w:rsidRPr="008E720B" w:rsidRDefault="000D41E7" w:rsidP="007E51F6">
            <w:pPr>
              <w:pStyle w:val="NoSpacing"/>
              <w:jc w:val="center"/>
              <w:rPr>
                <w:rFonts w:asciiTheme="minorHAnsi" w:hAnsiTheme="minorHAnsi" w:cstheme="minorHAnsi"/>
                <w:b/>
              </w:rPr>
            </w:pPr>
            <w:r w:rsidRPr="008E720B">
              <w:rPr>
                <w:rFonts w:asciiTheme="minorHAnsi" w:hAnsiTheme="minorHAnsi" w:cstheme="minorHAnsi"/>
                <w:b/>
              </w:rPr>
              <w:t>Module 01: Understanding Early years development and its importance</w:t>
            </w: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1.1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First 1000 days of life started from Birth till three years of age.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1.2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Adolescence (Age of 10-19 years) is the period of rapid physical, cognitive, social, emotional, and language development.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1.3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The brain develops more rapidly when the child first enters school than at any other age.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10207" w:type="dxa"/>
            <w:gridSpan w:val="4"/>
            <w:shd w:val="clear" w:color="auto" w:fill="D0CECE" w:themeFill="background2" w:themeFillShade="E6"/>
          </w:tcPr>
          <w:p w:rsidR="000D41E7" w:rsidRPr="008E720B" w:rsidRDefault="000D41E7" w:rsidP="007E51F6">
            <w:pPr>
              <w:pStyle w:val="NoSpacing"/>
              <w:jc w:val="center"/>
              <w:rPr>
                <w:rFonts w:asciiTheme="minorHAnsi" w:hAnsiTheme="minorHAnsi" w:cstheme="minorHAnsi"/>
                <w:b/>
              </w:rPr>
            </w:pPr>
            <w:r w:rsidRPr="008E720B">
              <w:rPr>
                <w:rFonts w:asciiTheme="minorHAnsi" w:hAnsiTheme="minorHAnsi" w:cstheme="minorHAnsi"/>
                <w:b/>
              </w:rPr>
              <w:t>Module 02: Malnutrition and its consequences</w:t>
            </w: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2.1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Malnutrition refers to under nutrition.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2.2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Folic acid deficiency will cause blindness among children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2.3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Only doctors and nurses can recognize the signs of malnutrition in children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2.4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Under nutrition cannot be prevented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9356" w:type="dxa"/>
            <w:gridSpan w:val="3"/>
            <w:shd w:val="clear" w:color="auto" w:fill="D0CECE" w:themeFill="background2" w:themeFillShade="E6"/>
          </w:tcPr>
          <w:p w:rsidR="000D41E7" w:rsidRPr="008E720B" w:rsidRDefault="000D41E7" w:rsidP="007E51F6">
            <w:pPr>
              <w:pStyle w:val="NoSpacing"/>
              <w:jc w:val="center"/>
              <w:rPr>
                <w:rFonts w:asciiTheme="minorHAnsi" w:hAnsiTheme="minorHAnsi" w:cstheme="minorHAnsi"/>
                <w:b/>
              </w:rPr>
            </w:pPr>
            <w:r w:rsidRPr="008E720B">
              <w:rPr>
                <w:rFonts w:asciiTheme="minorHAnsi" w:hAnsiTheme="minorHAnsi" w:cstheme="minorHAnsi"/>
                <w:b/>
                <w:shd w:val="clear" w:color="auto" w:fill="D0CECE" w:themeFill="background2" w:themeFillShade="E6"/>
              </w:rPr>
              <w:t>Module 03: Healthy eating and Ba</w:t>
            </w:r>
            <w:r w:rsidRPr="008E720B">
              <w:rPr>
                <w:rFonts w:asciiTheme="minorHAnsi" w:hAnsiTheme="minorHAnsi" w:cstheme="minorHAnsi"/>
                <w:b/>
              </w:rPr>
              <w:t>lanced Nutrition</w:t>
            </w: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3.1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Carbohydrates and fats are body building foods.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3.2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Fruits and vegetables are macro-nutrients.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3.3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Balanced diet means taking enough quantity of healthy foods.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3.4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Child lunch box is more important than having breakfast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3.5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Green leafy vegetables are  good source of Vitamin C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9356" w:type="dxa"/>
            <w:gridSpan w:val="3"/>
            <w:shd w:val="clear" w:color="auto" w:fill="D0CECE" w:themeFill="background2" w:themeFillShade="E6"/>
          </w:tcPr>
          <w:p w:rsidR="000D41E7" w:rsidRPr="008E720B" w:rsidRDefault="000D41E7" w:rsidP="007E51F6">
            <w:pPr>
              <w:pStyle w:val="NoSpacing"/>
              <w:jc w:val="center"/>
              <w:rPr>
                <w:rFonts w:asciiTheme="minorHAnsi" w:hAnsiTheme="minorHAnsi" w:cstheme="minorHAnsi"/>
                <w:b/>
              </w:rPr>
            </w:pPr>
            <w:r w:rsidRPr="008E720B">
              <w:rPr>
                <w:rFonts w:asciiTheme="minorHAnsi" w:hAnsiTheme="minorHAnsi" w:cstheme="minorHAnsi"/>
                <w:b/>
              </w:rPr>
              <w:t>Module 04: Child Health, Hygiene and Safe Environment</w:t>
            </w: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4.1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Health is defined as absence of disease only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4.2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Child cannot eat anything when child have diarrhoea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4.3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Measles, TB, hepatitis B, pneumonia cannot be prevented among children.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4.4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Vaccinated child can drink tap water without boiling it.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4.5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Fruits, vegetable and meat do not require washing with tap water if to be stored in refrigerator.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4.6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Hands can only be washed when they look visibly dirty.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4.7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Safe environment is an environment where children are secure from germs and infectious agents.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4.8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Child should not be allowed to play as it may cause injuries and accidents.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4.9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If child is misbehaving at school the teacher can physically punish the child to teach him/her discipline.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9356" w:type="dxa"/>
            <w:gridSpan w:val="3"/>
            <w:shd w:val="clear" w:color="auto" w:fill="D0CECE" w:themeFill="background2" w:themeFillShade="E6"/>
          </w:tcPr>
          <w:p w:rsidR="000D41E7" w:rsidRPr="008E720B" w:rsidRDefault="000D41E7" w:rsidP="007E51F6">
            <w:pPr>
              <w:pStyle w:val="NoSpacing"/>
              <w:jc w:val="center"/>
              <w:rPr>
                <w:rFonts w:asciiTheme="minorHAnsi" w:hAnsiTheme="minorHAnsi" w:cstheme="minorHAnsi"/>
                <w:b/>
              </w:rPr>
            </w:pPr>
            <w:r w:rsidRPr="008E720B">
              <w:rPr>
                <w:rFonts w:asciiTheme="minorHAnsi" w:hAnsiTheme="minorHAnsi" w:cstheme="minorHAnsi"/>
                <w:b/>
              </w:rPr>
              <w:t>Module 5: Parenting</w:t>
            </w:r>
          </w:p>
        </w:tc>
      </w:tr>
      <w:tr w:rsidR="000D41E7" w:rsidRPr="008E720B" w:rsidTr="007E51F6">
        <w:trPr>
          <w:trHeight w:val="368"/>
        </w:trPr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5.1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Caring for the child is the responsibility of mothers only</w:t>
            </w:r>
            <w:r w:rsidRPr="008E720B">
              <w:rPr>
                <w:rFonts w:asciiTheme="minorHAnsi" w:hAnsiTheme="minorHAnsi" w:cstheme="minorHAnsi"/>
              </w:rPr>
              <w:tab/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5.2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Comforting the child by carrying him/her on laps and telling how much you love him/her is spoiling the child.</w:t>
            </w: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8E720B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5.3</w:t>
            </w:r>
          </w:p>
        </w:tc>
        <w:tc>
          <w:tcPr>
            <w:tcW w:w="7507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Play is only for children, therefore parents should not waste time playing with children because the child will begin to play when he/she is old enough to play with other children.</w:t>
            </w:r>
          </w:p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7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0D41E7" w:rsidRPr="00DB641C" w:rsidTr="007E51F6">
        <w:tc>
          <w:tcPr>
            <w:tcW w:w="851" w:type="dxa"/>
          </w:tcPr>
          <w:p w:rsidR="000D41E7" w:rsidRPr="008E720B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lastRenderedPageBreak/>
              <w:t>5.4</w:t>
            </w:r>
          </w:p>
        </w:tc>
        <w:tc>
          <w:tcPr>
            <w:tcW w:w="7507" w:type="dxa"/>
          </w:tcPr>
          <w:p w:rsidR="000D41E7" w:rsidRPr="00DB641C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  <w:r w:rsidRPr="008E720B">
              <w:rPr>
                <w:rFonts w:asciiTheme="minorHAnsi" w:hAnsiTheme="minorHAnsi" w:cstheme="minorHAnsi"/>
              </w:rPr>
              <w:t>Brain development is only dependent on good nutrition and environment has no effect on it</w:t>
            </w:r>
          </w:p>
        </w:tc>
        <w:tc>
          <w:tcPr>
            <w:tcW w:w="751" w:type="dxa"/>
          </w:tcPr>
          <w:p w:rsidR="000D41E7" w:rsidRPr="00DB641C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0D41E7" w:rsidRPr="00DB641C" w:rsidRDefault="000D41E7" w:rsidP="007E51F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</w:tbl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0D41E7" w:rsidRDefault="002E0C9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Annexure 6</w:t>
      </w:r>
      <w:r w:rsidR="000D41E7" w:rsidRPr="000D41E7">
        <w:rPr>
          <w:rFonts w:ascii="Times New Roman" w:hAnsi="Times New Roman" w:cs="Times New Roman"/>
          <w:b/>
          <w:sz w:val="24"/>
          <w:szCs w:val="24"/>
        </w:rPr>
        <w:t>: Ethics Review Committee approval letter</w:t>
      </w:r>
    </w:p>
    <w:p w:rsidR="00982A3D" w:rsidRPr="000D41E7" w:rsidRDefault="00982A3D">
      <w:pPr>
        <w:rPr>
          <w:rFonts w:ascii="Times New Roman" w:hAnsi="Times New Roman" w:cs="Times New Roman"/>
          <w:b/>
          <w:sz w:val="24"/>
          <w:szCs w:val="24"/>
        </w:rPr>
      </w:pPr>
    </w:p>
    <w:p w:rsidR="00982A3D" w:rsidRPr="00982A3D" w:rsidRDefault="002E0C9B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2E0C9B">
          <w:rPr>
            <w:rStyle w:val="Hyperlink"/>
            <w:rFonts w:ascii="Times New Roman" w:hAnsi="Times New Roman" w:cs="Times New Roman"/>
            <w:sz w:val="24"/>
            <w:szCs w:val="24"/>
          </w:rPr>
          <w:t>..\..\..\ER</w:t>
        </w:r>
        <w:bookmarkStart w:id="4" w:name="_GoBack"/>
        <w:bookmarkEnd w:id="4"/>
        <w:r w:rsidRPr="002E0C9B">
          <w:rPr>
            <w:rStyle w:val="Hyperlink"/>
            <w:rFonts w:ascii="Times New Roman" w:hAnsi="Times New Roman" w:cs="Times New Roman"/>
            <w:sz w:val="24"/>
            <w:szCs w:val="24"/>
          </w:rPr>
          <w:t>C approval letter.pdf</w:t>
        </w:r>
      </w:hyperlink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A94BCA" w:rsidRPr="00982A3D" w:rsidRDefault="00A94BCA">
      <w:pPr>
        <w:rPr>
          <w:rFonts w:ascii="Times New Roman" w:hAnsi="Times New Roman" w:cs="Times New Roman"/>
          <w:sz w:val="24"/>
          <w:szCs w:val="24"/>
        </w:rPr>
      </w:pPr>
    </w:p>
    <w:p w:rsidR="00982A3D" w:rsidRP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982A3D" w:rsidRDefault="00982A3D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p w:rsidR="000D41E7" w:rsidRDefault="000D41E7">
      <w:pPr>
        <w:rPr>
          <w:rFonts w:ascii="Times New Roman" w:hAnsi="Times New Roman" w:cs="Times New Roman"/>
          <w:sz w:val="24"/>
          <w:szCs w:val="24"/>
        </w:rPr>
      </w:pPr>
    </w:p>
    <w:sectPr w:rsidR="000D41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E77A87"/>
    <w:multiLevelType w:val="hybridMultilevel"/>
    <w:tmpl w:val="0E4839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864D3F"/>
    <w:multiLevelType w:val="hybridMultilevel"/>
    <w:tmpl w:val="BC6C22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3B697E"/>
    <w:multiLevelType w:val="hybridMultilevel"/>
    <w:tmpl w:val="644895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EE17D0"/>
    <w:multiLevelType w:val="hybridMultilevel"/>
    <w:tmpl w:val="406020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05091F"/>
    <w:multiLevelType w:val="hybridMultilevel"/>
    <w:tmpl w:val="88D24A84"/>
    <w:lvl w:ilvl="0" w:tplc="EA24E8FC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460DAD"/>
    <w:multiLevelType w:val="hybridMultilevel"/>
    <w:tmpl w:val="CE68E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A3D"/>
    <w:rsid w:val="000D41E7"/>
    <w:rsid w:val="00263700"/>
    <w:rsid w:val="002E0C9B"/>
    <w:rsid w:val="003736AD"/>
    <w:rsid w:val="00751500"/>
    <w:rsid w:val="00982A3D"/>
    <w:rsid w:val="00A94BCA"/>
    <w:rsid w:val="00BF0191"/>
    <w:rsid w:val="00F5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A54000-7F8E-496D-984C-2A5A39328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2A3D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2A3D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2A3D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982A3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982A3D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982A3D"/>
    <w:pPr>
      <w:ind w:left="720"/>
      <w:contextualSpacing/>
    </w:pPr>
    <w:rPr>
      <w:lang w:val="en-GB"/>
    </w:rPr>
  </w:style>
  <w:style w:type="character" w:customStyle="1" w:styleId="ListParagraphChar">
    <w:name w:val="List Paragraph Char"/>
    <w:link w:val="ListParagraph"/>
    <w:uiPriority w:val="34"/>
    <w:locked/>
    <w:rsid w:val="00982A3D"/>
    <w:rPr>
      <w:lang w:val="en-GB"/>
    </w:rPr>
  </w:style>
  <w:style w:type="paragraph" w:styleId="NoSpacing">
    <w:name w:val="No Spacing"/>
    <w:uiPriority w:val="1"/>
    <w:qFormat/>
    <w:rsid w:val="00982A3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Heading3Char">
    <w:name w:val="Heading 3 Char"/>
    <w:basedOn w:val="DefaultParagraphFont"/>
    <w:link w:val="Heading3"/>
    <w:uiPriority w:val="9"/>
    <w:rsid w:val="00982A3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E:\Ph.D%202018_2022\Phd%20thesis%20work\ERC%20approval%20letter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1493</Words>
  <Characters>8751</Characters>
  <Application>Microsoft Office Word</Application>
  <DocSecurity>0</DocSecurity>
  <Lines>148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2022-12-04T14:48:00Z</dcterms:created>
  <dcterms:modified xsi:type="dcterms:W3CDTF">2022-12-04T14:48:00Z</dcterms:modified>
</cp:coreProperties>
</file>