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679"/>
        <w:gridCol w:w="600"/>
        <w:gridCol w:w="762"/>
        <w:gridCol w:w="1314"/>
        <w:gridCol w:w="828"/>
        <w:gridCol w:w="825"/>
        <w:gridCol w:w="841"/>
        <w:gridCol w:w="788"/>
        <w:gridCol w:w="489"/>
        <w:gridCol w:w="1130"/>
        <w:gridCol w:w="1177"/>
        <w:gridCol w:w="773"/>
      </w:tblGrid>
      <w:tr w:rsidR="00640026" w:rsidRPr="00341E4C" w14:paraId="60527768" w14:textId="77777777" w:rsidTr="0036239B">
        <w:trPr>
          <w:trHeight w:val="548"/>
        </w:trPr>
        <w:tc>
          <w:tcPr>
            <w:tcW w:w="947" w:type="dxa"/>
            <w:hideMark/>
          </w:tcPr>
          <w:p w14:paraId="7DF2ED3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noProof/>
                <w:lang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F98D04" wp14:editId="0FA3B60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-504825</wp:posOffset>
                      </wp:positionV>
                      <wp:extent cx="9343390" cy="33210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343390" cy="332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E252FC" w14:textId="77777777" w:rsidR="00640026" w:rsidRPr="0098032C" w:rsidRDefault="00640026" w:rsidP="0064002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98032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Table 1: Summary of study design and study characteristics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98D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2.1pt;margin-top:-39.75pt;width:735.7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" fillcolor="white [3201]" stroked="f" strokeweight=".5pt">
                      <v:textbox>
                        <w:txbxContent>
                          <w:p w14:paraId="25E252FC" w14:textId="77777777" w:rsidR="00640026" w:rsidRPr="0098032C" w:rsidRDefault="00640026" w:rsidP="00640026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803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Table 1: Summary of study design and study characteristics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823" w:type="dxa"/>
            <w:hideMark/>
          </w:tcPr>
          <w:p w14:paraId="6B83703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patients</w:t>
            </w:r>
          </w:p>
        </w:tc>
        <w:tc>
          <w:tcPr>
            <w:tcW w:w="1080" w:type="dxa"/>
            <w:hideMark/>
          </w:tcPr>
          <w:p w14:paraId="2C748CA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age (range) in years</w:t>
            </w:r>
          </w:p>
        </w:tc>
        <w:tc>
          <w:tcPr>
            <w:tcW w:w="1955" w:type="dxa"/>
            <w:hideMark/>
          </w:tcPr>
          <w:p w14:paraId="0E43BB3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DOACs used in different patients</w:t>
            </w:r>
          </w:p>
        </w:tc>
        <w:tc>
          <w:tcPr>
            <w:tcW w:w="1185" w:type="dxa"/>
            <w:hideMark/>
          </w:tcPr>
          <w:p w14:paraId="5771950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Dental procedures </w:t>
            </w:r>
          </w:p>
        </w:tc>
        <w:tc>
          <w:tcPr>
            <w:tcW w:w="1180" w:type="dxa"/>
            <w:hideMark/>
          </w:tcPr>
          <w:p w14:paraId="3B6E1C6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DOACs continued or discontined prior dental procedures</w:t>
            </w:r>
          </w:p>
        </w:tc>
        <w:tc>
          <w:tcPr>
            <w:tcW w:w="1206" w:type="dxa"/>
            <w:hideMark/>
          </w:tcPr>
          <w:p w14:paraId="0A44A1D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period of DOACs discontinuation</w:t>
            </w:r>
          </w:p>
        </w:tc>
        <w:tc>
          <w:tcPr>
            <w:tcW w:w="1121" w:type="dxa"/>
            <w:hideMark/>
          </w:tcPr>
          <w:p w14:paraId="060189B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Postoperative measures </w:t>
            </w:r>
          </w:p>
        </w:tc>
        <w:tc>
          <w:tcPr>
            <w:tcW w:w="647" w:type="dxa"/>
            <w:hideMark/>
          </w:tcPr>
          <w:p w14:paraId="040C74A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Follow up </w:t>
            </w:r>
          </w:p>
        </w:tc>
        <w:tc>
          <w:tcPr>
            <w:tcW w:w="1664" w:type="dxa"/>
            <w:hideMark/>
          </w:tcPr>
          <w:p w14:paraId="6CE37E8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patients with postoperative bleeding</w:t>
            </w:r>
          </w:p>
        </w:tc>
        <w:tc>
          <w:tcPr>
            <w:tcW w:w="1738" w:type="dxa"/>
            <w:hideMark/>
          </w:tcPr>
          <w:p w14:paraId="6E7A282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No. of patients with delayed bleeding </w:t>
            </w:r>
          </w:p>
        </w:tc>
        <w:tc>
          <w:tcPr>
            <w:tcW w:w="1097" w:type="dxa"/>
            <w:hideMark/>
          </w:tcPr>
          <w:p w14:paraId="5F627C9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complications</w:t>
            </w:r>
          </w:p>
        </w:tc>
      </w:tr>
      <w:tr w:rsidR="00640026" w:rsidRPr="00341E4C" w14:paraId="0E8E5F87" w14:textId="77777777" w:rsidTr="0036239B">
        <w:trPr>
          <w:trHeight w:val="2194"/>
        </w:trPr>
        <w:tc>
          <w:tcPr>
            <w:tcW w:w="947" w:type="dxa"/>
            <w:hideMark/>
          </w:tcPr>
          <w:p w14:paraId="56BBC6B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Miller et al. </w:t>
            </w:r>
          </w:p>
        </w:tc>
        <w:tc>
          <w:tcPr>
            <w:tcW w:w="823" w:type="dxa"/>
            <w:hideMark/>
          </w:tcPr>
          <w:p w14:paraId="7CC356E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12 (Males: 10, Females: 2)</w:t>
            </w:r>
          </w:p>
        </w:tc>
        <w:tc>
          <w:tcPr>
            <w:tcW w:w="1080" w:type="dxa"/>
            <w:hideMark/>
          </w:tcPr>
          <w:p w14:paraId="6CEB03B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70.6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(44–90)</w:t>
            </w:r>
          </w:p>
        </w:tc>
        <w:tc>
          <w:tcPr>
            <w:tcW w:w="1955" w:type="dxa"/>
            <w:hideMark/>
          </w:tcPr>
          <w:p w14:paraId="0EFA44B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Apixaban: 2 (16.7%)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Dabigatran: 2 (16.7%)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Rivaroxaban: 7 (58.3%)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Edoxaban: 1 (8.3%)</w:t>
            </w:r>
          </w:p>
        </w:tc>
        <w:tc>
          <w:tcPr>
            <w:tcW w:w="1185" w:type="dxa"/>
            <w:hideMark/>
          </w:tcPr>
          <w:p w14:paraId="322C0EF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Extractions, Alveoloplasties, Tuberosity reduction,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Tori removal,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Dental Implants</w:t>
            </w:r>
          </w:p>
        </w:tc>
        <w:tc>
          <w:tcPr>
            <w:tcW w:w="1180" w:type="dxa"/>
            <w:hideMark/>
          </w:tcPr>
          <w:p w14:paraId="5F468FF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Among 17 surgeries, cases with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-Discontinued DOACs: 9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-Continued DOACs: 1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-No records of DOACs discontinuation: 7 </w:t>
            </w:r>
          </w:p>
        </w:tc>
        <w:tc>
          <w:tcPr>
            <w:tcW w:w="1206" w:type="dxa"/>
            <w:hideMark/>
          </w:tcPr>
          <w:p w14:paraId="310EC59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12-120 hours</w:t>
            </w:r>
          </w:p>
        </w:tc>
        <w:tc>
          <w:tcPr>
            <w:tcW w:w="1121" w:type="dxa"/>
            <w:hideMark/>
          </w:tcPr>
          <w:p w14:paraId="1EBEDBD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47" w:type="dxa"/>
            <w:hideMark/>
          </w:tcPr>
          <w:p w14:paraId="1B03AFFA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64" w:type="dxa"/>
            <w:hideMark/>
          </w:tcPr>
          <w:p w14:paraId="7782D57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No records of postoperative bleeding</w:t>
            </w:r>
          </w:p>
        </w:tc>
        <w:tc>
          <w:tcPr>
            <w:tcW w:w="1738" w:type="dxa"/>
            <w:hideMark/>
          </w:tcPr>
          <w:p w14:paraId="7145548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97" w:type="dxa"/>
            <w:hideMark/>
          </w:tcPr>
          <w:p w14:paraId="0BC7E44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40026" w:rsidRPr="00341E4C" w14:paraId="1CE08C98" w14:textId="77777777" w:rsidTr="0036239B">
        <w:trPr>
          <w:trHeight w:val="1645"/>
        </w:trPr>
        <w:tc>
          <w:tcPr>
            <w:tcW w:w="947" w:type="dxa"/>
            <w:hideMark/>
          </w:tcPr>
          <w:p w14:paraId="06F373B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Cocero N et al.</w:t>
            </w:r>
          </w:p>
        </w:tc>
        <w:tc>
          <w:tcPr>
            <w:tcW w:w="823" w:type="dxa"/>
            <w:hideMark/>
          </w:tcPr>
          <w:p w14:paraId="44AA293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hideMark/>
          </w:tcPr>
          <w:p w14:paraId="4EFCDE2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With comorbidties: 69 ± 10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Without comorbidities: 68.5 ± 10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(≥ 80)</w:t>
            </w:r>
          </w:p>
        </w:tc>
        <w:tc>
          <w:tcPr>
            <w:tcW w:w="1955" w:type="dxa"/>
            <w:hideMark/>
          </w:tcPr>
          <w:p w14:paraId="55E2711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Dabigatran: 21(comobidity patients) 18 (without comorbidity)                                                                                                                                                                                                        Apixaban: 25(comorbidity patients) 12 (without comorbidity)                                                                                                                                                                                                        Rivaroxaban:18(comorbidity patients) 6 (without comorbidity)</w:t>
            </w:r>
          </w:p>
        </w:tc>
        <w:tc>
          <w:tcPr>
            <w:tcW w:w="1185" w:type="dxa"/>
            <w:hideMark/>
          </w:tcPr>
          <w:p w14:paraId="6B18E4FA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Extractions</w:t>
            </w:r>
          </w:p>
        </w:tc>
        <w:tc>
          <w:tcPr>
            <w:tcW w:w="1180" w:type="dxa"/>
            <w:hideMark/>
          </w:tcPr>
          <w:p w14:paraId="35154D6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 DOACs continued and a maximum of three extractions per session</w:t>
            </w:r>
          </w:p>
        </w:tc>
        <w:tc>
          <w:tcPr>
            <w:tcW w:w="1206" w:type="dxa"/>
            <w:hideMark/>
          </w:tcPr>
          <w:p w14:paraId="0D47F2CB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21" w:type="dxa"/>
            <w:hideMark/>
          </w:tcPr>
          <w:p w14:paraId="1C39FEF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Compression with gauze pads, additional sutures and tranexamic acid wraps</w:t>
            </w:r>
          </w:p>
        </w:tc>
        <w:tc>
          <w:tcPr>
            <w:tcW w:w="647" w:type="dxa"/>
            <w:hideMark/>
          </w:tcPr>
          <w:p w14:paraId="77F6D31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1, 3, and 7 days</w:t>
            </w:r>
          </w:p>
        </w:tc>
        <w:tc>
          <w:tcPr>
            <w:tcW w:w="1664" w:type="dxa"/>
            <w:hideMark/>
          </w:tcPr>
          <w:p w14:paraId="530D349B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( patient with comorbidity)</w:t>
            </w:r>
          </w:p>
        </w:tc>
        <w:tc>
          <w:tcPr>
            <w:tcW w:w="1738" w:type="dxa"/>
            <w:hideMark/>
          </w:tcPr>
          <w:p w14:paraId="3CA805E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3( patients with comorbidities)</w:t>
            </w:r>
          </w:p>
        </w:tc>
        <w:tc>
          <w:tcPr>
            <w:tcW w:w="1097" w:type="dxa"/>
            <w:hideMark/>
          </w:tcPr>
          <w:p w14:paraId="14F883A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40026" w:rsidRPr="00341E4C" w14:paraId="4E2C9044" w14:textId="77777777" w:rsidTr="0036239B">
        <w:trPr>
          <w:trHeight w:val="1920"/>
        </w:trPr>
        <w:tc>
          <w:tcPr>
            <w:tcW w:w="947" w:type="dxa"/>
            <w:hideMark/>
          </w:tcPr>
          <w:p w14:paraId="6D7E69A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Kwak et al</w:t>
            </w:r>
          </w:p>
        </w:tc>
        <w:tc>
          <w:tcPr>
            <w:tcW w:w="823" w:type="dxa"/>
            <w:hideMark/>
          </w:tcPr>
          <w:p w14:paraId="25A7FB9E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120 ( Males: 67, Females: 53)</w:t>
            </w:r>
          </w:p>
        </w:tc>
        <w:tc>
          <w:tcPr>
            <w:tcW w:w="1080" w:type="dxa"/>
            <w:hideMark/>
          </w:tcPr>
          <w:p w14:paraId="386CAF0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69.43 ± 11.70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(33-92)</w:t>
            </w:r>
          </w:p>
        </w:tc>
        <w:tc>
          <w:tcPr>
            <w:tcW w:w="1955" w:type="dxa"/>
            <w:hideMark/>
          </w:tcPr>
          <w:p w14:paraId="3C84203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Dabigatran: 19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Rivaroxaban: 41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Apixaban: 45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Edoxaban: 15</w:t>
            </w:r>
          </w:p>
        </w:tc>
        <w:tc>
          <w:tcPr>
            <w:tcW w:w="1185" w:type="dxa"/>
            <w:hideMark/>
          </w:tcPr>
          <w:p w14:paraId="33D5F64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High bleeding risks: Scaling, curretage, extraction and implant surgery                                                                                                                                                                                                                                                Low bleeding risks: Impression taking, root canal treatment, crown preperation and resin filling</w:t>
            </w:r>
          </w:p>
        </w:tc>
        <w:tc>
          <w:tcPr>
            <w:tcW w:w="1180" w:type="dxa"/>
            <w:hideMark/>
          </w:tcPr>
          <w:p w14:paraId="32555F54" w14:textId="77777777" w:rsidR="00640026" w:rsidRPr="00341E4C" w:rsidRDefault="00640026" w:rsidP="0036239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Among 153 cases,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-Discontinued DOACs: 103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-Continued DOACs: 50</w:t>
            </w:r>
          </w:p>
        </w:tc>
        <w:tc>
          <w:tcPr>
            <w:tcW w:w="1206" w:type="dxa"/>
            <w:hideMark/>
          </w:tcPr>
          <w:p w14:paraId="1036DE14" w14:textId="77777777" w:rsidR="00640026" w:rsidRPr="00341E4C" w:rsidRDefault="00640026" w:rsidP="0036239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day: 37 cases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2 days: 23 cases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3 days or longer: 10 cases</w:t>
            </w:r>
          </w:p>
        </w:tc>
        <w:tc>
          <w:tcPr>
            <w:tcW w:w="1121" w:type="dxa"/>
            <w:hideMark/>
          </w:tcPr>
          <w:p w14:paraId="23F2607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Compression hemostasis (biting down on a piece of sterilized gauze)</w:t>
            </w:r>
          </w:p>
        </w:tc>
        <w:tc>
          <w:tcPr>
            <w:tcW w:w="647" w:type="dxa"/>
            <w:hideMark/>
          </w:tcPr>
          <w:p w14:paraId="246B556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64" w:type="dxa"/>
            <w:hideMark/>
          </w:tcPr>
          <w:p w14:paraId="44B71ACB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9  (2 scaling, 3 simple extraction,3 implant surgery, and 1 resin filling)</w:t>
            </w:r>
          </w:p>
        </w:tc>
        <w:tc>
          <w:tcPr>
            <w:tcW w:w="1738" w:type="dxa"/>
            <w:hideMark/>
          </w:tcPr>
          <w:p w14:paraId="3F8BAC3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97" w:type="dxa"/>
            <w:hideMark/>
          </w:tcPr>
          <w:p w14:paraId="6C59DAD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Bleeding in patients taking different drugs-                                                                                                                                                                                                                                                          Dabigatran: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Rivaroxaban: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Apixaban: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Edoxaban: 1</w:t>
            </w:r>
          </w:p>
        </w:tc>
      </w:tr>
      <w:tr w:rsidR="00640026" w:rsidRPr="00341E4C" w14:paraId="6B7B1464" w14:textId="77777777" w:rsidTr="0036239B">
        <w:trPr>
          <w:trHeight w:val="1920"/>
        </w:trPr>
        <w:tc>
          <w:tcPr>
            <w:tcW w:w="947" w:type="dxa"/>
            <w:hideMark/>
          </w:tcPr>
          <w:p w14:paraId="1EA762C9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Gomez-moreno et al</w:t>
            </w:r>
          </w:p>
        </w:tc>
        <w:tc>
          <w:tcPr>
            <w:tcW w:w="823" w:type="dxa"/>
            <w:hideMark/>
          </w:tcPr>
          <w:p w14:paraId="168589F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  <w:hideMark/>
          </w:tcPr>
          <w:p w14:paraId="1C09C2F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66.7 ± 9.15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(49-71)</w:t>
            </w:r>
          </w:p>
        </w:tc>
        <w:tc>
          <w:tcPr>
            <w:tcW w:w="1955" w:type="dxa"/>
            <w:hideMark/>
          </w:tcPr>
          <w:p w14:paraId="3D8A0E9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Dabigatran: 29         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Without Dabigatran (Control): 42                                </w:t>
            </w:r>
          </w:p>
        </w:tc>
        <w:tc>
          <w:tcPr>
            <w:tcW w:w="1185" w:type="dxa"/>
            <w:hideMark/>
          </w:tcPr>
          <w:p w14:paraId="745FB1C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Implant surgery</w:t>
            </w:r>
          </w:p>
        </w:tc>
        <w:tc>
          <w:tcPr>
            <w:tcW w:w="1180" w:type="dxa"/>
            <w:hideMark/>
          </w:tcPr>
          <w:p w14:paraId="16339B6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Continued</w:t>
            </w:r>
          </w:p>
        </w:tc>
        <w:tc>
          <w:tcPr>
            <w:tcW w:w="1206" w:type="dxa"/>
            <w:hideMark/>
          </w:tcPr>
          <w:p w14:paraId="54DD60C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21" w:type="dxa"/>
            <w:hideMark/>
          </w:tcPr>
          <w:p w14:paraId="4BD7CD59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Nonabsorbable sutures and compression with sterile gauzes soaked in 5% tranexamic acid</w:t>
            </w:r>
          </w:p>
        </w:tc>
        <w:tc>
          <w:tcPr>
            <w:tcW w:w="647" w:type="dxa"/>
            <w:hideMark/>
          </w:tcPr>
          <w:p w14:paraId="30EDBB9B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3, 8 days</w:t>
            </w:r>
          </w:p>
        </w:tc>
        <w:tc>
          <w:tcPr>
            <w:tcW w:w="1664" w:type="dxa"/>
            <w:hideMark/>
          </w:tcPr>
          <w:p w14:paraId="2B42EED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2 (Dabigatran),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 (Control) </w:t>
            </w:r>
          </w:p>
        </w:tc>
        <w:tc>
          <w:tcPr>
            <w:tcW w:w="1738" w:type="dxa"/>
            <w:hideMark/>
          </w:tcPr>
          <w:p w14:paraId="41D19D8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97" w:type="dxa"/>
            <w:hideMark/>
          </w:tcPr>
          <w:p w14:paraId="2194FB5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40026" w:rsidRPr="00341E4C" w14:paraId="6627D131" w14:textId="77777777" w:rsidTr="0036239B">
        <w:trPr>
          <w:trHeight w:val="1371"/>
        </w:trPr>
        <w:tc>
          <w:tcPr>
            <w:tcW w:w="947" w:type="dxa"/>
            <w:hideMark/>
          </w:tcPr>
          <w:p w14:paraId="6BCA2DB9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Kim et al</w:t>
            </w:r>
          </w:p>
        </w:tc>
        <w:tc>
          <w:tcPr>
            <w:tcW w:w="823" w:type="dxa"/>
            <w:hideMark/>
          </w:tcPr>
          <w:p w14:paraId="4648F38A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64 (Males: 41, Females: 23) </w:t>
            </w:r>
          </w:p>
        </w:tc>
        <w:tc>
          <w:tcPr>
            <w:tcW w:w="1080" w:type="dxa"/>
            <w:hideMark/>
          </w:tcPr>
          <w:p w14:paraId="77B3CD2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74.07</w:t>
            </w:r>
            <w:r w:rsidRPr="00341E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8.07 </w:t>
            </w:r>
          </w:p>
        </w:tc>
        <w:tc>
          <w:tcPr>
            <w:tcW w:w="1955" w:type="dxa"/>
            <w:hideMark/>
          </w:tcPr>
          <w:p w14:paraId="47D2FB3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Rivaroxaban &amp; Apixaban: 50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Dabigatran: 14</w:t>
            </w:r>
          </w:p>
        </w:tc>
        <w:tc>
          <w:tcPr>
            <w:tcW w:w="1185" w:type="dxa"/>
            <w:hideMark/>
          </w:tcPr>
          <w:p w14:paraId="03FCF62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Apicoectomy, Periodontal Surgeries, Implants, Bone Grafting, Extractions, Other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Oral and Maxillofacial Surgeries</w:t>
            </w:r>
          </w:p>
        </w:tc>
        <w:tc>
          <w:tcPr>
            <w:tcW w:w="1180" w:type="dxa"/>
            <w:hideMark/>
          </w:tcPr>
          <w:p w14:paraId="1A7C0957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Among 64 patients,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Discontinued DOACs: 7 patients</w:t>
            </w:r>
          </w:p>
        </w:tc>
        <w:tc>
          <w:tcPr>
            <w:tcW w:w="1206" w:type="dxa"/>
            <w:hideMark/>
          </w:tcPr>
          <w:p w14:paraId="237F19E9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day: 1 patient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2 days: 3 patients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3 days: 3 patients</w:t>
            </w:r>
          </w:p>
        </w:tc>
        <w:tc>
          <w:tcPr>
            <w:tcW w:w="1121" w:type="dxa"/>
            <w:hideMark/>
          </w:tcPr>
          <w:p w14:paraId="5E11C82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Local Hemostatic agents</w:t>
            </w:r>
          </w:p>
        </w:tc>
        <w:tc>
          <w:tcPr>
            <w:tcW w:w="647" w:type="dxa"/>
            <w:hideMark/>
          </w:tcPr>
          <w:p w14:paraId="6B393997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week</w:t>
            </w:r>
          </w:p>
        </w:tc>
        <w:tc>
          <w:tcPr>
            <w:tcW w:w="1664" w:type="dxa"/>
            <w:hideMark/>
          </w:tcPr>
          <w:p w14:paraId="0D634E7E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No records of postoperative bleeding</w:t>
            </w:r>
          </w:p>
        </w:tc>
        <w:tc>
          <w:tcPr>
            <w:tcW w:w="1738" w:type="dxa"/>
            <w:hideMark/>
          </w:tcPr>
          <w:p w14:paraId="35C6FC5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  <w:hideMark/>
          </w:tcPr>
          <w:p w14:paraId="2DCB2A7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3 patients with large blood clots</w:t>
            </w:r>
          </w:p>
        </w:tc>
      </w:tr>
      <w:tr w:rsidR="00640026" w:rsidRPr="00341E4C" w14:paraId="2C8B0450" w14:textId="77777777" w:rsidTr="0036239B">
        <w:trPr>
          <w:trHeight w:val="1920"/>
        </w:trPr>
        <w:tc>
          <w:tcPr>
            <w:tcW w:w="947" w:type="dxa"/>
            <w:hideMark/>
          </w:tcPr>
          <w:p w14:paraId="2091421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Galletti et al</w:t>
            </w:r>
          </w:p>
        </w:tc>
        <w:tc>
          <w:tcPr>
            <w:tcW w:w="823" w:type="dxa"/>
            <w:hideMark/>
          </w:tcPr>
          <w:p w14:paraId="7FA0EE13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12(Males: 4, Females: 8)</w:t>
            </w:r>
          </w:p>
        </w:tc>
        <w:tc>
          <w:tcPr>
            <w:tcW w:w="1080" w:type="dxa"/>
            <w:hideMark/>
          </w:tcPr>
          <w:p w14:paraId="5BDA55E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65.1</w:t>
            </w:r>
            <w:r w:rsidRPr="00341E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8.57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(50-81)</w:t>
            </w:r>
          </w:p>
        </w:tc>
        <w:tc>
          <w:tcPr>
            <w:tcW w:w="1955" w:type="dxa"/>
            <w:hideMark/>
          </w:tcPr>
          <w:p w14:paraId="621F24DC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Rivaroxaban: 12</w:t>
            </w:r>
          </w:p>
        </w:tc>
        <w:tc>
          <w:tcPr>
            <w:tcW w:w="1185" w:type="dxa"/>
            <w:hideMark/>
          </w:tcPr>
          <w:p w14:paraId="5FD5FBD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Implant surgery and bone grafting</w:t>
            </w:r>
          </w:p>
        </w:tc>
        <w:tc>
          <w:tcPr>
            <w:tcW w:w="1180" w:type="dxa"/>
            <w:hideMark/>
          </w:tcPr>
          <w:p w14:paraId="2F2C355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Among 12 patients,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Discontinued DOACs: 12</w:t>
            </w:r>
          </w:p>
        </w:tc>
        <w:tc>
          <w:tcPr>
            <w:tcW w:w="1206" w:type="dxa"/>
            <w:hideMark/>
          </w:tcPr>
          <w:p w14:paraId="4E07EFB9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day: 12 patients</w:t>
            </w:r>
          </w:p>
        </w:tc>
        <w:tc>
          <w:tcPr>
            <w:tcW w:w="1121" w:type="dxa"/>
            <w:hideMark/>
          </w:tcPr>
          <w:p w14:paraId="21847C3A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Mechanical compression, tranexamic acid</w:t>
            </w:r>
          </w:p>
        </w:tc>
        <w:tc>
          <w:tcPr>
            <w:tcW w:w="647" w:type="dxa"/>
            <w:hideMark/>
          </w:tcPr>
          <w:p w14:paraId="729E85B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 week, 2 weeks</w:t>
            </w:r>
          </w:p>
        </w:tc>
        <w:tc>
          <w:tcPr>
            <w:tcW w:w="1664" w:type="dxa"/>
            <w:hideMark/>
          </w:tcPr>
          <w:p w14:paraId="467DF7E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8" w:type="dxa"/>
            <w:hideMark/>
          </w:tcPr>
          <w:p w14:paraId="699D55E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97" w:type="dxa"/>
            <w:hideMark/>
          </w:tcPr>
          <w:p w14:paraId="53F6579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4 patients suffered from swelling after surgery</w:t>
            </w:r>
          </w:p>
        </w:tc>
      </w:tr>
      <w:tr w:rsidR="00640026" w:rsidRPr="00341E4C" w14:paraId="2AE0E4B2" w14:textId="77777777" w:rsidTr="0036239B">
        <w:trPr>
          <w:trHeight w:val="1371"/>
        </w:trPr>
        <w:tc>
          <w:tcPr>
            <w:tcW w:w="947" w:type="dxa"/>
            <w:hideMark/>
          </w:tcPr>
          <w:p w14:paraId="6C313D56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Cappare et al</w:t>
            </w:r>
          </w:p>
        </w:tc>
        <w:tc>
          <w:tcPr>
            <w:tcW w:w="823" w:type="dxa"/>
            <w:hideMark/>
          </w:tcPr>
          <w:p w14:paraId="380B090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77 (Males: 42, Females: 35)</w:t>
            </w:r>
          </w:p>
        </w:tc>
        <w:tc>
          <w:tcPr>
            <w:tcW w:w="1080" w:type="dxa"/>
            <w:hideMark/>
          </w:tcPr>
          <w:p w14:paraId="1A65091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57.4 </w:t>
            </w:r>
            <w:r w:rsidRPr="00341E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8.57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&gt;20</w:t>
            </w:r>
          </w:p>
        </w:tc>
        <w:tc>
          <w:tcPr>
            <w:tcW w:w="1955" w:type="dxa"/>
            <w:hideMark/>
          </w:tcPr>
          <w:p w14:paraId="311B554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Rivaroxaban/apixaban: 37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Without Rivaroxaban/apixaban (control): 40</w:t>
            </w:r>
          </w:p>
        </w:tc>
        <w:tc>
          <w:tcPr>
            <w:tcW w:w="1185" w:type="dxa"/>
            <w:hideMark/>
          </w:tcPr>
          <w:p w14:paraId="00A38A6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Unilateral maxillary sinus floor elevation - lateral window approach</w:t>
            </w:r>
          </w:p>
        </w:tc>
        <w:tc>
          <w:tcPr>
            <w:tcW w:w="1180" w:type="dxa"/>
            <w:hideMark/>
          </w:tcPr>
          <w:p w14:paraId="1D00F30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Continued</w:t>
            </w:r>
          </w:p>
        </w:tc>
        <w:tc>
          <w:tcPr>
            <w:tcW w:w="1206" w:type="dxa"/>
            <w:hideMark/>
          </w:tcPr>
          <w:p w14:paraId="48770438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21" w:type="dxa"/>
            <w:hideMark/>
          </w:tcPr>
          <w:p w14:paraId="18E9A6A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Mechanical compression, tranexamic acid</w:t>
            </w:r>
          </w:p>
        </w:tc>
        <w:tc>
          <w:tcPr>
            <w:tcW w:w="647" w:type="dxa"/>
            <w:hideMark/>
          </w:tcPr>
          <w:p w14:paraId="56AC4A8F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Daily from day 1 7, 14th day, and after 1 month</w:t>
            </w:r>
          </w:p>
        </w:tc>
        <w:tc>
          <w:tcPr>
            <w:tcW w:w="1664" w:type="dxa"/>
            <w:hideMark/>
          </w:tcPr>
          <w:p w14:paraId="2AB538A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4 (Rivaroxaban/apixaban)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3 (Control)</w:t>
            </w:r>
          </w:p>
        </w:tc>
        <w:tc>
          <w:tcPr>
            <w:tcW w:w="1738" w:type="dxa"/>
            <w:hideMark/>
          </w:tcPr>
          <w:p w14:paraId="054A227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1(Rivaroxaban/apixaban)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0 (Control)</w:t>
            </w:r>
          </w:p>
        </w:tc>
        <w:tc>
          <w:tcPr>
            <w:tcW w:w="1097" w:type="dxa"/>
            <w:hideMark/>
          </w:tcPr>
          <w:p w14:paraId="081864D5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40026" w:rsidRPr="00341E4C" w14:paraId="195D4487" w14:textId="77777777" w:rsidTr="0036239B">
        <w:trPr>
          <w:trHeight w:val="1371"/>
        </w:trPr>
        <w:tc>
          <w:tcPr>
            <w:tcW w:w="947" w:type="dxa"/>
            <w:hideMark/>
          </w:tcPr>
          <w:p w14:paraId="10B245A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Woolcombe et al</w:t>
            </w:r>
          </w:p>
        </w:tc>
        <w:tc>
          <w:tcPr>
            <w:tcW w:w="823" w:type="dxa"/>
            <w:hideMark/>
          </w:tcPr>
          <w:p w14:paraId="2227BC7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98 (Males: 51 ,Females: 47)</w:t>
            </w:r>
          </w:p>
        </w:tc>
        <w:tc>
          <w:tcPr>
            <w:tcW w:w="1080" w:type="dxa"/>
            <w:hideMark/>
          </w:tcPr>
          <w:p w14:paraId="6976DB8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70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(42–91)</w:t>
            </w:r>
          </w:p>
        </w:tc>
        <w:tc>
          <w:tcPr>
            <w:tcW w:w="1955" w:type="dxa"/>
            <w:hideMark/>
          </w:tcPr>
          <w:p w14:paraId="0FD1AFC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Rivaroxaban: 12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Apixaban:27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Edoxaban: 7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Dabigatran: 1</w:t>
            </w:r>
          </w:p>
        </w:tc>
        <w:tc>
          <w:tcPr>
            <w:tcW w:w="1185" w:type="dxa"/>
            <w:hideMark/>
          </w:tcPr>
          <w:p w14:paraId="7A50386E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Routine dental extractions and surgical extractions</w:t>
            </w:r>
          </w:p>
        </w:tc>
        <w:tc>
          <w:tcPr>
            <w:tcW w:w="1180" w:type="dxa"/>
            <w:hideMark/>
          </w:tcPr>
          <w:p w14:paraId="7291D270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Among 98 patients, 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Discontinued: 24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Continued: 76</w:t>
            </w:r>
          </w:p>
        </w:tc>
        <w:tc>
          <w:tcPr>
            <w:tcW w:w="1206" w:type="dxa"/>
            <w:hideMark/>
          </w:tcPr>
          <w:p w14:paraId="5F4303E7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21" w:type="dxa"/>
            <w:hideMark/>
          </w:tcPr>
          <w:p w14:paraId="28F9A071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 xml:space="preserve">Haemostatic packing and suturing of the socket </w:t>
            </w:r>
          </w:p>
        </w:tc>
        <w:tc>
          <w:tcPr>
            <w:tcW w:w="647" w:type="dxa"/>
            <w:hideMark/>
          </w:tcPr>
          <w:p w14:paraId="0B8CDBA2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7 days</w:t>
            </w:r>
          </w:p>
        </w:tc>
        <w:tc>
          <w:tcPr>
            <w:tcW w:w="1664" w:type="dxa"/>
            <w:hideMark/>
          </w:tcPr>
          <w:p w14:paraId="35D27B64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7 (Within 24 hours)</w:t>
            </w:r>
          </w:p>
        </w:tc>
        <w:tc>
          <w:tcPr>
            <w:tcW w:w="1738" w:type="dxa"/>
            <w:hideMark/>
          </w:tcPr>
          <w:p w14:paraId="66D4853D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2 (After 2 days)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1 (After 6 days)</w:t>
            </w:r>
            <w:r w:rsidRPr="00341E4C">
              <w:rPr>
                <w:rFonts w:ascii="Times New Roman" w:hAnsi="Times New Roman" w:cs="Times New Roman"/>
                <w:sz w:val="20"/>
                <w:szCs w:val="20"/>
              </w:rPr>
              <w:br/>
              <w:t>1 (After 7 days)</w:t>
            </w:r>
          </w:p>
        </w:tc>
        <w:tc>
          <w:tcPr>
            <w:tcW w:w="1097" w:type="dxa"/>
            <w:hideMark/>
          </w:tcPr>
          <w:p w14:paraId="0208742B" w14:textId="77777777" w:rsidR="00640026" w:rsidRPr="00341E4C" w:rsidRDefault="00640026" w:rsidP="00362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E4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5BF78258" w14:textId="77777777" w:rsidR="001760E5" w:rsidRDefault="00640026" w:rsidP="00640026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26"/>
    <w:rsid w:val="00640026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D2E79"/>
  <w15:chartTrackingRefBased/>
  <w15:docId w15:val="{1731AEB9-75D7-44CD-9069-EA451276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02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5463</Characters>
  <Application>Microsoft Office Word</Application>
  <DocSecurity>0</DocSecurity>
  <Lines>45</Lines>
  <Paragraphs>12</Paragraphs>
  <ScaleCrop>false</ScaleCrop>
  <Company>Springer Nature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2023-01-20T10:49:00Z</dcterms:created>
  <dcterms:modified xsi:type="dcterms:W3CDTF">2023-01-20T10:49:00Z</dcterms:modified>
</cp:coreProperties>
</file>