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58C7" w:rsidRDefault="00BF58C7" w:rsidP="00BF58C7">
      <w:pPr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 xml:space="preserve">Appendix 1: </w:t>
      </w:r>
      <w:r>
        <w:rPr>
          <w:rFonts w:ascii="Garamond" w:hAnsi="Garamond"/>
          <w:sz w:val="24"/>
        </w:rPr>
        <w:t>Definition and Source of variables</w:t>
      </w:r>
    </w:p>
    <w:p w:rsidR="00BF58C7" w:rsidRDefault="00BF58C7" w:rsidP="00BF58C7">
      <w:pPr>
        <w:rPr>
          <w:rFonts w:ascii="Garamond" w:hAnsi="Garamond"/>
          <w:b/>
          <w:sz w:val="24"/>
        </w:rPr>
      </w:pPr>
    </w:p>
    <w:tbl>
      <w:tblPr>
        <w:tblW w:w="15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6"/>
        <w:gridCol w:w="5918"/>
        <w:gridCol w:w="7623"/>
      </w:tblGrid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8C7" w:rsidRDefault="00BF58C7" w:rsidP="001870E2">
            <w:pPr>
              <w:jc w:val="center"/>
              <w:rPr>
                <w:rFonts w:ascii="Garamond" w:hAnsi="Garamond"/>
                <w:b/>
                <w:sz w:val="22"/>
              </w:rPr>
            </w:pPr>
            <w:r>
              <w:rPr>
                <w:rFonts w:ascii="Garamond" w:hAnsi="Garamond"/>
                <w:b/>
                <w:sz w:val="22"/>
              </w:rPr>
              <w:t>Variables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8C7" w:rsidRDefault="00BF58C7" w:rsidP="001870E2">
            <w:pPr>
              <w:jc w:val="center"/>
              <w:rPr>
                <w:rFonts w:ascii="Garamond" w:hAnsi="Garamond"/>
                <w:b/>
                <w:sz w:val="22"/>
              </w:rPr>
            </w:pPr>
            <w:r>
              <w:rPr>
                <w:rFonts w:ascii="Garamond" w:hAnsi="Garamond"/>
                <w:b/>
                <w:sz w:val="22"/>
              </w:rPr>
              <w:t>Definition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8C7" w:rsidRDefault="00BF58C7" w:rsidP="001870E2">
            <w:pPr>
              <w:rPr>
                <w:rFonts w:ascii="Garamond" w:hAnsi="Garamond"/>
                <w:b/>
                <w:sz w:val="22"/>
              </w:rPr>
            </w:pPr>
            <w:r>
              <w:rPr>
                <w:rFonts w:ascii="Garamond" w:hAnsi="Garamond"/>
                <w:b/>
                <w:sz w:val="22"/>
              </w:rPr>
              <w:t>Sources</w:t>
            </w:r>
          </w:p>
        </w:tc>
      </w:tr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FDICST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Pr="00F646FA" w:rsidRDefault="00BF58C7" w:rsidP="001870E2">
            <w:pPr>
              <w:jc w:val="center"/>
              <w:rPr>
                <w:rFonts w:ascii="Garamond" w:hAnsi="Garamond"/>
                <w:sz w:val="24"/>
                <w:szCs w:val="26"/>
              </w:rPr>
            </w:pPr>
            <w:r>
              <w:rPr>
                <w:rFonts w:ascii="Garamond" w:hAnsi="Garamond"/>
                <w:sz w:val="24"/>
                <w:szCs w:val="24"/>
              </w:rPr>
              <w:t>The variable "</w:t>
            </w:r>
            <w:r>
              <w:rPr>
                <w:rFonts w:ascii="Garamond" w:hAnsi="Garamond"/>
                <w:sz w:val="24"/>
                <w:lang w:val="en-US"/>
              </w:rPr>
              <w:t>FDICST"</w:t>
            </w:r>
            <w:r>
              <w:rPr>
                <w:rFonts w:ascii="Garamond" w:hAnsi="Garamond"/>
                <w:sz w:val="24"/>
                <w:szCs w:val="24"/>
              </w:rPr>
              <w:t xml:space="preserve"> represents the total inward Foreign Direct Investment stock (constant US$ 2010 prices). It has been calculated as by</w:t>
            </w:r>
            <w:r w:rsidRPr="00C021AA">
              <w:rPr>
                <w:rFonts w:ascii="Garamond" w:hAnsi="Garamond"/>
                <w:sz w:val="24"/>
                <w:szCs w:val="24"/>
              </w:rPr>
              <w:t xml:space="preserve"> multiplying the </w:t>
            </w:r>
            <w:r>
              <w:rPr>
                <w:rFonts w:ascii="Garamond" w:hAnsi="Garamond"/>
                <w:sz w:val="24"/>
                <w:szCs w:val="24"/>
              </w:rPr>
              <w:t xml:space="preserve">inward </w:t>
            </w:r>
            <w:r w:rsidRPr="00C021AA">
              <w:rPr>
                <w:rFonts w:ascii="Garamond" w:hAnsi="Garamond"/>
                <w:sz w:val="24"/>
                <w:szCs w:val="24"/>
              </w:rPr>
              <w:t xml:space="preserve">Foreign Direct Investment </w:t>
            </w:r>
            <w:r>
              <w:rPr>
                <w:rFonts w:ascii="Garamond" w:hAnsi="Garamond"/>
                <w:sz w:val="24"/>
                <w:szCs w:val="24"/>
              </w:rPr>
              <w:t>stock</w:t>
            </w:r>
            <w:r w:rsidRPr="00C021AA">
              <w:rPr>
                <w:rFonts w:ascii="Garamond" w:hAnsi="Garamond"/>
                <w:sz w:val="24"/>
                <w:szCs w:val="24"/>
              </w:rPr>
              <w:t xml:space="preserve"> (% of GDP) by the real </w:t>
            </w:r>
            <w:r>
              <w:rPr>
                <w:rFonts w:ascii="Garamond" w:hAnsi="Garamond"/>
                <w:sz w:val="24"/>
                <w:szCs w:val="24"/>
              </w:rPr>
              <w:t>GDP</w:t>
            </w:r>
            <w:r w:rsidRPr="00C021AA">
              <w:rPr>
                <w:rFonts w:ascii="Garamond" w:hAnsi="Garamond"/>
                <w:sz w:val="24"/>
                <w:szCs w:val="24"/>
              </w:rPr>
              <w:t xml:space="preserve"> (constant 2010 US$)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C021AA">
              <w:rPr>
                <w:rFonts w:ascii="Garamond" w:hAnsi="Garamond"/>
                <w:sz w:val="24"/>
                <w:szCs w:val="24"/>
              </w:rPr>
              <w:t>(</w:t>
            </w:r>
            <w:r>
              <w:rPr>
                <w:rFonts w:ascii="Garamond" w:hAnsi="Garamond"/>
                <w:sz w:val="24"/>
                <w:szCs w:val="24"/>
              </w:rPr>
              <w:t>e.g.,</w:t>
            </w:r>
            <w:r w:rsidRPr="00C021AA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A75F9F">
              <w:rPr>
                <w:rFonts w:ascii="Garamond" w:hAnsi="Garamond"/>
                <w:sz w:val="24"/>
                <w:szCs w:val="24"/>
              </w:rPr>
              <w:t>Nagel et al., 2015 and Herzer, 2011</w:t>
            </w:r>
            <w:r w:rsidRPr="00C021AA">
              <w:rPr>
                <w:rFonts w:ascii="Garamond" w:hAnsi="Garamond"/>
                <w:sz w:val="24"/>
                <w:szCs w:val="24"/>
              </w:rPr>
              <w:t>)</w:t>
            </w:r>
            <w:r>
              <w:rPr>
                <w:rFonts w:ascii="Garamond" w:hAnsi="Garamond"/>
                <w:sz w:val="24"/>
                <w:szCs w:val="24"/>
              </w:rPr>
              <w:t xml:space="preserve">. 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Author's calculation based on data on Foreign Direct Investment inflows ( in percentage of GDP) from the UNCTAD database, and real GDP extracted from the WDI.</w:t>
            </w:r>
          </w:p>
        </w:tc>
      </w:tr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FDIGDP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Pr="00F646FA" w:rsidRDefault="00BF58C7" w:rsidP="001870E2">
            <w:pPr>
              <w:jc w:val="center"/>
              <w:rPr>
                <w:rFonts w:ascii="Garamond" w:hAnsi="Garamond"/>
                <w:sz w:val="24"/>
                <w:szCs w:val="26"/>
              </w:rPr>
            </w:pPr>
            <w:r>
              <w:rPr>
                <w:rFonts w:ascii="Garamond" w:hAnsi="Garamond"/>
                <w:sz w:val="24"/>
                <w:szCs w:val="24"/>
              </w:rPr>
              <w:t>This is the measure of total inward Foreign Direct Investment stock (percentage of</w:t>
            </w:r>
            <w:r w:rsidRPr="00C021AA">
              <w:rPr>
                <w:rFonts w:ascii="Garamond" w:hAnsi="Garamond"/>
                <w:sz w:val="24"/>
                <w:szCs w:val="24"/>
              </w:rPr>
              <w:t xml:space="preserve"> GDP)</w:t>
            </w:r>
            <w:r>
              <w:rPr>
                <w:rFonts w:ascii="Garamond" w:hAnsi="Garamond"/>
                <w:sz w:val="24"/>
                <w:szCs w:val="24"/>
              </w:rPr>
              <w:t>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UNCTAD database</w:t>
            </w:r>
          </w:p>
        </w:tc>
      </w:tr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bookmarkStart w:id="0" w:name="_Hlk35008180"/>
            <w:r>
              <w:rPr>
                <w:rFonts w:ascii="Garamond" w:hAnsi="Garamond"/>
                <w:sz w:val="24"/>
                <w:lang w:val="en-US"/>
              </w:rPr>
              <w:t>ECI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Pr="00F27064" w:rsidRDefault="00BF58C7" w:rsidP="001870E2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This is the Export Product Concentration Index. It is calculated using the</w:t>
            </w:r>
            <w:r w:rsidRPr="00182A0D">
              <w:rPr>
                <w:rFonts w:ascii="Garamond" w:hAnsi="Garamond"/>
                <w:sz w:val="24"/>
              </w:rPr>
              <w:t xml:space="preserve"> Herfindahl-Hirschmann Index</w:t>
            </w:r>
            <w:r>
              <w:rPr>
                <w:rFonts w:ascii="Garamond" w:hAnsi="Garamond"/>
                <w:sz w:val="24"/>
              </w:rPr>
              <w:t xml:space="preserve"> and its values are normalized so that they range between </w:t>
            </w:r>
            <w:r w:rsidRPr="00182A0D">
              <w:rPr>
                <w:rFonts w:ascii="Garamond" w:hAnsi="Garamond"/>
                <w:sz w:val="24"/>
              </w:rPr>
              <w:t>0 and 1</w:t>
            </w:r>
            <w:r>
              <w:rPr>
                <w:rFonts w:ascii="Garamond" w:hAnsi="Garamond"/>
                <w:sz w:val="24"/>
              </w:rPr>
              <w:t xml:space="preserve">. </w:t>
            </w:r>
            <w:r w:rsidRPr="00182A0D">
              <w:rPr>
                <w:rFonts w:ascii="Garamond" w:hAnsi="Garamond"/>
                <w:sz w:val="24"/>
              </w:rPr>
              <w:t xml:space="preserve">An index value closer to 1 indicates a country's </w:t>
            </w:r>
            <w:r>
              <w:rPr>
                <w:rFonts w:ascii="Garamond" w:hAnsi="Garamond"/>
                <w:sz w:val="24"/>
              </w:rPr>
              <w:t>ex</w:t>
            </w:r>
            <w:r w:rsidRPr="00182A0D">
              <w:rPr>
                <w:rFonts w:ascii="Garamond" w:hAnsi="Garamond"/>
                <w:sz w:val="24"/>
              </w:rPr>
              <w:t>ports are highly concentrated on a few products. On the contrary, values closer to 0 reflect exports are more homogeneously distributed among a series of products.</w:t>
            </w:r>
            <w:r>
              <w:rPr>
                <w:rFonts w:ascii="Garamond" w:hAnsi="Garamond"/>
                <w:sz w:val="24"/>
              </w:rPr>
              <w:t xml:space="preserve"> 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United Nations Conference on Trade and Development (UNCTAD) Database.</w:t>
            </w:r>
            <w:r w:rsidRPr="00BF49BE">
              <w:rPr>
                <w:rFonts w:ascii="Garamond" w:hAnsi="Garamond"/>
                <w:sz w:val="24"/>
              </w:rPr>
              <w:t xml:space="preserve"> See online:  </w:t>
            </w:r>
            <w:hyperlink r:id="rId4" w:history="1">
              <w:r w:rsidRPr="00BF49BE">
                <w:rPr>
                  <w:rStyle w:val="Hyperlink"/>
                  <w:rFonts w:ascii="Garamond" w:hAnsi="Garamond"/>
                  <w:sz w:val="24"/>
                </w:rPr>
                <w:t>http://unctadstat.unctad.org/wds/TableViewer/tableView.aspx?ReportId=120</w:t>
              </w:r>
            </w:hyperlink>
          </w:p>
          <w:p w:rsidR="00BF58C7" w:rsidRPr="00F27064" w:rsidRDefault="00BF58C7" w:rsidP="001870E2">
            <w:pPr>
              <w:rPr>
                <w:rFonts w:ascii="Garamond" w:hAnsi="Garamond"/>
                <w:sz w:val="24"/>
              </w:rPr>
            </w:pPr>
          </w:p>
        </w:tc>
      </w:tr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AfTTOT, AfTINFRA, AfTPROD, AfTPOL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</w:rPr>
              <w:t>"AfTTOT"</w:t>
            </w:r>
            <w:r>
              <w:rPr>
                <w:rFonts w:ascii="Garamond" w:hAnsi="Garamond"/>
                <w:sz w:val="24"/>
                <w:lang w:val="en-US"/>
              </w:rPr>
              <w:t xml:space="preserve"> 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is the total real </w:t>
            </w:r>
            <w:r>
              <w:rPr>
                <w:rFonts w:ascii="Garamond" w:hAnsi="Garamond"/>
                <w:sz w:val="24"/>
                <w:lang w:val="en-US"/>
              </w:rPr>
              <w:t>g</w:t>
            </w:r>
            <w:r w:rsidRPr="001B4E83">
              <w:rPr>
                <w:rFonts w:ascii="Garamond" w:hAnsi="Garamond"/>
                <w:sz w:val="24"/>
                <w:lang w:val="en-US"/>
              </w:rPr>
              <w:t>ross disbursements of Aid for Trade</w:t>
            </w:r>
            <w:r>
              <w:rPr>
                <w:rFonts w:ascii="Garamond" w:hAnsi="Garamond"/>
                <w:sz w:val="24"/>
                <w:lang w:val="en-US"/>
              </w:rPr>
              <w:t>.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"AfTINFRA"</w:t>
            </w:r>
            <w:r>
              <w:rPr>
                <w:rFonts w:ascii="Garamond" w:hAnsi="Garamond"/>
                <w:sz w:val="24"/>
                <w:lang w:val="en-US"/>
              </w:rPr>
              <w:t xml:space="preserve"> 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is the real </w:t>
            </w:r>
            <w:r>
              <w:rPr>
                <w:rFonts w:ascii="Garamond" w:hAnsi="Garamond"/>
                <w:sz w:val="24"/>
                <w:lang w:val="en-US"/>
              </w:rPr>
              <w:t>g</w:t>
            </w:r>
            <w:r w:rsidRPr="001B4E83">
              <w:rPr>
                <w:rFonts w:ascii="Garamond" w:hAnsi="Garamond"/>
                <w:sz w:val="24"/>
                <w:lang w:val="en-US"/>
              </w:rPr>
              <w:t>ross disbursements of Aid for Trade</w:t>
            </w:r>
            <w:r>
              <w:rPr>
                <w:rFonts w:ascii="Garamond" w:hAnsi="Garamond"/>
                <w:sz w:val="24"/>
                <w:lang w:val="en-US"/>
              </w:rPr>
              <w:t xml:space="preserve"> allocated to the buildup of economic infrastructure.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"AfTPROD"</w:t>
            </w:r>
            <w:r>
              <w:rPr>
                <w:rFonts w:ascii="Garamond" w:hAnsi="Garamond"/>
                <w:sz w:val="24"/>
                <w:lang w:val="en-US"/>
              </w:rPr>
              <w:t xml:space="preserve"> 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is the real </w:t>
            </w:r>
            <w:r>
              <w:rPr>
                <w:rFonts w:ascii="Garamond" w:hAnsi="Garamond"/>
                <w:sz w:val="24"/>
                <w:lang w:val="en-US"/>
              </w:rPr>
              <w:t>g</w:t>
            </w:r>
            <w:r w:rsidRPr="001B4E83">
              <w:rPr>
                <w:rFonts w:ascii="Garamond" w:hAnsi="Garamond"/>
                <w:sz w:val="24"/>
                <w:lang w:val="en-US"/>
              </w:rPr>
              <w:t>ross disbursements of Aid for Trade</w:t>
            </w:r>
            <w:r>
              <w:rPr>
                <w:rFonts w:ascii="Garamond" w:hAnsi="Garamond"/>
                <w:sz w:val="24"/>
                <w:lang w:val="en-US"/>
              </w:rPr>
              <w:t xml:space="preserve"> for building productive capacities.</w:t>
            </w:r>
          </w:p>
          <w:p w:rsidR="00BF58C7" w:rsidRPr="000142EC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</w:rPr>
              <w:t>"AfTPOL"</w:t>
            </w:r>
            <w:r>
              <w:rPr>
                <w:rFonts w:ascii="Garamond" w:hAnsi="Garamond"/>
                <w:sz w:val="24"/>
                <w:lang w:val="en-US"/>
              </w:rPr>
              <w:t xml:space="preserve"> 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is the real </w:t>
            </w:r>
            <w:r>
              <w:rPr>
                <w:rFonts w:ascii="Garamond" w:hAnsi="Garamond"/>
                <w:sz w:val="24"/>
                <w:lang w:val="en-US"/>
              </w:rPr>
              <w:t>g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ross disbursements of Aid </w:t>
            </w:r>
            <w:r>
              <w:rPr>
                <w:rFonts w:ascii="Garamond" w:hAnsi="Garamond"/>
                <w:sz w:val="24"/>
                <w:lang w:val="en-US"/>
              </w:rPr>
              <w:t xml:space="preserve">allocated for trade policies and regulation. All four variables are </w:t>
            </w:r>
            <w:r w:rsidRPr="001B4E83">
              <w:rPr>
                <w:rFonts w:ascii="Garamond" w:hAnsi="Garamond"/>
                <w:sz w:val="24"/>
                <w:lang w:val="en-US"/>
              </w:rPr>
              <w:t>expressed in constant prices 2016, US Dollar</w:t>
            </w:r>
            <w:r>
              <w:rPr>
                <w:rFonts w:ascii="Garamond" w:hAnsi="Garamond"/>
                <w:sz w:val="24"/>
                <w:lang w:val="en-US"/>
              </w:rPr>
              <w:t>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Pr="00636CA5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Author's c</w:t>
            </w:r>
            <w:r w:rsidRPr="00636CA5">
              <w:rPr>
                <w:rFonts w:ascii="Garamond" w:hAnsi="Garamond"/>
                <w:sz w:val="24"/>
                <w:szCs w:val="24"/>
              </w:rPr>
              <w:t xml:space="preserve">alculation based on data extracted from the </w:t>
            </w:r>
            <w:r>
              <w:rPr>
                <w:rFonts w:ascii="Garamond" w:hAnsi="Garamond"/>
                <w:sz w:val="24"/>
                <w:szCs w:val="24"/>
              </w:rPr>
              <w:t xml:space="preserve">database of the </w:t>
            </w:r>
            <w:r w:rsidRPr="00636CA5">
              <w:rPr>
                <w:rFonts w:ascii="Garamond" w:hAnsi="Garamond"/>
                <w:sz w:val="24"/>
                <w:szCs w:val="24"/>
              </w:rPr>
              <w:t>OECD/DAC-CRS (Organization for Economic Cooperation and Development/Donor Assistance Committee)-Cr</w:t>
            </w:r>
            <w:r>
              <w:rPr>
                <w:rFonts w:ascii="Garamond" w:hAnsi="Garamond"/>
                <w:sz w:val="24"/>
                <w:szCs w:val="24"/>
              </w:rPr>
              <w:t>FKEDI</w:t>
            </w:r>
            <w:r w:rsidRPr="00636CA5">
              <w:rPr>
                <w:rFonts w:ascii="Garamond" w:hAnsi="Garamond"/>
                <w:sz w:val="24"/>
                <w:szCs w:val="24"/>
              </w:rPr>
              <w:t>t Reporting System (CRS). A</w:t>
            </w:r>
            <w:r>
              <w:rPr>
                <w:rFonts w:ascii="Garamond" w:hAnsi="Garamond"/>
                <w:sz w:val="24"/>
                <w:szCs w:val="24"/>
              </w:rPr>
              <w:t xml:space="preserve">id for Trade </w:t>
            </w:r>
            <w:r w:rsidRPr="00636CA5">
              <w:rPr>
                <w:rFonts w:ascii="Garamond" w:hAnsi="Garamond"/>
                <w:sz w:val="24"/>
                <w:szCs w:val="24"/>
              </w:rPr>
              <w:t xml:space="preserve">data cover the following three </w:t>
            </w:r>
            <w:r>
              <w:rPr>
                <w:rFonts w:ascii="Garamond" w:hAnsi="Garamond"/>
                <w:sz w:val="24"/>
                <w:szCs w:val="24"/>
              </w:rPr>
              <w:t xml:space="preserve">main </w:t>
            </w:r>
            <w:r w:rsidRPr="00636CA5">
              <w:rPr>
                <w:rFonts w:ascii="Garamond" w:hAnsi="Garamond"/>
                <w:sz w:val="24"/>
                <w:szCs w:val="24"/>
              </w:rPr>
              <w:t xml:space="preserve">categories (the CRS Codes are in brackets):  </w:t>
            </w:r>
          </w:p>
          <w:p w:rsidR="00BF58C7" w:rsidRPr="00636CA5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  <w:u w:val="single"/>
              </w:rPr>
              <w:t xml:space="preserve">Aid for Trade for </w:t>
            </w:r>
            <w:r w:rsidRPr="00636CA5">
              <w:rPr>
                <w:rFonts w:ascii="Garamond" w:hAnsi="Garamond"/>
                <w:sz w:val="24"/>
                <w:szCs w:val="24"/>
                <w:u w:val="single"/>
              </w:rPr>
              <w:t>Economic Infrastructure</w:t>
            </w:r>
            <w:r>
              <w:rPr>
                <w:rFonts w:ascii="Garamond" w:hAnsi="Garamond"/>
                <w:sz w:val="24"/>
                <w:szCs w:val="24"/>
                <w:u w:val="single"/>
              </w:rPr>
              <w:t xml:space="preserve"> ("AfTINFRA")</w:t>
            </w:r>
            <w:r w:rsidRPr="001B4E83">
              <w:rPr>
                <w:rFonts w:ascii="Garamond" w:hAnsi="Garamond"/>
                <w:sz w:val="24"/>
                <w:szCs w:val="24"/>
              </w:rPr>
              <w:t>, which includes</w:t>
            </w:r>
            <w:r w:rsidRPr="00636CA5">
              <w:rPr>
                <w:rFonts w:ascii="Garamond" w:hAnsi="Garamond"/>
                <w:sz w:val="24"/>
                <w:szCs w:val="24"/>
              </w:rPr>
              <w:t>: transport and storage (210), communications (220), and energy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36CA5">
              <w:rPr>
                <w:rFonts w:ascii="Garamond" w:hAnsi="Garamond"/>
                <w:sz w:val="24"/>
                <w:szCs w:val="24"/>
              </w:rPr>
              <w:t>generation and supply (230);</w:t>
            </w:r>
          </w:p>
          <w:p w:rsidR="00BF58C7" w:rsidRDefault="00BF58C7" w:rsidP="001870E2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  <w:u w:val="single"/>
              </w:rPr>
              <w:t xml:space="preserve">Aid for Trade for </w:t>
            </w:r>
            <w:r w:rsidRPr="00636CA5">
              <w:rPr>
                <w:rFonts w:ascii="Garamond" w:hAnsi="Garamond"/>
                <w:sz w:val="24"/>
                <w:szCs w:val="24"/>
                <w:u w:val="single"/>
              </w:rPr>
              <w:t>Building Productive Capacity</w:t>
            </w:r>
            <w:r>
              <w:rPr>
                <w:rFonts w:ascii="Garamond" w:hAnsi="Garamond"/>
                <w:sz w:val="24"/>
                <w:szCs w:val="24"/>
                <w:u w:val="single"/>
              </w:rPr>
              <w:t xml:space="preserve"> ("AfTPROD")</w:t>
            </w:r>
            <w:r w:rsidRPr="001B4E83">
              <w:rPr>
                <w:rFonts w:ascii="Garamond" w:hAnsi="Garamond"/>
                <w:sz w:val="24"/>
                <w:szCs w:val="24"/>
              </w:rPr>
              <w:t>, which includes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36CA5">
              <w:rPr>
                <w:rFonts w:ascii="Garamond" w:hAnsi="Garamond"/>
                <w:sz w:val="24"/>
                <w:szCs w:val="24"/>
              </w:rPr>
              <w:t>banking and financial services (240), business and other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36CA5">
              <w:rPr>
                <w:rFonts w:ascii="Garamond" w:hAnsi="Garamond"/>
                <w:sz w:val="24"/>
                <w:szCs w:val="24"/>
              </w:rPr>
              <w:t>services (250), agriculture (311), forestry (312), fishing (313), industry (321), mineral resources and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636CA5">
              <w:rPr>
                <w:rFonts w:ascii="Garamond" w:hAnsi="Garamond"/>
                <w:sz w:val="24"/>
                <w:szCs w:val="24"/>
              </w:rPr>
              <w:t>mining (322), and tourism (332); and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:rsidR="00BF58C7" w:rsidRDefault="00BF58C7" w:rsidP="001870E2">
            <w:pPr>
              <w:rPr>
                <w:rFonts w:ascii="Garamond" w:hAnsi="Garamond"/>
                <w:sz w:val="24"/>
                <w:szCs w:val="24"/>
              </w:rPr>
            </w:pPr>
          </w:p>
          <w:p w:rsidR="00BF58C7" w:rsidRDefault="00BF58C7" w:rsidP="001870E2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  <w:u w:val="single"/>
              </w:rPr>
              <w:t xml:space="preserve">Aid for </w:t>
            </w:r>
            <w:r w:rsidRPr="00636CA5">
              <w:rPr>
                <w:rFonts w:ascii="Garamond" w:hAnsi="Garamond"/>
                <w:sz w:val="24"/>
                <w:szCs w:val="24"/>
                <w:u w:val="single"/>
              </w:rPr>
              <w:t>Trade policy and regulations</w:t>
            </w:r>
            <w:r>
              <w:rPr>
                <w:rFonts w:ascii="Garamond" w:hAnsi="Garamond"/>
                <w:sz w:val="24"/>
                <w:szCs w:val="24"/>
                <w:u w:val="single"/>
              </w:rPr>
              <w:t xml:space="preserve"> ("AfTPOL")</w:t>
            </w:r>
            <w:r w:rsidRPr="001B4E83">
              <w:rPr>
                <w:rFonts w:ascii="Garamond" w:hAnsi="Garamond"/>
                <w:sz w:val="24"/>
                <w:szCs w:val="24"/>
              </w:rPr>
              <w:t xml:space="preserve">, which includes </w:t>
            </w:r>
            <w:r w:rsidRPr="00636CA5">
              <w:rPr>
                <w:rFonts w:ascii="Garamond" w:hAnsi="Garamond"/>
                <w:sz w:val="24"/>
                <w:szCs w:val="24"/>
              </w:rPr>
              <w:t xml:space="preserve">trade policy and regulations and </w:t>
            </w:r>
            <w:r>
              <w:rPr>
                <w:rFonts w:ascii="Garamond" w:hAnsi="Garamond"/>
                <w:sz w:val="24"/>
                <w:szCs w:val="24"/>
              </w:rPr>
              <w:t>trade-related adjustment (331).</w:t>
            </w:r>
          </w:p>
          <w:p w:rsidR="00BF58C7" w:rsidRPr="00636CA5" w:rsidRDefault="00BF58C7" w:rsidP="001870E2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</w:rPr>
              <w:lastRenderedPageBreak/>
              <w:t>FKEDI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</w:rPr>
            </w:pPr>
            <w:r w:rsidRPr="00F8412B">
              <w:rPr>
                <w:rFonts w:ascii="Garamond" w:hAnsi="Garamond"/>
                <w:sz w:val="24"/>
              </w:rPr>
              <w:t xml:space="preserve">The </w:t>
            </w:r>
            <w:r>
              <w:rPr>
                <w:rFonts w:ascii="Garamond" w:hAnsi="Garamond"/>
                <w:sz w:val="24"/>
              </w:rPr>
              <w:t xml:space="preserve">export </w:t>
            </w:r>
            <w:r w:rsidRPr="00F8412B">
              <w:rPr>
                <w:rFonts w:ascii="Garamond" w:hAnsi="Garamond"/>
                <w:sz w:val="24"/>
              </w:rPr>
              <w:t xml:space="preserve">diversification index is computed by measuring the absolute deviation of the </w:t>
            </w:r>
            <w:r>
              <w:rPr>
                <w:rFonts w:ascii="Garamond" w:hAnsi="Garamond"/>
                <w:sz w:val="24"/>
              </w:rPr>
              <w:t>export product</w:t>
            </w:r>
            <w:r w:rsidRPr="00F8412B">
              <w:rPr>
                <w:rFonts w:ascii="Garamond" w:hAnsi="Garamond"/>
                <w:sz w:val="24"/>
              </w:rPr>
              <w:t xml:space="preserve"> structure of a country from world</w:t>
            </w:r>
            <w:r>
              <w:rPr>
                <w:rFonts w:ascii="Garamond" w:hAnsi="Garamond"/>
                <w:sz w:val="24"/>
              </w:rPr>
              <w:t>'s export product</w:t>
            </w:r>
            <w:r w:rsidRPr="00F8412B">
              <w:rPr>
                <w:rFonts w:ascii="Garamond" w:hAnsi="Garamond"/>
                <w:sz w:val="24"/>
              </w:rPr>
              <w:t xml:space="preserve"> structure</w:t>
            </w:r>
            <w:r>
              <w:rPr>
                <w:rFonts w:ascii="Garamond" w:hAnsi="Garamond"/>
                <w:sz w:val="24"/>
              </w:rPr>
              <w:t xml:space="preserve">. </w:t>
            </w:r>
            <w:r w:rsidRPr="00F8412B">
              <w:rPr>
                <w:rFonts w:ascii="Garamond" w:hAnsi="Garamond"/>
                <w:sz w:val="24"/>
              </w:rPr>
              <w:t>This index is a modified Finger</w:t>
            </w:r>
            <w:r>
              <w:rPr>
                <w:rFonts w:ascii="Garamond" w:hAnsi="Garamond"/>
                <w:sz w:val="24"/>
              </w:rPr>
              <w:t>-</w:t>
            </w:r>
            <w:r w:rsidRPr="00F8412B">
              <w:rPr>
                <w:rFonts w:ascii="Garamond" w:hAnsi="Garamond"/>
                <w:sz w:val="24"/>
              </w:rPr>
              <w:t>Kreinin</w:t>
            </w:r>
            <w:r>
              <w:rPr>
                <w:rFonts w:ascii="Garamond" w:hAnsi="Garamond"/>
                <w:sz w:val="24"/>
              </w:rPr>
              <w:t xml:space="preserve"> </w:t>
            </w:r>
            <w:r w:rsidRPr="00F8412B">
              <w:rPr>
                <w:rFonts w:ascii="Garamond" w:hAnsi="Garamond"/>
                <w:sz w:val="24"/>
              </w:rPr>
              <w:t>measure of similarity in trade</w:t>
            </w:r>
            <w:r>
              <w:rPr>
                <w:rFonts w:ascii="Garamond" w:hAnsi="Garamond"/>
                <w:sz w:val="24"/>
              </w:rPr>
              <w:t xml:space="preserve">. </w:t>
            </w:r>
            <w:r w:rsidRPr="00F8412B">
              <w:rPr>
                <w:rFonts w:ascii="Garamond" w:hAnsi="Garamond"/>
                <w:sz w:val="24"/>
              </w:rPr>
              <w:t>The diversification index takes values between 0 and 1. A value closer to 1 indicates greater divergence from the world pattern</w:t>
            </w:r>
            <w:r>
              <w:rPr>
                <w:rFonts w:ascii="Garamond" w:hAnsi="Garamond"/>
                <w:sz w:val="24"/>
              </w:rPr>
              <w:t>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United Nations Conference on Trade and Development (UNCTAD) Database.</w:t>
            </w:r>
            <w:r w:rsidRPr="00BF49BE">
              <w:rPr>
                <w:rFonts w:ascii="Garamond" w:hAnsi="Garamond"/>
                <w:sz w:val="24"/>
              </w:rPr>
              <w:t xml:space="preserve"> See online:  </w:t>
            </w:r>
            <w:hyperlink r:id="rId5" w:history="1">
              <w:r w:rsidRPr="00BF49BE">
                <w:rPr>
                  <w:rStyle w:val="Hyperlink"/>
                  <w:rFonts w:ascii="Garamond" w:hAnsi="Garamond"/>
                  <w:sz w:val="24"/>
                </w:rPr>
                <w:t>http://unctadstat.unctad.org/wds/TableViewer/tableView.aspx?ReportId=120</w:t>
              </w:r>
            </w:hyperlink>
          </w:p>
          <w:p w:rsidR="00BF58C7" w:rsidRDefault="00BF58C7" w:rsidP="001870E2">
            <w:pPr>
              <w:jc w:val="center"/>
              <w:rPr>
                <w:rFonts w:ascii="Garamond" w:hAnsi="Garamond"/>
                <w:sz w:val="24"/>
              </w:rPr>
            </w:pPr>
          </w:p>
        </w:tc>
      </w:tr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NonAfTTOT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autoSpaceDE w:val="0"/>
              <w:autoSpaceDN w:val="0"/>
              <w:adjustRightInd w:val="0"/>
              <w:ind w:firstLine="708"/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This is the measure of the development aid allocated to other sectors in the economy than the trade sector. It has been computed as the difference between the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 </w:t>
            </w:r>
            <w:r>
              <w:rPr>
                <w:rFonts w:ascii="Garamond" w:hAnsi="Garamond"/>
                <w:sz w:val="24"/>
                <w:lang w:val="en-US"/>
              </w:rPr>
              <w:t>g</w:t>
            </w:r>
            <w:r w:rsidRPr="001B4E83">
              <w:rPr>
                <w:rFonts w:ascii="Garamond" w:hAnsi="Garamond"/>
                <w:sz w:val="24"/>
                <w:lang w:val="en-US"/>
              </w:rPr>
              <w:t xml:space="preserve">ross disbursements of total </w:t>
            </w:r>
            <w:r>
              <w:rPr>
                <w:rFonts w:ascii="Garamond" w:hAnsi="Garamond"/>
                <w:sz w:val="24"/>
                <w:lang w:val="en-US"/>
              </w:rPr>
              <w:t>ODA and the g</w:t>
            </w:r>
            <w:r w:rsidRPr="001B4E83">
              <w:rPr>
                <w:rFonts w:ascii="Garamond" w:hAnsi="Garamond"/>
                <w:sz w:val="24"/>
                <w:lang w:val="en-US"/>
              </w:rPr>
              <w:t>ross disbursements of total Aid for Trade (</w:t>
            </w:r>
            <w:r>
              <w:rPr>
                <w:rFonts w:ascii="Garamond" w:hAnsi="Garamond"/>
                <w:sz w:val="24"/>
                <w:lang w:val="en-US"/>
              </w:rPr>
              <w:t xml:space="preserve">both being </w:t>
            </w:r>
            <w:r w:rsidRPr="001B4E83">
              <w:rPr>
                <w:rFonts w:ascii="Garamond" w:hAnsi="Garamond"/>
                <w:sz w:val="24"/>
                <w:lang w:val="en-US"/>
              </w:rPr>
              <w:t>expressed in constant prices 2016, US Dollar)</w:t>
            </w:r>
            <w:r>
              <w:rPr>
                <w:rFonts w:ascii="Garamond" w:hAnsi="Garamond"/>
                <w:sz w:val="24"/>
                <w:lang w:val="en-US"/>
              </w:rPr>
              <w:t>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Author's calculation based on data extracting from the </w:t>
            </w:r>
            <w:r w:rsidRPr="00636CA5">
              <w:rPr>
                <w:rFonts w:ascii="Garamond" w:hAnsi="Garamond"/>
                <w:sz w:val="24"/>
                <w:szCs w:val="24"/>
              </w:rPr>
              <w:t>OECD/DAC-CRS</w:t>
            </w:r>
            <w:r>
              <w:rPr>
                <w:rFonts w:ascii="Garamond" w:hAnsi="Garamond"/>
                <w:sz w:val="24"/>
                <w:szCs w:val="24"/>
              </w:rPr>
              <w:t xml:space="preserve"> database.  </w:t>
            </w:r>
          </w:p>
        </w:tc>
      </w:tr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lang w:val="en-US"/>
              </w:rPr>
              <w:t>TP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Pr="00301F89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301F89">
              <w:rPr>
                <w:rFonts w:ascii="Garamond" w:hAnsi="Garamond"/>
                <w:sz w:val="24"/>
                <w:szCs w:val="24"/>
              </w:rPr>
              <w:t>Trade Policy of the domestic economy</w:t>
            </w:r>
            <w:r>
              <w:rPr>
                <w:rFonts w:ascii="Garamond" w:hAnsi="Garamond"/>
                <w:sz w:val="24"/>
                <w:szCs w:val="24"/>
              </w:rPr>
              <w:t xml:space="preserve"> (Domestic Trade Policy). It is measured by the </w:t>
            </w:r>
            <w:r w:rsidRPr="00301F89">
              <w:rPr>
                <w:rFonts w:ascii="Garamond" w:hAnsi="Garamond"/>
                <w:sz w:val="24"/>
                <w:szCs w:val="24"/>
              </w:rPr>
              <w:t xml:space="preserve">Trade Freedom Score; This is a component of the Economic Freedom Index. It is composite measure of the absence of tariff and non-tariff barriers that affect imports and exports of goods and services. This score is graded on a scale of 0 to 100, with a rise </w:t>
            </w:r>
            <w:r>
              <w:rPr>
                <w:rFonts w:ascii="Garamond" w:hAnsi="Garamond"/>
                <w:sz w:val="24"/>
                <w:szCs w:val="24"/>
              </w:rPr>
              <w:t xml:space="preserve">in its value </w:t>
            </w:r>
            <w:r w:rsidRPr="00301F89">
              <w:rPr>
                <w:rFonts w:ascii="Garamond" w:hAnsi="Garamond"/>
                <w:sz w:val="24"/>
                <w:szCs w:val="24"/>
              </w:rPr>
              <w:t xml:space="preserve">indicating lower trade barriers, i.e., higher trade liberalization, while a decrease </w:t>
            </w:r>
            <w:r>
              <w:rPr>
                <w:rFonts w:ascii="Garamond" w:hAnsi="Garamond"/>
                <w:sz w:val="24"/>
                <w:szCs w:val="24"/>
              </w:rPr>
              <w:t xml:space="preserve">in its value </w:t>
            </w:r>
            <w:r w:rsidRPr="00301F89">
              <w:rPr>
                <w:rFonts w:ascii="Garamond" w:hAnsi="Garamond"/>
                <w:sz w:val="24"/>
                <w:szCs w:val="24"/>
              </w:rPr>
              <w:t>reflects rising trade protectionism.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Pr="00301F89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301F89">
              <w:rPr>
                <w:rFonts w:ascii="Garamond" w:hAnsi="Garamond"/>
                <w:sz w:val="24"/>
                <w:szCs w:val="24"/>
              </w:rPr>
              <w:t>Heritage Foundation (see Miller et al., 201</w:t>
            </w:r>
            <w:r>
              <w:rPr>
                <w:rFonts w:ascii="Garamond" w:hAnsi="Garamond"/>
                <w:sz w:val="24"/>
                <w:szCs w:val="24"/>
              </w:rPr>
              <w:t>9</w:t>
            </w:r>
            <w:r w:rsidRPr="00301F89">
              <w:rPr>
                <w:rFonts w:ascii="Garamond" w:hAnsi="Garamond"/>
                <w:sz w:val="24"/>
                <w:szCs w:val="24"/>
              </w:rPr>
              <w:t>)</w:t>
            </w:r>
          </w:p>
          <w:p w:rsidR="00BF58C7" w:rsidRPr="00301F89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</w:p>
          <w:p w:rsidR="00BF58C7" w:rsidRPr="00301F89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</w:p>
        </w:tc>
      </w:tr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Pr="006B40A9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6B40A9">
              <w:rPr>
                <w:rFonts w:ascii="Garamond" w:hAnsi="Garamond"/>
                <w:sz w:val="24"/>
                <w:szCs w:val="24"/>
              </w:rPr>
              <w:t>INFL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This is the a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nnual i</w:t>
            </w:r>
            <w:r w:rsidRPr="008174D8">
              <w:rPr>
                <w:rFonts w:ascii="Garamond" w:hAnsi="Garamond"/>
                <w:sz w:val="24"/>
                <w:szCs w:val="24"/>
                <w:lang w:val="en-US"/>
              </w:rPr>
              <w:t>nflation rate (%)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based </w:t>
            </w:r>
            <w:r w:rsidRPr="00D72448">
              <w:rPr>
                <w:rFonts w:ascii="Garamond" w:hAnsi="Garamond"/>
                <w:sz w:val="24"/>
                <w:szCs w:val="24"/>
                <w:lang w:val="en-US"/>
              </w:rPr>
              <w:t xml:space="preserve">on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Consumer Price Index -</w:t>
            </w:r>
            <w:r w:rsidRPr="00D72448">
              <w:rPr>
                <w:rFonts w:ascii="Garamond" w:hAnsi="Garamond"/>
                <w:sz w:val="24"/>
                <w:szCs w:val="24"/>
                <w:lang w:val="en-US"/>
              </w:rPr>
              <w:t>CPI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- (annual %)</w:t>
            </w:r>
            <w:r w:rsidRPr="00D72448">
              <w:rPr>
                <w:rFonts w:ascii="Garamond" w:hAnsi="Garamond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where </w:t>
            </w:r>
            <w:r w:rsidRPr="00D72448">
              <w:rPr>
                <w:rFonts w:ascii="Garamond" w:hAnsi="Garamond"/>
                <w:sz w:val="24"/>
                <w:szCs w:val="24"/>
                <w:lang w:val="en-US"/>
              </w:rPr>
              <w:t xml:space="preserve">missing values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have been replaced with</w:t>
            </w:r>
            <w:r w:rsidRPr="00D72448">
              <w:rPr>
                <w:rFonts w:ascii="Garamond" w:hAnsi="Garamond"/>
                <w:sz w:val="24"/>
                <w:szCs w:val="24"/>
                <w:lang w:val="en-US"/>
              </w:rPr>
              <w:t xml:space="preserve"> values of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the</w:t>
            </w:r>
            <w:r w:rsidRPr="00D72448">
              <w:rPr>
                <w:rFonts w:ascii="Garamond" w:hAnsi="Garamond"/>
                <w:sz w:val="24"/>
                <w:szCs w:val="24"/>
                <w:lang w:val="en-US"/>
              </w:rPr>
              <w:t xml:space="preserve"> GDP Deflator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 xml:space="preserve"> (annual %).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Author's calculation based on data from the World Development Indicators (WDI) of the World Bank.</w:t>
            </w:r>
          </w:p>
        </w:tc>
      </w:tr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GDPC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Per capita Gross Domestic Product (constant 2010 US$)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WDI</w:t>
            </w:r>
          </w:p>
        </w:tc>
      </w:tr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Pr="00AB5D64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GROWTH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Pr="00AB5D64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Annual </w:t>
            </w:r>
            <w:r w:rsidRPr="006044EB">
              <w:rPr>
                <w:rFonts w:ascii="Garamond" w:hAnsi="Garamond"/>
                <w:sz w:val="24"/>
                <w:szCs w:val="24"/>
              </w:rPr>
              <w:t>GDP growth (%)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Pr="00AB5D64" w:rsidRDefault="00BF58C7" w:rsidP="001870E2">
            <w:pPr>
              <w:jc w:val="center"/>
              <w:rPr>
                <w:rFonts w:ascii="Arial Narrow" w:hAnsi="Arial Narrow"/>
                <w:sz w:val="22"/>
              </w:rPr>
            </w:pPr>
            <w:r>
              <w:rPr>
                <w:rFonts w:ascii="Garamond" w:hAnsi="Garamond"/>
                <w:sz w:val="24"/>
                <w:lang w:val="en-US"/>
              </w:rPr>
              <w:t>WDI</w:t>
            </w:r>
          </w:p>
        </w:tc>
      </w:tr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>POP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t xml:space="preserve">This is the measure of the </w:t>
            </w:r>
            <w:r>
              <w:rPr>
                <w:rFonts w:ascii="Garamond" w:hAnsi="Garamond"/>
                <w:sz w:val="24"/>
                <w:szCs w:val="24"/>
                <w:lang w:val="en-US"/>
              </w:rPr>
              <w:t>total Population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szCs w:val="24"/>
              </w:rPr>
              <w:t>WDI</w:t>
            </w:r>
          </w:p>
        </w:tc>
      </w:tr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Pr="00251ECB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 w:rsidRPr="00251ECB">
              <w:rPr>
                <w:rFonts w:ascii="Garamond" w:hAnsi="Garamond"/>
                <w:sz w:val="24"/>
                <w:lang w:val="en-US"/>
              </w:rPr>
              <w:t>EDU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Pr="00251ECB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 w:rsidRPr="00251ECB">
              <w:rPr>
                <w:rFonts w:ascii="Garamond" w:hAnsi="Garamond"/>
                <w:sz w:val="24"/>
                <w:szCs w:val="24"/>
              </w:rPr>
              <w:t xml:space="preserve">This is the measure of the education level. It is calculated as the </w:t>
            </w:r>
            <w:r>
              <w:rPr>
                <w:rFonts w:ascii="Garamond" w:hAnsi="Garamond"/>
                <w:sz w:val="24"/>
                <w:szCs w:val="24"/>
              </w:rPr>
              <w:t>average</w:t>
            </w:r>
            <w:r w:rsidRPr="00251ECB">
              <w:rPr>
                <w:rFonts w:ascii="Garamond" w:hAnsi="Garamond"/>
                <w:sz w:val="24"/>
                <w:szCs w:val="24"/>
              </w:rPr>
              <w:t xml:space="preserve"> of the gross primary school enrolment rate (in percentage), secondary school enrolment rate (in percentage) and tertiary school enrolment rate (in percentage).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8C7" w:rsidRDefault="00BF58C7" w:rsidP="001870E2">
            <w:pPr>
              <w:jc w:val="center"/>
            </w:pPr>
            <w:r w:rsidRPr="006F78BE">
              <w:rPr>
                <w:rFonts w:ascii="Garamond" w:hAnsi="Garamond"/>
                <w:sz w:val="24"/>
                <w:lang w:val="en-US"/>
              </w:rPr>
              <w:t>WDI</w:t>
            </w:r>
          </w:p>
        </w:tc>
      </w:tr>
      <w:tr w:rsidR="00BF58C7" w:rsidTr="001870E2">
        <w:trPr>
          <w:jc w:val="center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lang w:val="en-US"/>
              </w:rPr>
            </w:pPr>
            <w:r>
              <w:rPr>
                <w:rFonts w:ascii="Garamond" w:hAnsi="Garamond"/>
                <w:sz w:val="24"/>
                <w:lang w:val="en-US"/>
              </w:rPr>
              <w:lastRenderedPageBreak/>
              <w:t>INST</w:t>
            </w:r>
          </w:p>
        </w:tc>
        <w:tc>
          <w:tcPr>
            <w:tcW w:w="5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This is the variable representing the institutional and governance quality in a given country. It has been computed by extracting the first principal component (based on factor analysis) of the following six indicators of governance. These indicators include a measure of political stability and absence of violence/terrorism; the regulatory quality; an index of rule of law index; the government effectiveness index; the index of Voice and Accountability; and the index of corruption.</w:t>
            </w:r>
          </w:p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Higher values of this index are associated with better governance and institutional quality, while lower values reflect worse governance and institutional quality.</w:t>
            </w:r>
          </w:p>
        </w:tc>
        <w:tc>
          <w:tcPr>
            <w:tcW w:w="7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Data on the components of the variable "INST" has been collected from World Bank Governance Indicators (WGI) developed by Kaufmann, Kraay and Mastruzzi (2010) and recently updated.</w:t>
            </w:r>
          </w:p>
        </w:tc>
      </w:tr>
      <w:bookmarkEnd w:id="0"/>
    </w:tbl>
    <w:p w:rsidR="00BF58C7" w:rsidRDefault="00BF58C7" w:rsidP="00BF58C7">
      <w:pPr>
        <w:tabs>
          <w:tab w:val="left" w:pos="1590"/>
        </w:tabs>
        <w:rPr>
          <w:rFonts w:ascii="Garamond" w:hAnsi="Garamond"/>
          <w:b/>
          <w:sz w:val="24"/>
          <w:szCs w:val="24"/>
        </w:rPr>
      </w:pPr>
    </w:p>
    <w:p w:rsidR="00BF58C7" w:rsidRDefault="00BF58C7" w:rsidP="00BF58C7">
      <w:pPr>
        <w:jc w:val="left"/>
        <w:rPr>
          <w:rFonts w:ascii="Garamond" w:hAnsi="Garamond"/>
          <w:b/>
          <w:sz w:val="24"/>
          <w:szCs w:val="24"/>
        </w:rPr>
      </w:pPr>
    </w:p>
    <w:p w:rsidR="00BF58C7" w:rsidRDefault="00BF58C7" w:rsidP="00BF58C7">
      <w:pPr>
        <w:rPr>
          <w:rFonts w:ascii="Garamond" w:hAnsi="Garamond"/>
          <w:sz w:val="24"/>
          <w:szCs w:val="24"/>
        </w:rPr>
      </w:pPr>
    </w:p>
    <w:p w:rsidR="00BF58C7" w:rsidRDefault="00BF58C7" w:rsidP="00BF58C7">
      <w:pPr>
        <w:rPr>
          <w:rFonts w:ascii="Garamond" w:hAnsi="Garamond"/>
          <w:sz w:val="24"/>
          <w:szCs w:val="24"/>
        </w:rPr>
      </w:pPr>
    </w:p>
    <w:p w:rsidR="00BF58C7" w:rsidRDefault="00BF58C7" w:rsidP="00BF58C7">
      <w:pPr>
        <w:jc w:val="left"/>
        <w:rPr>
          <w:rFonts w:ascii="Garamond" w:hAnsi="Garamond"/>
          <w:sz w:val="24"/>
          <w:szCs w:val="24"/>
        </w:rPr>
      </w:pPr>
    </w:p>
    <w:p w:rsidR="00BF58C7" w:rsidRDefault="00BF58C7" w:rsidP="00BF58C7">
      <w:pPr>
        <w:jc w:val="left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br w:type="page"/>
      </w:r>
    </w:p>
    <w:p w:rsidR="00BF58C7" w:rsidRDefault="00BF58C7" w:rsidP="00BF58C7">
      <w:pPr>
        <w:jc w:val="left"/>
        <w:rPr>
          <w:rFonts w:ascii="Garamond" w:hAnsi="Garamond"/>
          <w:b/>
          <w:sz w:val="24"/>
          <w:szCs w:val="24"/>
        </w:rPr>
        <w:sectPr w:rsidR="00BF58C7" w:rsidSect="006F4ABE">
          <w:pgSz w:w="16838" w:h="11906" w:orient="landscape" w:code="9"/>
          <w:pgMar w:top="1440" w:right="1701" w:bottom="1440" w:left="1440" w:header="720" w:footer="720" w:gutter="0"/>
          <w:cols w:space="708"/>
          <w:docGrid w:linePitch="360"/>
        </w:sectPr>
      </w:pPr>
    </w:p>
    <w:p w:rsidR="00BF58C7" w:rsidRDefault="00BF58C7" w:rsidP="00BF58C7">
      <w:pPr>
        <w:rPr>
          <w:rFonts w:ascii="Garamond" w:hAnsi="Garamond"/>
          <w:sz w:val="24"/>
          <w:szCs w:val="24"/>
        </w:rPr>
      </w:pPr>
      <w:r w:rsidRPr="00390CA1">
        <w:rPr>
          <w:rFonts w:ascii="Garamond" w:hAnsi="Garamond"/>
          <w:b/>
          <w:sz w:val="24"/>
          <w:szCs w:val="24"/>
        </w:rPr>
        <w:lastRenderedPageBreak/>
        <w:t xml:space="preserve">Appendix 2: </w:t>
      </w:r>
      <w:r w:rsidRPr="00390CA1">
        <w:rPr>
          <w:rFonts w:ascii="Garamond" w:hAnsi="Garamond"/>
          <w:sz w:val="24"/>
          <w:szCs w:val="24"/>
        </w:rPr>
        <w:t xml:space="preserve">List of countries contained in the </w:t>
      </w:r>
      <w:r>
        <w:rPr>
          <w:rFonts w:ascii="Garamond" w:hAnsi="Garamond"/>
          <w:sz w:val="24"/>
          <w:szCs w:val="24"/>
        </w:rPr>
        <w:t>e</w:t>
      </w:r>
      <w:r w:rsidRPr="00390CA1">
        <w:rPr>
          <w:rFonts w:ascii="Garamond" w:hAnsi="Garamond"/>
          <w:sz w:val="24"/>
          <w:szCs w:val="24"/>
        </w:rPr>
        <w:t xml:space="preserve">ntire </w:t>
      </w:r>
      <w:r>
        <w:rPr>
          <w:rFonts w:ascii="Garamond" w:hAnsi="Garamond"/>
          <w:sz w:val="24"/>
          <w:szCs w:val="24"/>
        </w:rPr>
        <w:t>s</w:t>
      </w:r>
      <w:r w:rsidRPr="00390CA1">
        <w:rPr>
          <w:rFonts w:ascii="Garamond" w:hAnsi="Garamond"/>
          <w:sz w:val="24"/>
          <w:szCs w:val="24"/>
        </w:rPr>
        <w:t>ample</w:t>
      </w:r>
    </w:p>
    <w:p w:rsidR="00BF58C7" w:rsidRDefault="00BF58C7" w:rsidP="00BF58C7">
      <w:pPr>
        <w:rPr>
          <w:rFonts w:ascii="Garamond" w:hAnsi="Garamond"/>
          <w:sz w:val="24"/>
          <w:szCs w:val="24"/>
        </w:rPr>
      </w:pPr>
    </w:p>
    <w:tbl>
      <w:tblPr>
        <w:tblStyle w:val="TableGrid"/>
        <w:tblW w:w="5215" w:type="pct"/>
        <w:jc w:val="center"/>
        <w:tblLook w:val="04A0" w:firstRow="1" w:lastRow="0" w:firstColumn="1" w:lastColumn="0" w:noHBand="0" w:noVBand="1"/>
      </w:tblPr>
      <w:tblGrid>
        <w:gridCol w:w="2312"/>
        <w:gridCol w:w="2353"/>
        <w:gridCol w:w="2313"/>
        <w:gridCol w:w="2426"/>
      </w:tblGrid>
      <w:tr w:rsidR="00BF58C7" w:rsidTr="001870E2">
        <w:trPr>
          <w:jc w:val="center"/>
        </w:trPr>
        <w:tc>
          <w:tcPr>
            <w:tcW w:w="3710" w:type="pct"/>
            <w:gridSpan w:val="3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 w:rsidRPr="00917916">
              <w:rPr>
                <w:rFonts w:ascii="Garamond" w:hAnsi="Garamond"/>
                <w:b/>
                <w:sz w:val="24"/>
              </w:rPr>
              <w:t>Entire Sample</w:t>
            </w:r>
          </w:p>
        </w:tc>
        <w:tc>
          <w:tcPr>
            <w:tcW w:w="1290" w:type="pct"/>
          </w:tcPr>
          <w:p w:rsidR="00BF58C7" w:rsidRDefault="00BF58C7" w:rsidP="001870E2">
            <w:pPr>
              <w:jc w:val="center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</w:rPr>
              <w:t>LDCs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Albania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Gabon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North Macedonia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Angola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Algeria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Gambia, The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Oman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Bangladesh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Angola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Georgia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Pakistan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Benin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Argentina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Ghana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Panama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Bhutan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Armenia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Guatemala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Papua New Guinea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Burkina Faso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Azerbaijan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Guinea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Paraguay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Burundi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Bangladesh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Guinea-Bissau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Peru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Cambodia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Barbados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Guyana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Philippines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Central African Republic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Belarus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Honduras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Rwanda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Chad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Belize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India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Samoa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Comoros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Benin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Indonesia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Sao Tome and Principe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Congo, Dem. Rep.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Bhutan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Iran, Islamic Rep.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Saudi Arabia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Eritrea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Bolivia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Jamaica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Senegal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Ethiopia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Botswana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Jordan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Serbia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Gambia, The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Brazil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Kazakhstan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Seychelles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Guinea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Burkina Faso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Kenya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Sierra Leone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Guinea-Bissau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Burundi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Kiribati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Solomon Islands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Kiribati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Cabo Verde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Kyrgyz Republic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South Africa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Lesotho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Cambodia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Lao PDR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Sri Lanka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Liberia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Cameroon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Lesotho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St. Lucia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Madagascar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Central African Republic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Liberia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St. Vincent and the Grenadines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Malawi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Chad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Libya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Suriname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Mali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Chile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Madagascar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Tajikistan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Mauritania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China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Malawi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Tanzania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Mozambique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Colombia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Malaysia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Thailand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Myanmar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Comoros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Maldives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Timor-Leste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Nepal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Congo, Dem. Rep.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Mali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Togo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Niger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Congo, Rep.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Mauritania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Tonga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Rwanda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Costa Rica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Mauritius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Trinidad and Tobago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Senegal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Cote d'Ivoire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Mexico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Tunisia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Sierra Leone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Croatia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Micronesia, Fed. Sts.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Turkey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Solomon Islands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Dominica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Moldova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Uganda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Tanzania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Dominican Republic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Mongolia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Ukraine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Timor-Leste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Ecuador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Montenegro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Uruguay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Togo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Egypt, Arab Rep.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Morocco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Uzbekistan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Uganda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El Salvador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Mozambique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Vanuatu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Vanuatu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Equatorial Guinea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Myanmar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Venezuela, RB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Yemen, Rep.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Eritrea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Nepal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Vietnam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  <w:szCs w:val="28"/>
              </w:rPr>
              <w:t>Zambia</w:t>
            </w: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Eswatini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Nicaragua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Yemen, Rep.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Ethiopia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Niger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Zambia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</w:p>
        </w:tc>
      </w:tr>
      <w:tr w:rsidR="00BF58C7" w:rsidTr="001870E2">
        <w:trPr>
          <w:jc w:val="center"/>
        </w:trPr>
        <w:tc>
          <w:tcPr>
            <w:tcW w:w="1229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Fiji</w:t>
            </w:r>
          </w:p>
        </w:tc>
        <w:tc>
          <w:tcPr>
            <w:tcW w:w="1251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Nigeria</w:t>
            </w:r>
          </w:p>
        </w:tc>
        <w:tc>
          <w:tcPr>
            <w:tcW w:w="1230" w:type="pct"/>
            <w:vAlign w:val="center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</w:rPr>
            </w:pPr>
            <w:r w:rsidRPr="00BE5715">
              <w:rPr>
                <w:rFonts w:ascii="Garamond" w:hAnsi="Garamond" w:cs="Calibri"/>
                <w:color w:val="000000"/>
                <w:sz w:val="22"/>
              </w:rPr>
              <w:t>Zimbabwe</w:t>
            </w:r>
          </w:p>
        </w:tc>
        <w:tc>
          <w:tcPr>
            <w:tcW w:w="1290" w:type="pct"/>
            <w:vAlign w:val="bottom"/>
          </w:tcPr>
          <w:p w:rsidR="00BF58C7" w:rsidRPr="00BE5715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2"/>
                <w:szCs w:val="28"/>
              </w:rPr>
            </w:pPr>
          </w:p>
        </w:tc>
      </w:tr>
    </w:tbl>
    <w:p w:rsidR="00BF58C7" w:rsidRPr="00390CA1" w:rsidRDefault="00BF58C7" w:rsidP="00BF58C7">
      <w:pPr>
        <w:rPr>
          <w:rFonts w:ascii="Garamond" w:hAnsi="Garamond"/>
          <w:sz w:val="24"/>
          <w:szCs w:val="24"/>
        </w:rPr>
      </w:pPr>
    </w:p>
    <w:p w:rsidR="00BF58C7" w:rsidRDefault="00BF58C7" w:rsidP="00BF58C7">
      <w:pPr>
        <w:jc w:val="left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br w:type="page"/>
      </w:r>
    </w:p>
    <w:p w:rsidR="00BF58C7" w:rsidRPr="00A31DAA" w:rsidRDefault="00BF58C7" w:rsidP="00BF58C7">
      <w:pPr>
        <w:rPr>
          <w:rFonts w:ascii="Garamond" w:hAnsi="Garamond"/>
          <w:b/>
          <w:sz w:val="24"/>
          <w:szCs w:val="24"/>
        </w:rPr>
      </w:pPr>
      <w:r w:rsidRPr="00A31DAA">
        <w:rPr>
          <w:rFonts w:ascii="Garamond" w:hAnsi="Garamond"/>
          <w:b/>
          <w:sz w:val="24"/>
          <w:szCs w:val="24"/>
        </w:rPr>
        <w:lastRenderedPageBreak/>
        <w:t xml:space="preserve">Appendix </w:t>
      </w:r>
      <w:r>
        <w:rPr>
          <w:rFonts w:ascii="Garamond" w:hAnsi="Garamond"/>
          <w:b/>
          <w:sz w:val="24"/>
          <w:szCs w:val="24"/>
        </w:rPr>
        <w:t>3</w:t>
      </w:r>
      <w:r w:rsidRPr="00A31DAA">
        <w:rPr>
          <w:rFonts w:ascii="Garamond" w:hAnsi="Garamond"/>
          <w:b/>
          <w:sz w:val="24"/>
          <w:szCs w:val="24"/>
        </w:rPr>
        <w:t xml:space="preserve">: </w:t>
      </w:r>
      <w:r w:rsidRPr="00A31DAA">
        <w:rPr>
          <w:rFonts w:ascii="Garamond" w:hAnsi="Garamond"/>
          <w:sz w:val="24"/>
          <w:szCs w:val="24"/>
        </w:rPr>
        <w:t xml:space="preserve">Descriptive statistics on </w:t>
      </w:r>
      <w:r>
        <w:rPr>
          <w:rFonts w:ascii="Garamond" w:hAnsi="Garamond"/>
          <w:sz w:val="24"/>
          <w:szCs w:val="24"/>
        </w:rPr>
        <w:t>unstandardized v</w:t>
      </w:r>
      <w:r w:rsidRPr="00A31DAA">
        <w:rPr>
          <w:rFonts w:ascii="Garamond" w:hAnsi="Garamond"/>
          <w:sz w:val="24"/>
          <w:szCs w:val="24"/>
        </w:rPr>
        <w:t>ariables</w:t>
      </w:r>
    </w:p>
    <w:p w:rsidR="00BF58C7" w:rsidRDefault="00BF58C7" w:rsidP="00BF58C7">
      <w:pPr>
        <w:rPr>
          <w:rFonts w:ascii="Garamond" w:hAnsi="Garamond"/>
          <w:iCs/>
          <w:sz w:val="24"/>
          <w:szCs w:val="24"/>
        </w:rPr>
      </w:pPr>
    </w:p>
    <w:tbl>
      <w:tblPr>
        <w:tblStyle w:val="TableGrid"/>
        <w:tblW w:w="9724" w:type="dxa"/>
        <w:tblLook w:val="04A0" w:firstRow="1" w:lastRow="0" w:firstColumn="1" w:lastColumn="0" w:noHBand="0" w:noVBand="1"/>
      </w:tblPr>
      <w:tblGrid>
        <w:gridCol w:w="1734"/>
        <w:gridCol w:w="1559"/>
        <w:gridCol w:w="1415"/>
        <w:gridCol w:w="2133"/>
        <w:gridCol w:w="1439"/>
        <w:gridCol w:w="1444"/>
      </w:tblGrid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</w:rPr>
              <w:t>Variable</w:t>
            </w:r>
          </w:p>
        </w:tc>
        <w:tc>
          <w:tcPr>
            <w:tcW w:w="1559" w:type="dxa"/>
          </w:tcPr>
          <w:p w:rsidR="00BF58C7" w:rsidRPr="00F54565" w:rsidRDefault="00BF58C7" w:rsidP="001870E2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4565">
              <w:rPr>
                <w:rFonts w:ascii="Garamond" w:hAnsi="Garamond"/>
                <w:b/>
                <w:sz w:val="24"/>
                <w:szCs w:val="24"/>
              </w:rPr>
              <w:t>Observations</w:t>
            </w:r>
          </w:p>
        </w:tc>
        <w:tc>
          <w:tcPr>
            <w:tcW w:w="1415" w:type="dxa"/>
          </w:tcPr>
          <w:p w:rsidR="00BF58C7" w:rsidRPr="00F54565" w:rsidRDefault="00BF58C7" w:rsidP="001870E2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4565">
              <w:rPr>
                <w:rFonts w:ascii="Garamond" w:hAnsi="Garamond"/>
                <w:b/>
                <w:sz w:val="24"/>
                <w:szCs w:val="24"/>
              </w:rPr>
              <w:t>Mean</w:t>
            </w:r>
          </w:p>
        </w:tc>
        <w:tc>
          <w:tcPr>
            <w:tcW w:w="2133" w:type="dxa"/>
          </w:tcPr>
          <w:p w:rsidR="00BF58C7" w:rsidRPr="00F54565" w:rsidRDefault="00BF58C7" w:rsidP="001870E2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4565">
              <w:rPr>
                <w:rFonts w:ascii="Garamond" w:hAnsi="Garamond"/>
                <w:b/>
                <w:sz w:val="24"/>
                <w:szCs w:val="24"/>
              </w:rPr>
              <w:t>Standard deviation</w:t>
            </w:r>
          </w:p>
        </w:tc>
        <w:tc>
          <w:tcPr>
            <w:tcW w:w="1439" w:type="dxa"/>
          </w:tcPr>
          <w:p w:rsidR="00BF58C7" w:rsidRPr="00F54565" w:rsidRDefault="00BF58C7" w:rsidP="001870E2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4565">
              <w:rPr>
                <w:rFonts w:ascii="Garamond" w:hAnsi="Garamond"/>
                <w:b/>
                <w:sz w:val="24"/>
                <w:szCs w:val="24"/>
              </w:rPr>
              <w:t>Minimum</w:t>
            </w:r>
          </w:p>
        </w:tc>
        <w:tc>
          <w:tcPr>
            <w:tcW w:w="1444" w:type="dxa"/>
          </w:tcPr>
          <w:p w:rsidR="00BF58C7" w:rsidRPr="00F54565" w:rsidRDefault="00BF58C7" w:rsidP="001870E2">
            <w:pPr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4565">
              <w:rPr>
                <w:rFonts w:ascii="Garamond" w:hAnsi="Garamond"/>
                <w:b/>
                <w:sz w:val="24"/>
                <w:szCs w:val="24"/>
              </w:rPr>
              <w:t>Maximum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FDICST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597</w:t>
            </w:r>
          </w:p>
        </w:tc>
        <w:tc>
          <w:tcPr>
            <w:tcW w:w="1415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3.24e+12</w:t>
            </w:r>
          </w:p>
        </w:tc>
        <w:tc>
          <w:tcPr>
            <w:tcW w:w="2133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8.94e+12</w:t>
            </w:r>
          </w:p>
        </w:tc>
        <w:tc>
          <w:tcPr>
            <w:tcW w:w="143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2.76e+08</w:t>
            </w:r>
          </w:p>
        </w:tc>
        <w:tc>
          <w:tcPr>
            <w:tcW w:w="144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1.05e+14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FDIGDP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598</w:t>
            </w:r>
          </w:p>
        </w:tc>
        <w:tc>
          <w:tcPr>
            <w:tcW w:w="1415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40.048</w:t>
            </w:r>
          </w:p>
        </w:tc>
        <w:tc>
          <w:tcPr>
            <w:tcW w:w="2133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53.119</w:t>
            </w:r>
          </w:p>
        </w:tc>
        <w:tc>
          <w:tcPr>
            <w:tcW w:w="143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0</w:t>
            </w: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.707</w:t>
            </w:r>
          </w:p>
        </w:tc>
        <w:tc>
          <w:tcPr>
            <w:tcW w:w="144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585.229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AfTTOT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601</w:t>
            </w:r>
          </w:p>
        </w:tc>
        <w:tc>
          <w:tcPr>
            <w:tcW w:w="1415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1.71e+08</w:t>
            </w:r>
          </w:p>
        </w:tc>
        <w:tc>
          <w:tcPr>
            <w:tcW w:w="2133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3.12e+08</w:t>
            </w:r>
          </w:p>
        </w:tc>
        <w:tc>
          <w:tcPr>
            <w:tcW w:w="143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42499.3</w:t>
            </w:r>
          </w:p>
        </w:tc>
        <w:tc>
          <w:tcPr>
            <w:tcW w:w="144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2.99e+09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AfTINFRA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600</w:t>
            </w:r>
          </w:p>
        </w:tc>
        <w:tc>
          <w:tcPr>
            <w:tcW w:w="1415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98.71</w:t>
            </w: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5</w:t>
            </w:r>
          </w:p>
        </w:tc>
        <w:tc>
          <w:tcPr>
            <w:tcW w:w="2133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201.34</w:t>
            </w: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3</w:t>
            </w:r>
          </w:p>
        </w:tc>
        <w:tc>
          <w:tcPr>
            <w:tcW w:w="143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0</w:t>
            </w: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.020</w:t>
            </w: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6</w:t>
            </w:r>
          </w:p>
        </w:tc>
        <w:tc>
          <w:tcPr>
            <w:tcW w:w="144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2056.482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AfTPROD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601</w:t>
            </w:r>
          </w:p>
        </w:tc>
        <w:tc>
          <w:tcPr>
            <w:tcW w:w="1415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69.07281</w:t>
            </w:r>
          </w:p>
        </w:tc>
        <w:tc>
          <w:tcPr>
            <w:tcW w:w="2133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126.0717</w:t>
            </w:r>
          </w:p>
        </w:tc>
        <w:tc>
          <w:tcPr>
            <w:tcW w:w="143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0</w:t>
            </w: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.0152883</w:t>
            </w:r>
          </w:p>
        </w:tc>
        <w:tc>
          <w:tcPr>
            <w:tcW w:w="144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1689.773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AfTPOL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584</w:t>
            </w:r>
          </w:p>
        </w:tc>
        <w:tc>
          <w:tcPr>
            <w:tcW w:w="1415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3.50</w:t>
            </w: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3</w:t>
            </w:r>
          </w:p>
        </w:tc>
        <w:tc>
          <w:tcPr>
            <w:tcW w:w="2133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12.927</w:t>
            </w:r>
          </w:p>
        </w:tc>
        <w:tc>
          <w:tcPr>
            <w:tcW w:w="143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-</w:t>
            </w: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0</w:t>
            </w: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.028</w:t>
            </w: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8</w:t>
            </w:r>
          </w:p>
        </w:tc>
        <w:tc>
          <w:tcPr>
            <w:tcW w:w="144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268.90</w:t>
            </w: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5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ECI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613</w:t>
            </w:r>
          </w:p>
        </w:tc>
        <w:tc>
          <w:tcPr>
            <w:tcW w:w="1415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  <w:lang w:val="es-ES"/>
              </w:rPr>
              <w:t>0.381</w:t>
            </w:r>
          </w:p>
        </w:tc>
        <w:tc>
          <w:tcPr>
            <w:tcW w:w="2133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  <w:lang w:val="es-ES"/>
              </w:rPr>
              <w:t>0.209</w:t>
            </w:r>
          </w:p>
        </w:tc>
        <w:tc>
          <w:tcPr>
            <w:tcW w:w="1439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  <w:lang w:val="es-ES"/>
              </w:rPr>
              <w:t>0.071</w:t>
            </w:r>
          </w:p>
        </w:tc>
        <w:tc>
          <w:tcPr>
            <w:tcW w:w="1444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  <w:lang w:val="es-ES"/>
              </w:rPr>
              <w:t>0.946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FKEDI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613</w:t>
            </w:r>
          </w:p>
        </w:tc>
        <w:tc>
          <w:tcPr>
            <w:tcW w:w="1415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  <w:lang w:val="es-ES"/>
              </w:rPr>
              <w:t>0.719</w:t>
            </w:r>
          </w:p>
        </w:tc>
        <w:tc>
          <w:tcPr>
            <w:tcW w:w="2133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  <w:lang w:val="es-ES"/>
              </w:rPr>
              <w:t>0.109</w:t>
            </w:r>
          </w:p>
        </w:tc>
        <w:tc>
          <w:tcPr>
            <w:tcW w:w="1439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  <w:lang w:val="es-ES"/>
              </w:rPr>
              <w:t>0.369</w:t>
            </w:r>
          </w:p>
        </w:tc>
        <w:tc>
          <w:tcPr>
            <w:tcW w:w="1444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  <w:lang w:val="es-ES"/>
              </w:rPr>
              <w:t>0.924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NonAfTTOT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601</w:t>
            </w:r>
          </w:p>
        </w:tc>
        <w:tc>
          <w:tcPr>
            <w:tcW w:w="1415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5.47e+08</w:t>
            </w:r>
          </w:p>
        </w:tc>
        <w:tc>
          <w:tcPr>
            <w:tcW w:w="2133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7.04e+08</w:t>
            </w:r>
          </w:p>
        </w:tc>
        <w:tc>
          <w:tcPr>
            <w:tcW w:w="143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5236286</w:t>
            </w:r>
          </w:p>
        </w:tc>
        <w:tc>
          <w:tcPr>
            <w:tcW w:w="144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6.63e+09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</w:rPr>
            </w:pPr>
            <w:r>
              <w:rPr>
                <w:rFonts w:ascii="Garamond" w:hAnsi="Garamond"/>
                <w:iCs/>
                <w:sz w:val="24"/>
                <w:szCs w:val="24"/>
              </w:rPr>
              <w:t>EDU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</w:rPr>
              <w:t>593</w:t>
            </w:r>
          </w:p>
        </w:tc>
        <w:tc>
          <w:tcPr>
            <w:tcW w:w="1415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71.515</w:t>
            </w:r>
          </w:p>
        </w:tc>
        <w:tc>
          <w:tcPr>
            <w:tcW w:w="2133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20.971</w:t>
            </w:r>
          </w:p>
        </w:tc>
        <w:tc>
          <w:tcPr>
            <w:tcW w:w="1439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1.959</w:t>
            </w:r>
          </w:p>
        </w:tc>
        <w:tc>
          <w:tcPr>
            <w:tcW w:w="1444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139.934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</w:rPr>
            </w:pPr>
            <w:r>
              <w:rPr>
                <w:rFonts w:ascii="Garamond" w:hAnsi="Garamond"/>
                <w:iCs/>
                <w:sz w:val="24"/>
                <w:szCs w:val="24"/>
              </w:rPr>
              <w:t>GROWTH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</w:rPr>
              <w:t>614</w:t>
            </w:r>
          </w:p>
        </w:tc>
        <w:tc>
          <w:tcPr>
            <w:tcW w:w="1415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4.527</w:t>
            </w:r>
          </w:p>
        </w:tc>
        <w:tc>
          <w:tcPr>
            <w:tcW w:w="2133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3.630</w:t>
            </w:r>
          </w:p>
        </w:tc>
        <w:tc>
          <w:tcPr>
            <w:tcW w:w="1439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-10.566</w:t>
            </w:r>
          </w:p>
        </w:tc>
        <w:tc>
          <w:tcPr>
            <w:tcW w:w="1444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29.297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</w:rPr>
            </w:pPr>
            <w:r>
              <w:rPr>
                <w:rFonts w:ascii="Garamond" w:hAnsi="Garamond"/>
                <w:iCs/>
                <w:sz w:val="24"/>
                <w:szCs w:val="24"/>
              </w:rPr>
              <w:t>INFL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</w:rPr>
              <w:t>614</w:t>
            </w:r>
          </w:p>
        </w:tc>
        <w:tc>
          <w:tcPr>
            <w:tcW w:w="1415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7.149</w:t>
            </w:r>
          </w:p>
        </w:tc>
        <w:tc>
          <w:tcPr>
            <w:tcW w:w="2133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8.748</w:t>
            </w:r>
          </w:p>
        </w:tc>
        <w:tc>
          <w:tcPr>
            <w:tcW w:w="1439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-6.211</w:t>
            </w:r>
          </w:p>
        </w:tc>
        <w:tc>
          <w:tcPr>
            <w:tcW w:w="1444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146.285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</w:rPr>
            </w:pPr>
            <w:r>
              <w:rPr>
                <w:rFonts w:ascii="Garamond" w:hAnsi="Garamond"/>
                <w:iCs/>
                <w:sz w:val="24"/>
                <w:szCs w:val="24"/>
              </w:rPr>
              <w:t>GDPC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</w:rPr>
              <w:t>614</w:t>
            </w:r>
          </w:p>
        </w:tc>
        <w:tc>
          <w:tcPr>
            <w:tcW w:w="1415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4140.868</w:t>
            </w:r>
          </w:p>
        </w:tc>
        <w:tc>
          <w:tcPr>
            <w:tcW w:w="2133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4241.887</w:t>
            </w:r>
          </w:p>
        </w:tc>
        <w:tc>
          <w:tcPr>
            <w:tcW w:w="1439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204.989</w:t>
            </w:r>
          </w:p>
        </w:tc>
        <w:tc>
          <w:tcPr>
            <w:tcW w:w="1444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21112.720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</w:rPr>
            </w:pPr>
            <w:r>
              <w:rPr>
                <w:rFonts w:ascii="Garamond" w:hAnsi="Garamond"/>
                <w:iCs/>
                <w:sz w:val="24"/>
                <w:szCs w:val="24"/>
              </w:rPr>
              <w:t>TP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</w:rPr>
              <w:t>573</w:t>
            </w:r>
          </w:p>
        </w:tc>
        <w:tc>
          <w:tcPr>
            <w:tcW w:w="1415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68.138</w:t>
            </w:r>
          </w:p>
        </w:tc>
        <w:tc>
          <w:tcPr>
            <w:tcW w:w="2133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11.238</w:t>
            </w:r>
          </w:p>
        </w:tc>
        <w:tc>
          <w:tcPr>
            <w:tcW w:w="1439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22.800</w:t>
            </w:r>
          </w:p>
        </w:tc>
        <w:tc>
          <w:tcPr>
            <w:tcW w:w="1444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</w:rPr>
              <w:t>89.200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INST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614</w:t>
            </w:r>
          </w:p>
        </w:tc>
        <w:tc>
          <w:tcPr>
            <w:tcW w:w="1415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  <w:lang w:val="es-ES"/>
              </w:rPr>
              <w:t>-1.029</w:t>
            </w:r>
          </w:p>
        </w:tc>
        <w:tc>
          <w:tcPr>
            <w:tcW w:w="2133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  <w:lang w:val="es-ES"/>
              </w:rPr>
              <w:t>1.440</w:t>
            </w:r>
          </w:p>
        </w:tc>
        <w:tc>
          <w:tcPr>
            <w:tcW w:w="1439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  <w:lang w:val="es-ES"/>
              </w:rPr>
              <w:t>-4.391</w:t>
            </w:r>
          </w:p>
        </w:tc>
        <w:tc>
          <w:tcPr>
            <w:tcW w:w="1444" w:type="dxa"/>
            <w:vAlign w:val="center"/>
          </w:tcPr>
          <w:p w:rsidR="00BF58C7" w:rsidRPr="00381EBE" w:rsidRDefault="00BF58C7" w:rsidP="001870E2">
            <w:pPr>
              <w:jc w:val="center"/>
              <w:rPr>
                <w:rFonts w:ascii="Garamond" w:hAnsi="Garamond" w:cs="Calibri"/>
                <w:color w:val="000000"/>
                <w:sz w:val="24"/>
                <w:szCs w:val="32"/>
              </w:rPr>
            </w:pPr>
            <w:r w:rsidRPr="00381EBE">
              <w:rPr>
                <w:rFonts w:ascii="Garamond" w:hAnsi="Garamond" w:cs="Calibri"/>
                <w:iCs/>
                <w:color w:val="000000"/>
                <w:sz w:val="24"/>
                <w:szCs w:val="32"/>
                <w:lang w:val="es-ES"/>
              </w:rPr>
              <w:t>3.159</w:t>
            </w:r>
          </w:p>
        </w:tc>
      </w:tr>
      <w:tr w:rsidR="00BF58C7" w:rsidRPr="00BE5715" w:rsidTr="001870E2">
        <w:tc>
          <w:tcPr>
            <w:tcW w:w="173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>
              <w:rPr>
                <w:rFonts w:ascii="Garamond" w:hAnsi="Garamond"/>
                <w:iCs/>
                <w:sz w:val="24"/>
                <w:szCs w:val="24"/>
                <w:lang w:val="es-ES"/>
              </w:rPr>
              <w:t>POP</w:t>
            </w:r>
          </w:p>
        </w:tc>
        <w:tc>
          <w:tcPr>
            <w:tcW w:w="155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614</w:t>
            </w:r>
          </w:p>
        </w:tc>
        <w:tc>
          <w:tcPr>
            <w:tcW w:w="1415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4.39e+07</w:t>
            </w:r>
          </w:p>
        </w:tc>
        <w:tc>
          <w:tcPr>
            <w:tcW w:w="2133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1.64e+08</w:t>
            </w:r>
          </w:p>
        </w:tc>
        <w:tc>
          <w:tcPr>
            <w:tcW w:w="1439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70106.33</w:t>
            </w:r>
          </w:p>
        </w:tc>
        <w:tc>
          <w:tcPr>
            <w:tcW w:w="1444" w:type="dxa"/>
          </w:tcPr>
          <w:p w:rsidR="00BF58C7" w:rsidRPr="00BE5715" w:rsidRDefault="00BF58C7" w:rsidP="001870E2">
            <w:pPr>
              <w:jc w:val="center"/>
              <w:rPr>
                <w:rFonts w:ascii="Garamond" w:hAnsi="Garamond"/>
                <w:iCs/>
                <w:sz w:val="24"/>
                <w:szCs w:val="24"/>
                <w:lang w:val="es-ES"/>
              </w:rPr>
            </w:pPr>
            <w:r w:rsidRPr="00BE5715">
              <w:rPr>
                <w:rFonts w:ascii="Garamond" w:hAnsi="Garamond"/>
                <w:iCs/>
                <w:sz w:val="24"/>
                <w:szCs w:val="24"/>
                <w:lang w:val="es-ES"/>
              </w:rPr>
              <w:t>1.38e+09</w:t>
            </w:r>
          </w:p>
        </w:tc>
      </w:tr>
    </w:tbl>
    <w:p w:rsidR="00BF58C7" w:rsidRDefault="00BF58C7" w:rsidP="00BF58C7">
      <w:pPr>
        <w:rPr>
          <w:rFonts w:ascii="Garamond" w:hAnsi="Garamond"/>
          <w:b/>
          <w:sz w:val="24"/>
          <w:szCs w:val="24"/>
        </w:rPr>
      </w:pPr>
    </w:p>
    <w:p w:rsidR="00BF58C7" w:rsidRDefault="00BF58C7" w:rsidP="00BF58C7">
      <w:pPr>
        <w:rPr>
          <w:rFonts w:ascii="Garamond" w:hAnsi="Garamond"/>
          <w:b/>
          <w:sz w:val="24"/>
          <w:szCs w:val="24"/>
        </w:rPr>
      </w:pPr>
    </w:p>
    <w:p w:rsidR="00EB3BB0" w:rsidRDefault="00EB3BB0"/>
    <w:sectPr w:rsidR="00EB3BB0" w:rsidSect="00917916">
      <w:footerReference w:type="default" r:id="rId6"/>
      <w:pgSz w:w="11906" w:h="16838" w:code="9"/>
      <w:pgMar w:top="1701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4907128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A7CE4" w:rsidRDefault="00BF58C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FA7CE4" w:rsidRDefault="00BF58C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8C7"/>
    <w:rsid w:val="00BF58C7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4A768B-6BC0-49E3-B9DB-14B5516C9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8C7"/>
    <w:pPr>
      <w:spacing w:after="0" w:line="240" w:lineRule="auto"/>
      <w:jc w:val="both"/>
    </w:pPr>
    <w:rPr>
      <w:rFonts w:ascii="Verdana" w:eastAsia="Calibri" w:hAnsi="Verdana" w:cs="Times New Roman"/>
      <w:sz w:val="1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F58C7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BF58C7"/>
    <w:rPr>
      <w:rFonts w:ascii="Verdana" w:eastAsia="Calibri" w:hAnsi="Verdana" w:cs="Times New Roman"/>
      <w:sz w:val="18"/>
      <w:szCs w:val="18"/>
      <w:lang w:val="en-GB" w:eastAsia="en-GB"/>
    </w:rPr>
  </w:style>
  <w:style w:type="table" w:styleId="TableGrid">
    <w:name w:val="Table Grid"/>
    <w:basedOn w:val="TableNormal"/>
    <w:uiPriority w:val="59"/>
    <w:rsid w:val="00BF58C7"/>
    <w:pPr>
      <w:spacing w:after="0" w:line="240" w:lineRule="auto"/>
    </w:pPr>
    <w:rPr>
      <w:rFonts w:ascii="Calibri" w:eastAsia="Calibri" w:hAnsi="Calibri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"/>
    <w:unhideWhenUsed/>
    <w:rsid w:val="00BF58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://unctadstat.unctad.org/wds/TableViewer/tableView.aspx?ReportId=120" TargetMode="External"/><Relationship Id="rId4" Type="http://schemas.openxmlformats.org/officeDocument/2006/relationships/hyperlink" Target="http://unctadstat.unctad.org/wds/TableViewer/tableView.aspx?ReportId=1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1221</Words>
  <Characters>6965</Characters>
  <Application>Microsoft Office Word</Application>
  <DocSecurity>0</DocSecurity>
  <Lines>58</Lines>
  <Paragraphs>16</Paragraphs>
  <ScaleCrop>false</ScaleCrop>
  <Company/>
  <LinksUpToDate>false</LinksUpToDate>
  <CharactersWithSpaces>8170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2020-04-17T20:24:00Z</dcterms:created>
  <dcterms:modified xsi:type="dcterms:W3CDTF">2020-04-17T20:25:00Z</dcterms:modified>
</cp:coreProperties>
</file>