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870" w:rsidRPr="0020449D" w:rsidRDefault="00F01480" w:rsidP="00E005BB">
      <w:pPr>
        <w:pStyle w:val="Caption"/>
        <w:keepNext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F01480">
        <w:rPr>
          <w:rFonts w:ascii="Times New Roman" w:hAnsi="Times New Roman"/>
          <w:i w:val="0"/>
          <w:iCs w:val="0"/>
          <w:color w:val="auto"/>
          <w:sz w:val="24"/>
          <w:szCs w:val="24"/>
        </w:rPr>
        <w:t>Supplementary Table 1</w:t>
      </w:r>
      <w:bookmarkStart w:id="0" w:name="_GoBack"/>
      <w:bookmarkEnd w:id="0"/>
      <w:r w:rsidR="008F49E8">
        <w:rPr>
          <w:rFonts w:ascii="Times New Roman" w:hAnsi="Times New Roman"/>
          <w:i w:val="0"/>
          <w:iCs w:val="0"/>
          <w:color w:val="auto"/>
          <w:sz w:val="24"/>
          <w:szCs w:val="24"/>
        </w:rPr>
        <w:t>.</w:t>
      </w:r>
      <w:r w:rsidR="00ED3870" w:rsidRPr="0020449D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 Distribution of depression and general anxiety among the Iranian general population based on province</w:t>
      </w:r>
    </w:p>
    <w:tbl>
      <w:tblPr>
        <w:tblW w:w="11790" w:type="dxa"/>
        <w:jc w:val="center"/>
        <w:tblLayout w:type="fixed"/>
        <w:tblLook w:val="04A0" w:firstRow="1" w:lastRow="0" w:firstColumn="1" w:lastColumn="0" w:noHBand="0" w:noVBand="1"/>
      </w:tblPr>
      <w:tblGrid>
        <w:gridCol w:w="2610"/>
        <w:gridCol w:w="1260"/>
        <w:gridCol w:w="1800"/>
        <w:gridCol w:w="2239"/>
        <w:gridCol w:w="236"/>
        <w:gridCol w:w="1530"/>
        <w:gridCol w:w="2115"/>
      </w:tblGrid>
      <w:tr w:rsidR="00ED3870" w:rsidRPr="0020449D" w:rsidTr="008F49E8">
        <w:trPr>
          <w:trHeight w:val="346"/>
          <w:jc w:val="center"/>
        </w:trPr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Province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Depression (%)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No Depression (%)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Anxiety (%)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No Anxiety (%)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Fars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4416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635 (14.4)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3781 (85.6)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877 (19.9)</w:t>
            </w:r>
          </w:p>
        </w:tc>
        <w:tc>
          <w:tcPr>
            <w:tcW w:w="2115" w:type="dxa"/>
            <w:tcBorders>
              <w:top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3539 (80.1)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Tehran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1110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192 (17.3)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918 (82.7)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246 (22.2)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864 (77.8)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Bushehr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53 (12.3)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379 (87.7)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85 (19.7)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347 (80.3)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Khuzestan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59 (4.6)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348 (85.5)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71 (17.4)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336 (82.6)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Isfahan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62 (17.3)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294 (82.7)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86 (24)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273 (76)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Hormozgan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26 (11.9)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193 (88.1)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40 (18.3)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179 (81.7)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Gilan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36 (17.6)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169 (82.4)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38 (18.5)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167 (81.5)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Alborz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21 (12.1)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153 (87.9)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28 (83.9)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146 (16.1)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 xml:space="preserve">Khorasan </w:t>
            </w: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Razavi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28 (16.5)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142 (83.5)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35 (20.6)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135 (79.4)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Kerman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24 (15.9)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127 (84.1)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33 (21.9)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118 (78.1)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Mazandaran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 (16.3)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87 (83.7)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 (15.4)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88 (84.6)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Kohgiluyeh and Boyer Ahmad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15 (15.6)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81 (84.4)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15 (15.6)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81 (84.4)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Yazd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11 (14.3)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66 (85.7)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 (20.8)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61 (79.2)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Other locations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7 (10.6)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59 (89.4)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12 (18.2)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54 (81.8)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East Azerbaijan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10 (16.1)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52 (83.9)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 (27.4)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45 (72.6)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Kermanshah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9 (17.3)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43 (82.7)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10 (19.2)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42 (80.8)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West Azerbaijan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 (16.3)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41 (83.7)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10 (20.4)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39 (79.6)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Golestan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9 (18.8)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39 (81.3)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 (16.7)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40 (83.3)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Lorestan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 (4.5)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42 (95.5)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 (11.4)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39 (88.6)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Qom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11 (26.2)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31 (73.8)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9 (21.4)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33 (78.6)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Sistan</w:t>
            </w:r>
            <w:proofErr w:type="spellEnd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Baluchestan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7 (17.5)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33 (82.5)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10 (25)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30 (75)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Hamedan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 (22.2)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28 (77.8)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 (22.2)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28 (77.8)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Markazi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 (16.7)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30 (83.3)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 (16.7)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30 (83.3)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Chaharmahal</w:t>
            </w:r>
            <w:proofErr w:type="spellEnd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Bakhtiari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 (21.4)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22 (78.6)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 (14.3)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24 (85.7)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Ghazvin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 (10.7)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25 (89.3)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 (28.6)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20 (71.4)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Kordestan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8 (32)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 (68)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10 (40)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(60)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Zanjan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5 (22.7)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 (77.3)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6 (27.3)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 (72.7)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Ardebil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 (13.6)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19 (86.4)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9 (40.9)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13 (59.1)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Semnan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7 (33.3)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13 (66.7)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 (19)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 (81)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Ilam</w:t>
            </w:r>
            <w:proofErr w:type="spellEnd"/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 (5.6)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17 (94.4)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3 (16.7)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15 (83.3)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Northern Khorasan</w:t>
            </w:r>
          </w:p>
        </w:tc>
        <w:tc>
          <w:tcPr>
            <w:tcW w:w="126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0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2 (12.5)</w:t>
            </w:r>
          </w:p>
        </w:tc>
        <w:tc>
          <w:tcPr>
            <w:tcW w:w="2239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14 (87.5)</w:t>
            </w:r>
          </w:p>
        </w:tc>
        <w:tc>
          <w:tcPr>
            <w:tcW w:w="236" w:type="dxa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 (25)</w:t>
            </w:r>
          </w:p>
        </w:tc>
        <w:tc>
          <w:tcPr>
            <w:tcW w:w="2115" w:type="dxa"/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12 (75)</w:t>
            </w:r>
          </w:p>
        </w:tc>
      </w:tr>
      <w:tr w:rsidR="00ED3870" w:rsidRPr="0020449D" w:rsidTr="008F49E8">
        <w:trPr>
          <w:trHeight w:val="346"/>
          <w:jc w:val="center"/>
        </w:trPr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Southern Khorasan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 (25)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12 (75)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4 (25)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vAlign w:val="center"/>
          </w:tcPr>
          <w:p w:rsidR="00ED3870" w:rsidRPr="0020449D" w:rsidRDefault="00ED3870" w:rsidP="00657F0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49D">
              <w:rPr>
                <w:rFonts w:ascii="Times New Roman" w:hAnsi="Times New Roman" w:cs="Times New Roman"/>
                <w:sz w:val="24"/>
                <w:szCs w:val="24"/>
              </w:rPr>
              <w:t>12 (75)</w:t>
            </w:r>
          </w:p>
        </w:tc>
      </w:tr>
    </w:tbl>
    <w:p w:rsidR="00ED3870" w:rsidRPr="0020449D" w:rsidRDefault="00ED3870" w:rsidP="00ED3870">
      <w:pPr>
        <w:rPr>
          <w:rFonts w:ascii="Times New Roman" w:hAnsi="Times New Roman" w:cs="Times New Roman"/>
          <w:sz w:val="24"/>
          <w:szCs w:val="24"/>
        </w:rPr>
      </w:pPr>
    </w:p>
    <w:p w:rsidR="00ED3870" w:rsidRPr="0020449D" w:rsidRDefault="00ED3870" w:rsidP="00ED3870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20449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048D0" w:rsidRDefault="009048D0"/>
    <w:sectPr w:rsidR="009048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BE2"/>
    <w:rsid w:val="004B3F4E"/>
    <w:rsid w:val="00634135"/>
    <w:rsid w:val="008F49E8"/>
    <w:rsid w:val="009048D0"/>
    <w:rsid w:val="009F5BE2"/>
    <w:rsid w:val="00E005BB"/>
    <w:rsid w:val="00ED3870"/>
    <w:rsid w:val="00F01480"/>
    <w:rsid w:val="00FE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64B295-B8C5-4DF4-9521-7EB176D2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D3870"/>
    <w:pPr>
      <w:spacing w:after="200" w:line="240" w:lineRule="auto"/>
    </w:pPr>
    <w:rPr>
      <w:rFonts w:cs="Times New Roman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2020-03-17T17:54:00Z</dcterms:created>
  <dcterms:modified xsi:type="dcterms:W3CDTF">2020-04-13T08:11:00Z</dcterms:modified>
</cp:coreProperties>
</file>