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9"/>
        <w:snapToGrid w:val="0"/>
        <w:spacing w:line="240" w:lineRule="auto"/>
        <w:jc w:val="left"/>
        <w:rPr>
          <w:b/>
          <w:sz w:val="24"/>
        </w:rPr>
      </w:pPr>
      <w:r>
        <w:rPr>
          <w:rFonts w:hint="eastAsia"/>
          <w:b/>
          <w:sz w:val="24"/>
        </w:rPr>
        <w:t>SUPPORTING INFORMATION</w:t>
      </w:r>
    </w:p>
    <w:p>
      <w:pPr>
        <w:pStyle w:val="19"/>
        <w:snapToGrid w:val="0"/>
        <w:spacing w:line="240" w:lineRule="auto"/>
        <w:jc w:val="left"/>
        <w:rPr>
          <w:b/>
          <w:sz w:val="24"/>
        </w:rPr>
      </w:pPr>
      <w:r>
        <w:rPr>
          <w:rFonts w:hint="eastAsia"/>
          <w:b/>
          <w:sz w:val="24"/>
        </w:rPr>
        <w:t xml:space="preserve">Dye </w:t>
      </w:r>
      <w:r>
        <w:rPr>
          <w:b/>
          <w:sz w:val="24"/>
          <w:szCs w:val="24"/>
        </w:rPr>
        <w:t>adsorption revisited</w:t>
      </w:r>
      <w:r>
        <w:rPr>
          <w:rFonts w:hint="eastAsia"/>
          <w:b/>
          <w:sz w:val="24"/>
        </w:rPr>
        <w:t>: Application of the cationic dye adsorption method for the quantitative determination of</w:t>
      </w:r>
      <w:r>
        <w:rPr>
          <w:b/>
          <w:sz w:val="24"/>
          <w:szCs w:val="24"/>
        </w:rPr>
        <w:t xml:space="preserve"> the</w:t>
      </w:r>
      <w:r>
        <w:rPr>
          <w:rFonts w:hint="eastAsia"/>
          <w:b/>
          <w:sz w:val="24"/>
        </w:rPr>
        <w:t xml:space="preserve"> acidic surface groups of nanocellulose materials</w:t>
      </w:r>
    </w:p>
    <w:p>
      <w:pPr>
        <w:pStyle w:val="20"/>
        <w:snapToGrid w:val="0"/>
        <w:spacing w:line="240" w:lineRule="auto"/>
        <w:jc w:val="left"/>
        <w:rPr>
          <w:rFonts w:ascii="Times New Roman" w:hAnsi="Times New Roman"/>
          <w:i w:val="0"/>
        </w:rPr>
      </w:pPr>
      <w:r>
        <w:rPr>
          <w:rFonts w:ascii="Times New Roman" w:hAnsi="Times New Roman"/>
          <w:i w:val="0"/>
        </w:rPr>
        <w:t>Jun Araki</w:t>
      </w:r>
      <w:r>
        <w:rPr>
          <w:rFonts w:ascii="Times New Roman" w:hAnsi="Times New Roman"/>
          <w:i w:val="0"/>
          <w:vertAlign w:val="superscript"/>
        </w:rPr>
        <w:t>†</w:t>
      </w:r>
      <w:r>
        <w:rPr>
          <w:rFonts w:ascii="Times New Roman" w:hAnsi="Times New Roman"/>
          <w:i w:val="0"/>
        </w:rPr>
        <w:t>*</w:t>
      </w:r>
    </w:p>
    <w:p>
      <w:pPr>
        <w:pStyle w:val="21"/>
        <w:snapToGrid w:val="0"/>
        <w:spacing w:line="240" w:lineRule="auto"/>
        <w:jc w:val="left"/>
        <w:rPr>
          <w:rFonts w:ascii="Times New Roman" w:hAnsi="Times New Roman"/>
        </w:rPr>
      </w:pPr>
      <w:r>
        <w:rPr>
          <w:rFonts w:ascii="Times New Roman" w:hAnsi="Times New Roman"/>
        </w:rPr>
        <w:t>†Faculty of Textile Science and Technology, Shinshu University, Tokida 3–15–1, Ueda, Nagano prefecture, 386–8567, Japan</w:t>
      </w:r>
    </w:p>
    <w:p>
      <w:pPr>
        <w:snapToGrid w:val="0"/>
        <w:spacing w:after="60" w:line="276" w:lineRule="auto"/>
        <w:ind w:firstLine="181"/>
        <w:jc w:val="left"/>
        <w:rPr>
          <w:rFonts w:ascii="Times New Roman" w:hAnsi="Times New Roman"/>
          <w:b/>
        </w:rPr>
      </w:pPr>
    </w:p>
    <w:p>
      <w:pPr>
        <w:snapToGrid w:val="0"/>
        <w:spacing w:after="60" w:line="276" w:lineRule="auto"/>
        <w:ind w:firstLine="181"/>
        <w:jc w:val="left"/>
        <w:rPr>
          <w:rFonts w:ascii="Times New Roman" w:hAnsi="Times New Roman"/>
          <w:b/>
        </w:rPr>
      </w:pPr>
      <w:r>
        <w:rPr>
          <w:rFonts w:hint="eastAsia" w:ascii="Times New Roman" w:hAnsi="Times New Roman"/>
          <w:b/>
        </w:rPr>
        <w:t>Materials and Methods</w:t>
      </w:r>
    </w:p>
    <w:p>
      <w:pPr>
        <w:snapToGrid w:val="0"/>
        <w:spacing w:after="60" w:line="276" w:lineRule="auto"/>
        <w:ind w:firstLine="181"/>
        <w:jc w:val="left"/>
        <w:rPr>
          <w:rFonts w:ascii="Times New Roman" w:hAnsi="Times New Roman"/>
        </w:rPr>
      </w:pPr>
      <w:r>
        <w:rPr>
          <w:rFonts w:ascii="Times New Roman" w:hAnsi="Times New Roman"/>
          <w:i/>
        </w:rPr>
        <w:t>Materials and equipment.</w:t>
      </w:r>
      <w:r>
        <w:rPr>
          <w:rFonts w:ascii="Times New Roman" w:hAnsi="Times New Roman"/>
        </w:rPr>
        <w:tab/>
      </w:r>
      <w:r>
        <w:rPr>
          <w:rFonts w:ascii="Times New Roman" w:hAnsi="Times New Roman"/>
        </w:rPr>
        <w:t xml:space="preserve">Several cellulose starting materials were used. Cotton-derived cellulose powders were obtained by hydrolyzing </w:t>
      </w:r>
      <w:r>
        <w:rPr>
          <w:rFonts w:ascii="Times New Roman" w:hAnsi="Times New Roman"/>
          <w:szCs w:val="24"/>
        </w:rPr>
        <w:t xml:space="preserve">the </w:t>
      </w:r>
      <w:r>
        <w:rPr>
          <w:rFonts w:ascii="Times New Roman" w:hAnsi="Times New Roman"/>
        </w:rPr>
        <w:t>absorbent cotton (S Cotton, Suzuran Sanitary Goods Co. Ltd., Nagoya, Japan) using 2.5 M hydrochloric acid</w:t>
      </w:r>
      <w:r>
        <w:rPr>
          <w:rFonts w:ascii="Times New Roman" w:hAnsi="Times New Roman"/>
          <w:szCs w:val="24"/>
        </w:rPr>
        <w:t>,</w:t>
      </w:r>
      <w:r>
        <w:rPr>
          <w:rFonts w:ascii="Times New Roman" w:hAnsi="Times New Roman"/>
        </w:rPr>
        <w:t xml:space="preserve"> as </w:t>
      </w:r>
      <w:r>
        <w:rPr>
          <w:rFonts w:ascii="Times New Roman" w:hAnsi="Times New Roman"/>
          <w:szCs w:val="24"/>
        </w:rPr>
        <w:t xml:space="preserve">reported </w:t>
      </w:r>
      <w:r>
        <w:rPr>
          <w:rFonts w:ascii="Times New Roman" w:hAnsi="Times New Roman"/>
        </w:rPr>
        <w:t xml:space="preserve">previously </w:t>
      </w:r>
      <w:r>
        <w:rPr>
          <w:rFonts w:ascii="Times New Roman" w:hAnsi="Times New Roman"/>
          <w:szCs w:val="24"/>
        </w:rPr>
        <w:t>(Araki</w:t>
      </w:r>
      <w:r>
        <w:rPr>
          <w:rFonts w:ascii="Times New Roman" w:hAnsi="Times New Roman"/>
          <w:szCs w:val="24"/>
        </w:rPr>
        <w:t xml:space="preserve"> et al.</w:t>
      </w:r>
      <w:r>
        <w:rPr>
          <w:rFonts w:ascii="Times New Roman" w:hAnsi="Times New Roman"/>
          <w:szCs w:val="24"/>
        </w:rPr>
        <w:t xml:space="preserve"> 2001),</w:t>
      </w:r>
      <w:r>
        <w:rPr>
          <w:rFonts w:ascii="Times New Roman" w:hAnsi="Times New Roman"/>
        </w:rPr>
        <w:t xml:space="preserve"> followed by freeze-drying to </w:t>
      </w:r>
      <w:r>
        <w:rPr>
          <w:rFonts w:ascii="Times New Roman" w:hAnsi="Times New Roman"/>
          <w:szCs w:val="24"/>
        </w:rPr>
        <w:t>obtain</w:t>
      </w:r>
      <w:r>
        <w:rPr>
          <w:rFonts w:ascii="Times New Roman" w:hAnsi="Times New Roman"/>
        </w:rPr>
        <w:t xml:space="preserve"> fine dry cellulose powders. Wood-derived microcrystalline cellulose (MCC) powders were purchased from Nacalai Tesque Inc. (Kyoto, Japan). Softwood bleached kraft pulp (SBKP) obtained from Alabama pine was donated </w:t>
      </w:r>
      <w:r>
        <w:rPr>
          <w:rFonts w:ascii="Times New Roman" w:hAnsi="Times New Roman"/>
          <w:szCs w:val="24"/>
        </w:rPr>
        <w:t>by</w:t>
      </w:r>
      <w:r>
        <w:rPr>
          <w:rFonts w:ascii="Times New Roman" w:hAnsi="Times New Roman"/>
        </w:rPr>
        <w:t xml:space="preserve"> Azumi Filter Paper Co. Ltd., Osaka, Japan. Silica gel particles with surface mercapto (–SH) groups (Silia</w:t>
      </w:r>
      <w:r>
        <w:rPr>
          <w:rFonts w:ascii="Times New Roman" w:hAnsi="Times New Roman"/>
          <w:i/>
        </w:rPr>
        <w:t>MetS</w:t>
      </w:r>
      <w:r>
        <w:rPr>
          <w:rFonts w:ascii="Times New Roman" w:hAnsi="Times New Roman"/>
          <w:vertAlign w:val="superscript"/>
        </w:rPr>
        <w:t xml:space="preserve">® </w:t>
      </w:r>
      <w:r>
        <w:rPr>
          <w:rFonts w:ascii="Times New Roman" w:hAnsi="Times New Roman"/>
        </w:rPr>
        <w:t xml:space="preserve">Thiol, 1.52 mmol/g, –SH groups) were purchased from Silicycle Inc. (Quebec, Canada). Toluidine blue O (TBO, commercially known as “Basic Blue 17”) was purchased from Tokyo Chemical Industry Co. Ltd. (Tokyo, Japan). </w:t>
      </w:r>
      <w:r>
        <w:rPr>
          <w:rFonts w:ascii="Times New Roman" w:hAnsi="Times New Roman"/>
          <w:szCs w:val="24"/>
        </w:rPr>
        <w:t xml:space="preserve">The </w:t>
      </w:r>
      <w:r>
        <w:rPr>
          <w:rFonts w:ascii="Times New Roman" w:hAnsi="Times New Roman"/>
          <w:szCs w:val="24"/>
        </w:rPr>
        <w:t xml:space="preserve">other </w:t>
      </w:r>
      <w:r>
        <w:rPr>
          <w:rFonts w:ascii="Times New Roman" w:hAnsi="Times New Roman"/>
        </w:rPr>
        <w:t>chemical reagents were purchased from Wako Pure Chemical Industries Ltd. (Osaka, Japan) or Nacalai Tesque Inc. (Kyoto, Japan</w:t>
      </w:r>
      <w:r>
        <w:rPr>
          <w:rFonts w:ascii="Times New Roman" w:hAnsi="Times New Roman"/>
          <w:szCs w:val="24"/>
        </w:rPr>
        <w:t>),</w:t>
      </w:r>
      <w:r>
        <w:rPr>
          <w:rFonts w:ascii="Times New Roman" w:hAnsi="Times New Roman"/>
        </w:rPr>
        <w:t xml:space="preserve"> unless stated otherwise. </w:t>
      </w:r>
      <w:r>
        <w:rPr>
          <w:rFonts w:ascii="Times New Roman" w:hAnsi="Times New Roman"/>
          <w:szCs w:val="24"/>
        </w:rPr>
        <w:t>An aqueous</w:t>
      </w:r>
      <w:r>
        <w:rPr>
          <w:rFonts w:ascii="Times New Roman" w:hAnsi="Times New Roman"/>
        </w:rPr>
        <w:t xml:space="preserve"> hydrochloric acid </w:t>
      </w:r>
      <w:r>
        <w:rPr>
          <w:rFonts w:ascii="Times New Roman" w:hAnsi="Times New Roman"/>
          <w:bCs/>
          <w:szCs w:val="24"/>
        </w:rPr>
        <w:t xml:space="preserve">solution </w:t>
      </w:r>
      <w:r>
        <w:rPr>
          <w:rFonts w:ascii="Times New Roman" w:hAnsi="Times New Roman"/>
        </w:rPr>
        <w:t xml:space="preserve">(1 mol/L) was prepared by diluting 8.45 mL of </w:t>
      </w:r>
      <w:r>
        <w:rPr>
          <w:rFonts w:ascii="Times New Roman" w:hAnsi="Times New Roman"/>
          <w:bCs/>
          <w:szCs w:val="24"/>
        </w:rPr>
        <w:t>commercial</w:t>
      </w:r>
      <w:r>
        <w:rPr>
          <w:rFonts w:ascii="Times New Roman" w:hAnsi="Times New Roman"/>
          <w:szCs w:val="24"/>
        </w:rPr>
        <w:t xml:space="preserve"> </w:t>
      </w:r>
      <w:r>
        <w:rPr>
          <w:rFonts w:ascii="Times New Roman" w:hAnsi="Times New Roman"/>
        </w:rPr>
        <w:t>concentrated hydrochloric acid up to 100 mL with deionized water. The 10</w:t>
      </w:r>
      <w:r>
        <w:rPr>
          <w:rFonts w:ascii="Times New Roman" w:hAnsi="Times New Roman"/>
        </w:rPr>
        <w:noBreakHyphen/>
      </w:r>
      <w:r>
        <w:rPr>
          <w:rFonts w:ascii="Times New Roman" w:hAnsi="Times New Roman"/>
        </w:rPr>
        <w:t>fold dilution of the 1 mol/L HCl with deionized water yielded 0.1 mol/L aqueous HCl. Deionized water was used throughout the study.</w:t>
      </w:r>
    </w:p>
    <w:p>
      <w:pPr>
        <w:snapToGrid w:val="0"/>
        <w:spacing w:after="60" w:line="276" w:lineRule="auto"/>
        <w:ind w:firstLine="181"/>
        <w:jc w:val="left"/>
        <w:rPr>
          <w:rFonts w:ascii="Times New Roman" w:hAnsi="Times New Roman"/>
        </w:rPr>
      </w:pPr>
      <w:r>
        <w:rPr>
          <w:rFonts w:ascii="Times New Roman" w:hAnsi="Times New Roman"/>
        </w:rPr>
        <w:t xml:space="preserve">It is quite vital to avoid </w:t>
      </w:r>
      <w:r>
        <w:rPr>
          <w:rFonts w:ascii="Times New Roman" w:hAnsi="Times New Roman"/>
          <w:szCs w:val="24"/>
        </w:rPr>
        <w:t>the us</w:t>
      </w:r>
      <w:r>
        <w:rPr>
          <w:rFonts w:ascii="Times New Roman" w:hAnsi="Times New Roman"/>
          <w:szCs w:val="24"/>
        </w:rPr>
        <w:t>es</w:t>
      </w:r>
      <w:r>
        <w:rPr>
          <w:rFonts w:ascii="Times New Roman" w:hAnsi="Times New Roman"/>
          <w:szCs w:val="24"/>
        </w:rPr>
        <w:t xml:space="preserve"> of</w:t>
      </w:r>
      <w:r>
        <w:rPr>
          <w:rFonts w:ascii="Times New Roman" w:hAnsi="Times New Roman"/>
        </w:rPr>
        <w:t xml:space="preserve"> any glassware during the </w:t>
      </w:r>
      <w:r>
        <w:rPr>
          <w:rFonts w:ascii="Times New Roman" w:hAnsi="Times New Roman"/>
          <w:szCs w:val="24"/>
        </w:rPr>
        <w:t>measurements because</w:t>
      </w:r>
      <w:r>
        <w:rPr>
          <w:rFonts w:ascii="Times New Roman" w:hAnsi="Times New Roman"/>
        </w:rPr>
        <w:t xml:space="preserve"> cationic dyes</w:t>
      </w:r>
      <w:r>
        <w:rPr>
          <w:rFonts w:ascii="Times New Roman" w:hAnsi="Times New Roman"/>
          <w:szCs w:val="24"/>
        </w:rPr>
        <w:t>,</w:t>
      </w:r>
      <w:r>
        <w:rPr>
          <w:rFonts w:ascii="Times New Roman" w:hAnsi="Times New Roman"/>
        </w:rPr>
        <w:t xml:space="preserve"> such as TBO and methylene blue (MB</w:t>
      </w:r>
      <w:r>
        <w:rPr>
          <w:rFonts w:ascii="Times New Roman" w:hAnsi="Times New Roman"/>
          <w:szCs w:val="24"/>
        </w:rPr>
        <w:t>),</w:t>
      </w:r>
      <w:r>
        <w:rPr>
          <w:rFonts w:ascii="Times New Roman" w:hAnsi="Times New Roman"/>
        </w:rPr>
        <w:t xml:space="preserve"> are appreciably adsorbed onto </w:t>
      </w:r>
      <w:r>
        <w:rPr>
          <w:rFonts w:ascii="Times New Roman" w:hAnsi="Times New Roman"/>
          <w:szCs w:val="24"/>
        </w:rPr>
        <w:t xml:space="preserve">the </w:t>
      </w:r>
      <w:r>
        <w:rPr>
          <w:rFonts w:ascii="Times New Roman" w:hAnsi="Times New Roman"/>
        </w:rPr>
        <w:t xml:space="preserve">negatively charged glass surfaces, </w:t>
      </w:r>
      <w:r>
        <w:rPr>
          <w:rFonts w:ascii="Times New Roman" w:hAnsi="Times New Roman"/>
          <w:szCs w:val="24"/>
        </w:rPr>
        <w:t xml:space="preserve">affecting </w:t>
      </w:r>
      <w:r>
        <w:rPr>
          <w:rFonts w:ascii="Times New Roman" w:hAnsi="Times New Roman"/>
        </w:rPr>
        <w:t xml:space="preserve">the resulting </w:t>
      </w:r>
      <w:r>
        <w:rPr>
          <w:rFonts w:ascii="Times New Roman" w:hAnsi="Times New Roman"/>
          <w:szCs w:val="24"/>
        </w:rPr>
        <w:t>TBO concentrations</w:t>
      </w:r>
      <w:r>
        <w:rPr>
          <w:rFonts w:ascii="Times New Roman" w:hAnsi="Times New Roman"/>
        </w:rPr>
        <w:t xml:space="preserve">. Preliminary examinations indicated that storage of the TBO solution with an absorbance of up to 1.0 in glass vials for a few days caused </w:t>
      </w:r>
      <w:r>
        <w:rPr>
          <w:rFonts w:ascii="Times New Roman" w:hAnsi="Times New Roman"/>
          <w:szCs w:val="24"/>
        </w:rPr>
        <w:t xml:space="preserve">the </w:t>
      </w:r>
      <w:r>
        <w:rPr>
          <w:rFonts w:ascii="Times New Roman" w:hAnsi="Times New Roman"/>
        </w:rPr>
        <w:t xml:space="preserve">complete adsorption of the contained TBO molecules and resulted in colorless solutions. The details are explained </w:t>
      </w:r>
      <w:r>
        <w:rPr>
          <w:rFonts w:ascii="Times New Roman" w:hAnsi="Times New Roman"/>
          <w:szCs w:val="24"/>
        </w:rPr>
        <w:t>below.</w:t>
      </w:r>
      <w:r>
        <w:rPr>
          <w:rFonts w:ascii="Times New Roman" w:hAnsi="Times New Roman"/>
        </w:rPr>
        <w:t xml:space="preserve"> All </w:t>
      </w:r>
      <w:r>
        <w:rPr>
          <w:rFonts w:ascii="Times New Roman" w:hAnsi="Times New Roman"/>
          <w:szCs w:val="24"/>
        </w:rPr>
        <w:t xml:space="preserve">the </w:t>
      </w:r>
      <w:r>
        <w:rPr>
          <w:rFonts w:ascii="Times New Roman" w:hAnsi="Times New Roman"/>
        </w:rPr>
        <w:t xml:space="preserve">pipetting operations were conducted using </w:t>
      </w:r>
      <w:r>
        <w:rPr>
          <w:rFonts w:ascii="Times New Roman" w:hAnsi="Times New Roman"/>
          <w:szCs w:val="24"/>
        </w:rPr>
        <w:t>well-</w:t>
      </w:r>
      <w:r>
        <w:rPr>
          <w:rFonts w:ascii="Times New Roman" w:hAnsi="Times New Roman"/>
        </w:rPr>
        <w:t>calibrated micro/</w:t>
      </w:r>
      <w:r>
        <w:rPr>
          <w:rFonts w:ascii="Times New Roman" w:hAnsi="Times New Roman"/>
          <w:szCs w:val="24"/>
        </w:rPr>
        <w:t>macropipettes</w:t>
      </w:r>
      <w:r>
        <w:rPr>
          <w:rFonts w:ascii="Times New Roman" w:hAnsi="Times New Roman"/>
        </w:rPr>
        <w:t xml:space="preserve"> with polypropylene (PP) tips</w:t>
      </w:r>
      <w:r>
        <w:rPr>
          <w:rFonts w:ascii="Times New Roman" w:hAnsi="Times New Roman"/>
          <w:szCs w:val="24"/>
        </w:rPr>
        <w:t>,</w:t>
      </w:r>
      <w:r>
        <w:rPr>
          <w:rFonts w:ascii="Times New Roman" w:hAnsi="Times New Roman"/>
        </w:rPr>
        <w:t xml:space="preserve"> unless otherwise noted.</w:t>
      </w:r>
    </w:p>
    <w:p>
      <w:pPr>
        <w:snapToGrid w:val="0"/>
        <w:spacing w:after="60" w:line="276" w:lineRule="auto"/>
        <w:ind w:firstLine="181"/>
        <w:jc w:val="left"/>
        <w:rPr>
          <w:rFonts w:ascii="Times New Roman" w:hAnsi="Times New Roman"/>
        </w:rPr>
      </w:pPr>
    </w:p>
    <w:p>
      <w:pPr>
        <w:snapToGrid w:val="0"/>
        <w:spacing w:after="60" w:line="276" w:lineRule="auto"/>
        <w:ind w:firstLine="181"/>
        <w:jc w:val="left"/>
        <w:rPr>
          <w:rFonts w:ascii="Times New Roman" w:hAnsi="Times New Roman"/>
        </w:rPr>
      </w:pPr>
      <w:r>
        <w:rPr>
          <w:rFonts w:ascii="Times New Roman" w:hAnsi="Times New Roman"/>
          <w:i/>
        </w:rPr>
        <w:t>Preparation of the TBO solution.</w:t>
      </w:r>
      <w:r>
        <w:rPr>
          <w:rFonts w:ascii="Times New Roman" w:hAnsi="Times New Roman"/>
        </w:rPr>
        <w:tab/>
      </w:r>
      <w:r>
        <w:rPr>
          <w:rFonts w:ascii="Times New Roman" w:hAnsi="Times New Roman"/>
        </w:rPr>
        <w:t xml:space="preserve">TBO was purified </w:t>
      </w:r>
      <w:r>
        <w:rPr>
          <w:rFonts w:ascii="Times New Roman" w:hAnsi="Times New Roman"/>
          <w:szCs w:val="24"/>
        </w:rPr>
        <w:t>via</w:t>
      </w:r>
      <w:r>
        <w:rPr>
          <w:rFonts w:ascii="Times New Roman" w:hAnsi="Times New Roman"/>
        </w:rPr>
        <w:t xml:space="preserve"> repeated recrystallization</w:t>
      </w:r>
      <w:r>
        <w:rPr>
          <w:rFonts w:ascii="Times New Roman" w:hAnsi="Times New Roman"/>
          <w:bCs/>
          <w:szCs w:val="24"/>
        </w:rPr>
        <w:t>,</w:t>
      </w:r>
      <w:r>
        <w:rPr>
          <w:rFonts w:ascii="Times New Roman" w:hAnsi="Times New Roman"/>
        </w:rPr>
        <w:t xml:space="preserve"> as </w:t>
      </w:r>
      <w:r>
        <w:rPr>
          <w:rFonts w:ascii="Times New Roman" w:hAnsi="Times New Roman"/>
          <w:bCs/>
          <w:szCs w:val="24"/>
        </w:rPr>
        <w:t xml:space="preserve">reported </w:t>
      </w:r>
      <w:r>
        <w:rPr>
          <w:rFonts w:ascii="Times New Roman" w:hAnsi="Times New Roman"/>
        </w:rPr>
        <w:t xml:space="preserve">previously </w:t>
      </w:r>
      <w:r>
        <w:rPr>
          <w:rFonts w:ascii="Times New Roman" w:hAnsi="Times New Roman"/>
          <w:bCs/>
          <w:szCs w:val="24"/>
        </w:rPr>
        <w:t>(Pal &amp; Schubert, 1962)</w:t>
      </w:r>
      <w:r>
        <w:rPr>
          <w:rFonts w:ascii="Times New Roman" w:hAnsi="Times New Roman"/>
          <w:szCs w:val="24"/>
        </w:rPr>
        <w:t>.</w:t>
      </w:r>
      <w:r>
        <w:rPr>
          <w:rFonts w:ascii="Times New Roman" w:hAnsi="Times New Roman"/>
        </w:rPr>
        <w:t xml:space="preserve"> First, a stock solution of TBO was prepared as follows</w:t>
      </w:r>
      <w:r>
        <w:rPr>
          <w:rFonts w:ascii="Times New Roman" w:hAnsi="Times New Roman"/>
          <w:szCs w:val="24"/>
        </w:rPr>
        <w:t>. The</w:t>
      </w:r>
      <w:r>
        <w:rPr>
          <w:rFonts w:ascii="Times New Roman" w:hAnsi="Times New Roman"/>
        </w:rPr>
        <w:t xml:space="preserve"> recrystallized, anhydrous TBO (0.1870 g, 5.0 × 10</w:t>
      </w:r>
      <w:r>
        <w:rPr>
          <w:rFonts w:ascii="Times New Roman" w:hAnsi="Times New Roman"/>
          <w:vertAlign w:val="superscript"/>
        </w:rPr>
        <w:t>−4</w:t>
      </w:r>
      <w:r>
        <w:rPr>
          <w:rFonts w:ascii="Times New Roman" w:hAnsi="Times New Roman"/>
        </w:rPr>
        <w:t xml:space="preserve"> mol) was stirred with deionized water (50–60 mL) in a Teflon</w:t>
      </w:r>
      <w:r>
        <w:rPr>
          <w:rFonts w:ascii="Times New Roman" w:hAnsi="Times New Roman"/>
          <w:vertAlign w:val="superscript"/>
        </w:rPr>
        <w:t>®</w:t>
      </w:r>
      <w:r>
        <w:rPr>
          <w:rFonts w:ascii="Times New Roman" w:hAnsi="Times New Roman"/>
        </w:rPr>
        <w:t xml:space="preserve"> beaker overnight at room temperature. </w:t>
      </w:r>
      <w:r>
        <w:rPr>
          <w:rFonts w:ascii="Times New Roman" w:hAnsi="Times New Roman"/>
          <w:szCs w:val="24"/>
        </w:rPr>
        <w:t>The resultant</w:t>
      </w:r>
      <w:r>
        <w:rPr>
          <w:rFonts w:ascii="Times New Roman" w:hAnsi="Times New Roman"/>
        </w:rPr>
        <w:t xml:space="preserve"> solution </w:t>
      </w:r>
      <w:r>
        <w:rPr>
          <w:rFonts w:ascii="Times New Roman" w:hAnsi="Times New Roman"/>
          <w:szCs w:val="24"/>
        </w:rPr>
        <w:t xml:space="preserve">exhibiting slight insolubilities </w:t>
      </w:r>
      <w:r>
        <w:rPr>
          <w:rFonts w:ascii="Times New Roman" w:hAnsi="Times New Roman"/>
        </w:rPr>
        <w:t>were filtered off using No. 5B filter paper,</w:t>
      </w:r>
      <w:r>
        <w:rPr>
          <w:rFonts w:ascii="Times New Roman" w:hAnsi="Times New Roman"/>
          <w:szCs w:val="24"/>
        </w:rPr>
        <w:t xml:space="preserve"> followed by</w:t>
      </w:r>
      <w:r>
        <w:rPr>
          <w:rFonts w:ascii="Times New Roman" w:hAnsi="Times New Roman"/>
        </w:rPr>
        <w:t xml:space="preserve"> dilution using a 100</w:t>
      </w:r>
      <w:r>
        <w:rPr>
          <w:rFonts w:ascii="Times New Roman" w:hAnsi="Times New Roman"/>
          <w:szCs w:val="24"/>
        </w:rPr>
        <w:t>-</w:t>
      </w:r>
      <w:r>
        <w:rPr>
          <w:rFonts w:ascii="Times New Roman" w:hAnsi="Times New Roman"/>
        </w:rPr>
        <w:t xml:space="preserve">mL PP volumetric flask </w:t>
      </w:r>
      <w:r>
        <w:rPr>
          <w:rFonts w:ascii="Times New Roman" w:hAnsi="Times New Roman"/>
          <w:szCs w:val="24"/>
        </w:rPr>
        <w:t>to yield an approximately</w:t>
      </w:r>
      <w:r>
        <w:rPr>
          <w:rFonts w:ascii="Times New Roman" w:hAnsi="Times New Roman"/>
        </w:rPr>
        <w:t xml:space="preserve"> 5.0 × 10</w:t>
      </w:r>
      <w:r>
        <w:rPr>
          <w:rFonts w:ascii="Times New Roman" w:hAnsi="Times New Roman"/>
          <w:vertAlign w:val="superscript"/>
        </w:rPr>
        <w:t>−3</w:t>
      </w:r>
      <w:r>
        <w:rPr>
          <w:rFonts w:ascii="Times New Roman" w:hAnsi="Times New Roman"/>
        </w:rPr>
        <w:t xml:space="preserve"> mol/L solution. The concentration of this stock TBO solution </w:t>
      </w:r>
      <w:r>
        <w:rPr>
          <w:rFonts w:ascii="Times New Roman" w:hAnsi="Times New Roman"/>
          <w:szCs w:val="24"/>
        </w:rPr>
        <w:t>can be precisely</w:t>
      </w:r>
      <w:r>
        <w:rPr>
          <w:rFonts w:ascii="Times New Roman" w:hAnsi="Times New Roman"/>
        </w:rPr>
        <w:t xml:space="preserve"> determined by drying small portions (~5 mL) of the solution at 105 °C overnight. The dye solution used for </w:t>
      </w:r>
      <w:r>
        <w:rPr>
          <w:rFonts w:ascii="Times New Roman" w:hAnsi="Times New Roman"/>
          <w:szCs w:val="24"/>
        </w:rPr>
        <w:t xml:space="preserve">the </w:t>
      </w:r>
      <w:r>
        <w:rPr>
          <w:rFonts w:ascii="Times New Roman" w:hAnsi="Times New Roman"/>
        </w:rPr>
        <w:t>measurements was prepared by diluting 10</w:t>
      </w:r>
      <w:r>
        <w:rPr>
          <w:rFonts w:ascii="Times New Roman" w:hAnsi="Times New Roman"/>
          <w:szCs w:val="24"/>
        </w:rPr>
        <w:t xml:space="preserve"> </w:t>
      </w:r>
      <w:r>
        <w:rPr>
          <w:rFonts w:ascii="Times New Roman" w:hAnsi="Times New Roman"/>
        </w:rPr>
        <w:t xml:space="preserve">mL of the stock </w:t>
      </w:r>
      <w:r>
        <w:rPr>
          <w:rFonts w:ascii="Times New Roman" w:hAnsi="Times New Roman"/>
          <w:szCs w:val="24"/>
        </w:rPr>
        <w:t>solution, pipetted with a 10-mL PP volumetric pipette, up</w:t>
      </w:r>
      <w:r>
        <w:rPr>
          <w:rFonts w:ascii="Times New Roman" w:hAnsi="Times New Roman"/>
        </w:rPr>
        <w:t xml:space="preserve"> to 100 mL </w:t>
      </w:r>
      <w:r>
        <w:rPr>
          <w:rFonts w:ascii="Times New Roman" w:hAnsi="Times New Roman"/>
          <w:szCs w:val="24"/>
        </w:rPr>
        <w:t>using</w:t>
      </w:r>
      <w:r>
        <w:rPr>
          <w:rFonts w:ascii="Times New Roman" w:hAnsi="Times New Roman"/>
        </w:rPr>
        <w:t xml:space="preserve"> a 100</w:t>
      </w:r>
      <w:r>
        <w:rPr>
          <w:rFonts w:ascii="Times New Roman" w:hAnsi="Times New Roman"/>
          <w:szCs w:val="24"/>
        </w:rPr>
        <w:t>-</w:t>
      </w:r>
      <w:r>
        <w:rPr>
          <w:rFonts w:ascii="Times New Roman" w:hAnsi="Times New Roman"/>
        </w:rPr>
        <w:t xml:space="preserve">mL PP volumetric flask. The TBO concentration </w:t>
      </w:r>
      <w:r>
        <w:rPr>
          <w:rFonts w:ascii="Times New Roman" w:hAnsi="Times New Roman"/>
          <w:szCs w:val="24"/>
        </w:rPr>
        <w:t>of</w:t>
      </w:r>
      <w:r>
        <w:rPr>
          <w:rFonts w:ascii="Times New Roman" w:hAnsi="Times New Roman"/>
        </w:rPr>
        <w:t xml:space="preserve"> the obtained dye solution was assumed to be 1/10</w:t>
      </w:r>
      <w:r>
        <w:rPr>
          <w:rFonts w:ascii="Times New Roman" w:hAnsi="Times New Roman"/>
          <w:vertAlign w:val="baseline"/>
        </w:rPr>
        <w:t>th</w:t>
      </w:r>
      <w:r>
        <w:rPr>
          <w:rFonts w:ascii="Times New Roman" w:hAnsi="Times New Roman"/>
        </w:rPr>
        <w:t xml:space="preserve"> of </w:t>
      </w:r>
      <w:r>
        <w:rPr>
          <w:rFonts w:ascii="Times New Roman" w:hAnsi="Times New Roman"/>
          <w:szCs w:val="24"/>
        </w:rPr>
        <w:t xml:space="preserve">that of </w:t>
      </w:r>
      <w:r>
        <w:rPr>
          <w:rFonts w:ascii="Times New Roman" w:hAnsi="Times New Roman"/>
        </w:rPr>
        <w:t xml:space="preserve">the stock solution. The diluted dye and stock solutions were stored in </w:t>
      </w:r>
      <w:r>
        <w:rPr>
          <w:rFonts w:hint="eastAsia" w:ascii="Times New Roman" w:hAnsi="Times New Roman"/>
          <w:lang w:eastAsia="ja-JP"/>
        </w:rPr>
        <w:t xml:space="preserve">polyethylene </w:t>
      </w:r>
      <w:r>
        <w:rPr>
          <w:rFonts w:ascii="Times New Roman" w:hAnsi="Times New Roman"/>
          <w:lang w:eastAsia="ja-JP"/>
        </w:rPr>
        <w:t>(</w:t>
      </w:r>
      <w:r>
        <w:rPr>
          <w:rFonts w:ascii="Times New Roman" w:hAnsi="Times New Roman"/>
        </w:rPr>
        <w:t>PE) bottles with an inner cap and PTFE liner coating, which were then sealed with Parafilm</w:t>
      </w:r>
      <w:r>
        <w:rPr>
          <w:rFonts w:ascii="Times New Roman" w:hAnsi="Times New Roman"/>
          <w:vertAlign w:val="superscript"/>
        </w:rPr>
        <w:t>®</w:t>
      </w:r>
      <w:r>
        <w:rPr>
          <w:rFonts w:ascii="Times New Roman" w:hAnsi="Times New Roman"/>
        </w:rPr>
        <w:t xml:space="preserve"> and kept in the dark. </w:t>
      </w:r>
      <w:r>
        <w:rPr>
          <w:rFonts w:ascii="Times New Roman" w:hAnsi="Times New Roman"/>
          <w:szCs w:val="24"/>
        </w:rPr>
        <w:t>The</w:t>
      </w:r>
      <w:r>
        <w:rPr>
          <w:rFonts w:ascii="Times New Roman" w:hAnsi="Times New Roman"/>
        </w:rPr>
        <w:t xml:space="preserve"> dye </w:t>
      </w:r>
      <w:r>
        <w:rPr>
          <w:rFonts w:ascii="Times New Roman" w:hAnsi="Times New Roman"/>
          <w:szCs w:val="24"/>
        </w:rPr>
        <w:t>solution</w:t>
      </w:r>
      <w:r>
        <w:rPr>
          <w:rFonts w:ascii="Times New Roman" w:hAnsi="Times New Roman"/>
        </w:rPr>
        <w:t xml:space="preserve"> prepared as above </w:t>
      </w:r>
      <w:r>
        <w:rPr>
          <w:rFonts w:ascii="Times New Roman" w:hAnsi="Times New Roman"/>
          <w:szCs w:val="24"/>
        </w:rPr>
        <w:t xml:space="preserve">and the stock solution </w:t>
      </w:r>
      <w:r>
        <w:rPr>
          <w:rFonts w:ascii="Times New Roman" w:hAnsi="Times New Roman"/>
        </w:rPr>
        <w:t>can be used for several months.</w:t>
      </w:r>
    </w:p>
    <w:p>
      <w:pPr>
        <w:snapToGrid w:val="0"/>
        <w:spacing w:after="60" w:line="276" w:lineRule="auto"/>
        <w:ind w:firstLine="181"/>
        <w:jc w:val="left"/>
        <w:rPr>
          <w:rFonts w:ascii="Times New Roman" w:hAnsi="Times New Roman"/>
        </w:rPr>
      </w:pPr>
    </w:p>
    <w:p>
      <w:pPr>
        <w:snapToGrid w:val="0"/>
        <w:spacing w:after="60" w:line="276" w:lineRule="auto"/>
        <w:ind w:firstLine="181"/>
        <w:jc w:val="left"/>
        <w:rPr>
          <w:rFonts w:ascii="Times New Roman" w:hAnsi="Times New Roman"/>
        </w:rPr>
      </w:pPr>
      <w:r>
        <w:rPr>
          <w:rFonts w:ascii="Times New Roman" w:hAnsi="Times New Roman"/>
          <w:i/>
        </w:rPr>
        <w:t xml:space="preserve">Preparation of various </w:t>
      </w:r>
      <w:r>
        <w:rPr>
          <w:rFonts w:ascii="Times New Roman" w:hAnsi="Times New Roman"/>
          <w:i/>
          <w:szCs w:val="24"/>
        </w:rPr>
        <w:t xml:space="preserve">types of </w:t>
      </w:r>
      <w:r>
        <w:rPr>
          <w:rFonts w:ascii="Times New Roman" w:hAnsi="Times New Roman"/>
          <w:i/>
        </w:rPr>
        <w:t>CNWs from different cellulose resources.</w:t>
      </w:r>
      <w:r>
        <w:rPr>
          <w:rFonts w:ascii="Times New Roman" w:hAnsi="Times New Roman"/>
        </w:rPr>
        <w:tab/>
      </w:r>
      <w:r>
        <w:rPr>
          <w:rFonts w:ascii="Times New Roman" w:hAnsi="Times New Roman"/>
        </w:rPr>
        <w:t>Carboxylated</w:t>
      </w:r>
      <w:r>
        <w:rPr>
          <w:rFonts w:ascii="Times New Roman" w:hAnsi="Times New Roman"/>
        </w:rPr>
        <w:t xml:space="preserve"> </w:t>
      </w:r>
      <w:r>
        <w:rPr>
          <w:rFonts w:ascii="Times New Roman" w:hAnsi="Times New Roman"/>
        </w:rPr>
        <w:t xml:space="preserve">cellulose nanowhiskers (CCNWs) with </w:t>
      </w:r>
      <w:r>
        <w:rPr>
          <w:rFonts w:ascii="Times New Roman" w:hAnsi="Times New Roman"/>
          <w:szCs w:val="24"/>
          <w:lang w:eastAsia="ja-JP"/>
        </w:rPr>
        <w:t>different levels of</w:t>
      </w:r>
      <w:r>
        <w:rPr>
          <w:rFonts w:ascii="Times New Roman" w:hAnsi="Times New Roman"/>
        </w:rPr>
        <w:t xml:space="preserve"> surface </w:t>
      </w:r>
      <w:r>
        <w:rPr>
          <w:rFonts w:ascii="Times New Roman" w:hAnsi="Times New Roman"/>
          <w:szCs w:val="24"/>
          <w:lang w:eastAsia="ja-JP"/>
        </w:rPr>
        <w:t>carboxylation</w:t>
      </w:r>
      <w:r>
        <w:rPr>
          <w:rFonts w:ascii="Times New Roman" w:hAnsi="Times New Roman"/>
        </w:rPr>
        <w:t xml:space="preserve"> were prepared </w:t>
      </w:r>
      <w:r>
        <w:rPr>
          <w:rFonts w:ascii="Times New Roman" w:hAnsi="Times New Roman"/>
          <w:szCs w:val="24"/>
          <w:lang w:eastAsia="ja-JP"/>
        </w:rPr>
        <w:t>according to</w:t>
      </w:r>
      <w:r>
        <w:rPr>
          <w:rFonts w:ascii="Times New Roman" w:hAnsi="Times New Roman"/>
          <w:szCs w:val="24"/>
        </w:rPr>
        <w:t xml:space="preserve"> a </w:t>
      </w:r>
      <w:r>
        <w:rPr>
          <w:rFonts w:ascii="Times New Roman" w:hAnsi="Times New Roman"/>
          <w:szCs w:val="24"/>
          <w:lang w:eastAsia="ja-JP"/>
        </w:rPr>
        <w:t>previous study (Araki</w:t>
      </w:r>
      <w:r>
        <w:rPr>
          <w:rFonts w:ascii="Times New Roman" w:hAnsi="Times New Roman"/>
          <w:szCs w:val="24"/>
          <w:lang w:eastAsia="ja-JP"/>
        </w:rPr>
        <w:t xml:space="preserve"> et al.</w:t>
      </w:r>
      <w:r>
        <w:rPr>
          <w:rFonts w:ascii="Times New Roman" w:hAnsi="Times New Roman"/>
          <w:szCs w:val="24"/>
          <w:lang w:eastAsia="ja-JP"/>
        </w:rPr>
        <w:t xml:space="preserve"> 2001);</w:t>
      </w:r>
      <w:r>
        <w:rPr>
          <w:rFonts w:ascii="Times New Roman" w:hAnsi="Times New Roman"/>
          <w:szCs w:val="24"/>
        </w:rPr>
        <w:t xml:space="preserve"> </w:t>
      </w:r>
      <w:r>
        <w:rPr>
          <w:rFonts w:ascii="Times New Roman" w:hAnsi="Times New Roman"/>
          <w:szCs w:val="24"/>
          <w:lang w:eastAsia="ja-JP"/>
        </w:rPr>
        <w:t>fifty grams of</w:t>
      </w:r>
      <w:r>
        <w:rPr>
          <w:rFonts w:ascii="Times New Roman" w:hAnsi="Times New Roman"/>
        </w:rPr>
        <w:t xml:space="preserve"> absorbent cotton was boiled for 30 min in 500 mL of 2.5 M aqueous HCl, followed by washing with water </w:t>
      </w:r>
      <w:r>
        <w:rPr>
          <w:rFonts w:ascii="Times New Roman" w:hAnsi="Times New Roman"/>
          <w:szCs w:val="24"/>
          <w:lang w:eastAsia="ja-JP"/>
        </w:rPr>
        <w:t>using</w:t>
      </w:r>
      <w:r>
        <w:rPr>
          <w:rFonts w:ascii="Times New Roman" w:hAnsi="Times New Roman"/>
        </w:rPr>
        <w:t xml:space="preserve"> filtration</w:t>
      </w:r>
      <w:r>
        <w:rPr>
          <w:rFonts w:ascii="Times New Roman" w:hAnsi="Times New Roman"/>
          <w:szCs w:val="24"/>
          <w:lang w:eastAsia="ja-JP"/>
        </w:rPr>
        <w:t>, homogenization</w:t>
      </w:r>
      <w:r>
        <w:rPr>
          <w:rFonts w:ascii="Times New Roman" w:hAnsi="Times New Roman"/>
        </w:rPr>
        <w:t xml:space="preserve"> with a Waring-type blender for 30 min, </w:t>
      </w:r>
      <w:r>
        <w:rPr>
          <w:rFonts w:ascii="Times New Roman" w:hAnsi="Times New Roman"/>
          <w:szCs w:val="24"/>
          <w:lang w:eastAsia="ja-JP"/>
        </w:rPr>
        <w:t>and</w:t>
      </w:r>
      <w:r>
        <w:rPr>
          <w:rFonts w:ascii="Times New Roman" w:hAnsi="Times New Roman"/>
        </w:rPr>
        <w:t xml:space="preserve"> repeated </w:t>
      </w:r>
      <w:r>
        <w:rPr>
          <w:rFonts w:ascii="Times New Roman" w:hAnsi="Times New Roman"/>
          <w:szCs w:val="24"/>
          <w:lang w:eastAsia="ja-JP"/>
        </w:rPr>
        <w:t>centrifugations</w:t>
      </w:r>
      <w:r>
        <w:rPr>
          <w:rFonts w:ascii="Times New Roman" w:hAnsi="Times New Roman"/>
        </w:rPr>
        <w:t xml:space="preserve"> (1600 </w:t>
      </w:r>
      <w:r>
        <w:rPr>
          <w:rFonts w:ascii="Times New Roman" w:hAnsi="Times New Roman"/>
          <w:i/>
        </w:rPr>
        <w:t>G</w:t>
      </w:r>
      <w:r>
        <w:rPr>
          <w:rFonts w:ascii="Times New Roman" w:hAnsi="Times New Roman"/>
        </w:rPr>
        <w:t xml:space="preserve">, 5 min) to obtain an aqueous suspension of CNWs without any surface carboxyls. The CNW suspension that </w:t>
      </w:r>
      <w:r>
        <w:rPr>
          <w:rFonts w:ascii="Times New Roman" w:hAnsi="Times New Roman"/>
          <w:szCs w:val="24"/>
          <w:lang w:eastAsia="ja-JP"/>
        </w:rPr>
        <w:t>was</w:t>
      </w:r>
      <w:r>
        <w:rPr>
          <w:rFonts w:ascii="Times New Roman" w:hAnsi="Times New Roman"/>
        </w:rPr>
        <w:t xml:space="preserve"> neutralized by dialysis was carboxylated via TEMPO (2,2,6,6-tetramethyl-1-pyperidibyloxy) radical-mediated surface carboxylation (see Araki et al. 2001 for detailed experimental conditions)</w:t>
      </w:r>
      <w:r>
        <w:rPr>
          <w:rFonts w:ascii="Times New Roman" w:hAnsi="Times New Roman"/>
          <w:szCs w:val="24"/>
          <w:lang w:eastAsia="ja-JP"/>
        </w:rPr>
        <w:t>.</w:t>
      </w:r>
      <w:r>
        <w:rPr>
          <w:rFonts w:ascii="Times New Roman" w:hAnsi="Times New Roman"/>
        </w:rPr>
        <w:t xml:space="preserve"> The </w:t>
      </w:r>
      <w:r>
        <w:rPr>
          <w:rFonts w:ascii="Times New Roman" w:hAnsi="Times New Roman"/>
          <w:szCs w:val="24"/>
          <w:lang w:eastAsia="ja-JP"/>
        </w:rPr>
        <w:t>degrees</w:t>
      </w:r>
      <w:r>
        <w:rPr>
          <w:rFonts w:ascii="Times New Roman" w:hAnsi="Times New Roman"/>
        </w:rPr>
        <w:t xml:space="preserve"> of oxidation (i.e., the </w:t>
      </w:r>
      <w:r>
        <w:rPr>
          <w:rFonts w:ascii="Times New Roman" w:hAnsi="Times New Roman"/>
          <w:szCs w:val="24"/>
          <w:lang w:eastAsia="ja-JP"/>
        </w:rPr>
        <w:t>amount</w:t>
      </w:r>
      <w:r>
        <w:rPr>
          <w:rFonts w:ascii="Times New Roman" w:hAnsi="Times New Roman"/>
        </w:rPr>
        <w:t xml:space="preserve"> of </w:t>
      </w:r>
      <w:r>
        <w:rPr>
          <w:rFonts w:ascii="Times New Roman" w:hAnsi="Times New Roman"/>
          <w:szCs w:val="24"/>
          <w:lang w:eastAsia="ja-JP"/>
        </w:rPr>
        <w:t xml:space="preserve">introduced </w:t>
      </w:r>
      <w:r>
        <w:rPr>
          <w:rFonts w:ascii="Times New Roman" w:hAnsi="Times New Roman"/>
        </w:rPr>
        <w:t>surface carboxyl groups</w:t>
      </w:r>
      <w:r>
        <w:rPr>
          <w:rFonts w:ascii="Times New Roman" w:hAnsi="Times New Roman"/>
          <w:szCs w:val="24"/>
          <w:lang w:eastAsia="ja-JP"/>
        </w:rPr>
        <w:t xml:space="preserve">) were </w:t>
      </w:r>
      <w:r>
        <w:rPr>
          <w:rFonts w:ascii="Times New Roman" w:hAnsi="Times New Roman"/>
        </w:rPr>
        <w:t xml:space="preserve">controlled </w:t>
      </w:r>
      <w:r>
        <w:rPr>
          <w:rFonts w:ascii="Times New Roman" w:hAnsi="Times New Roman"/>
          <w:szCs w:val="24"/>
          <w:lang w:eastAsia="ja-JP"/>
        </w:rPr>
        <w:t xml:space="preserve">by the </w:t>
      </w:r>
      <w:r>
        <w:rPr>
          <w:rFonts w:ascii="Times New Roman" w:hAnsi="Times New Roman"/>
        </w:rPr>
        <w:t xml:space="preserve">amounts of </w:t>
      </w:r>
      <w:r>
        <w:rPr>
          <w:rFonts w:ascii="Times New Roman" w:hAnsi="Times New Roman"/>
          <w:szCs w:val="24"/>
          <w:lang w:eastAsia="ja-JP"/>
        </w:rPr>
        <w:t xml:space="preserve">added </w:t>
      </w:r>
      <w:r>
        <w:rPr>
          <w:rFonts w:ascii="Times New Roman" w:hAnsi="Times New Roman"/>
        </w:rPr>
        <w:t>NaClO. The obtained samples were designated as CCNW5, CCNW20, CCNW50, and CCNW100</w:t>
      </w:r>
      <w:r>
        <w:rPr>
          <w:rFonts w:ascii="Times New Roman" w:hAnsi="Times New Roman"/>
          <w:szCs w:val="24"/>
          <w:lang w:eastAsia="ja-JP"/>
        </w:rPr>
        <w:t>,</w:t>
      </w:r>
      <w:r>
        <w:rPr>
          <w:rFonts w:ascii="Times New Roman" w:hAnsi="Times New Roman"/>
          <w:szCs w:val="24"/>
        </w:rPr>
        <w:t xml:space="preserve"> and</w:t>
      </w:r>
      <w:r>
        <w:rPr>
          <w:rFonts w:ascii="Times New Roman" w:hAnsi="Times New Roman"/>
        </w:rPr>
        <w:t xml:space="preserve"> the numbers included in every sample name </w:t>
      </w:r>
      <w:r>
        <w:rPr>
          <w:rFonts w:ascii="Times New Roman" w:hAnsi="Times New Roman"/>
          <w:szCs w:val="24"/>
          <w:lang w:eastAsia="ja-JP"/>
        </w:rPr>
        <w:t>indicates</w:t>
      </w:r>
      <w:r>
        <w:rPr>
          <w:rFonts w:ascii="Times New Roman" w:hAnsi="Times New Roman"/>
        </w:rPr>
        <w:t xml:space="preserve"> the weight percentage of added NaClO </w:t>
      </w:r>
      <w:r>
        <w:rPr>
          <w:rFonts w:ascii="Times New Roman" w:hAnsi="Times New Roman"/>
          <w:szCs w:val="24"/>
        </w:rPr>
        <w:t>with respect to</w:t>
      </w:r>
      <w:r>
        <w:rPr>
          <w:rFonts w:ascii="Times New Roman" w:hAnsi="Times New Roman"/>
        </w:rPr>
        <w:t xml:space="preserve"> the weight of CCNWs </w:t>
      </w:r>
      <w:r>
        <w:rPr>
          <w:rFonts w:ascii="Times New Roman" w:hAnsi="Times New Roman"/>
          <w:szCs w:val="24"/>
          <w:lang w:eastAsia="ja-JP"/>
        </w:rPr>
        <w:t>in</w:t>
      </w:r>
      <w:r>
        <w:rPr>
          <w:rFonts w:ascii="Times New Roman" w:hAnsi="Times New Roman"/>
        </w:rPr>
        <w:t xml:space="preserve"> oxidation reaction mixtures.</w:t>
      </w:r>
    </w:p>
    <w:p>
      <w:pPr>
        <w:snapToGrid w:val="0"/>
        <w:spacing w:after="60" w:line="276" w:lineRule="auto"/>
        <w:ind w:firstLine="181"/>
        <w:jc w:val="left"/>
        <w:rPr>
          <w:rFonts w:ascii="Times New Roman" w:hAnsi="Times New Roman"/>
        </w:rPr>
      </w:pPr>
      <w:r>
        <w:rPr>
          <w:rFonts w:ascii="Times New Roman" w:hAnsi="Times New Roman"/>
        </w:rPr>
        <w:t xml:space="preserve">The suspensions of CNWs and CCNWs were adjusted to a concentration of 5 mg/mL, which was equivalent to 0.5 wt%. The suspensions of CNWs and CCNW100 were further mixed in various </w:t>
      </w:r>
      <w:r>
        <w:rPr>
          <w:rFonts w:ascii="Times New Roman" w:hAnsi="Times New Roman"/>
          <w:szCs w:val="24"/>
        </w:rPr>
        <w:t xml:space="preserve">volume </w:t>
      </w:r>
      <w:r>
        <w:rPr>
          <w:rFonts w:ascii="Times New Roman" w:hAnsi="Times New Roman"/>
        </w:rPr>
        <w:t>ratios of 1:4, 2:3, 5:5, 3:2, and 4:1. The carboxyl contents of every mixture were calculated from the separate titration results of CNWs/CCNW</w:t>
      </w:r>
      <w:r>
        <w:rPr>
          <w:rFonts w:ascii="Times New Roman" w:hAnsi="Times New Roman"/>
        </w:rPr>
        <w:t>100</w:t>
      </w:r>
      <w:r>
        <w:rPr>
          <w:rFonts w:ascii="Times New Roman" w:hAnsi="Times New Roman"/>
        </w:rPr>
        <w:t xml:space="preserve"> and </w:t>
      </w:r>
      <w:r>
        <w:rPr>
          <w:rFonts w:ascii="Times New Roman" w:hAnsi="Times New Roman"/>
          <w:szCs w:val="24"/>
        </w:rPr>
        <w:t>every</w:t>
      </w:r>
      <w:r>
        <w:rPr>
          <w:rFonts w:ascii="Times New Roman" w:hAnsi="Times New Roman"/>
        </w:rPr>
        <w:t xml:space="preserve"> mixing ratio, which </w:t>
      </w:r>
      <w:r>
        <w:rPr>
          <w:rFonts w:ascii="Times New Roman" w:hAnsi="Times New Roman"/>
          <w:szCs w:val="24"/>
        </w:rPr>
        <w:t>were</w:t>
      </w:r>
      <w:r>
        <w:rPr>
          <w:rFonts w:ascii="Times New Roman" w:hAnsi="Times New Roman"/>
        </w:rPr>
        <w:t xml:space="preserve"> compared </w:t>
      </w:r>
      <w:r>
        <w:rPr>
          <w:rFonts w:ascii="Times New Roman" w:hAnsi="Times New Roman"/>
          <w:szCs w:val="24"/>
        </w:rPr>
        <w:t>with</w:t>
      </w:r>
      <w:r>
        <w:rPr>
          <w:rFonts w:ascii="Times New Roman" w:hAnsi="Times New Roman"/>
        </w:rPr>
        <w:t xml:space="preserve"> the values obtained </w:t>
      </w:r>
      <w:r>
        <w:rPr>
          <w:rFonts w:ascii="Times New Roman" w:hAnsi="Times New Roman"/>
          <w:szCs w:val="24"/>
        </w:rPr>
        <w:t>via</w:t>
      </w:r>
      <w:r>
        <w:rPr>
          <w:rFonts w:ascii="Times New Roman" w:hAnsi="Times New Roman"/>
        </w:rPr>
        <w:t xml:space="preserve"> dye adsorption measurements.</w:t>
      </w:r>
    </w:p>
    <w:p>
      <w:pPr>
        <w:snapToGrid w:val="0"/>
        <w:spacing w:after="60" w:line="276" w:lineRule="auto"/>
        <w:ind w:firstLine="181"/>
        <w:jc w:val="left"/>
        <w:rPr>
          <w:rFonts w:ascii="Times New Roman" w:hAnsi="Times New Roman"/>
        </w:rPr>
      </w:pPr>
      <w:r>
        <w:rPr>
          <w:rFonts w:ascii="Times New Roman" w:hAnsi="Times New Roman"/>
          <w:szCs w:val="24"/>
        </w:rPr>
        <w:t>The sulfated</w:t>
      </w:r>
      <w:r>
        <w:rPr>
          <w:rFonts w:ascii="Times New Roman" w:hAnsi="Times New Roman"/>
        </w:rPr>
        <w:t xml:space="preserve"> cellulose nanowhiskers (SCNWs), i.e., CNW samples with different numbers of surface sulfate/carboxyl groups, were prepared via the hydrolysis of the respective cellulose materials (including the </w:t>
      </w:r>
      <w:r>
        <w:rPr>
          <w:rFonts w:ascii="Times New Roman" w:hAnsi="Times New Roman"/>
          <w:szCs w:val="24"/>
        </w:rPr>
        <w:t>aforementioned</w:t>
      </w:r>
      <w:r>
        <w:rPr>
          <w:rFonts w:ascii="Times New Roman" w:hAnsi="Times New Roman"/>
        </w:rPr>
        <w:t xml:space="preserve"> cotton powders, MCC powders, and SBKP) using 65 wt% sulfuric acid under the conditions summarized in Table 1 in the main text. </w:t>
      </w:r>
      <w:r>
        <w:rPr>
          <w:rFonts w:ascii="Times New Roman" w:hAnsi="Times New Roman"/>
          <w:szCs w:val="24"/>
          <w:lang w:eastAsia="ja-JP"/>
        </w:rPr>
        <w:t>Subsequently,</w:t>
      </w:r>
      <w:r>
        <w:rPr>
          <w:rFonts w:ascii="Times New Roman" w:hAnsi="Times New Roman"/>
        </w:rPr>
        <w:t xml:space="preserve"> purification </w:t>
      </w:r>
      <w:r>
        <w:rPr>
          <w:rFonts w:ascii="Times New Roman" w:hAnsi="Times New Roman"/>
          <w:szCs w:val="24"/>
        </w:rPr>
        <w:t xml:space="preserve">was conducted </w:t>
      </w:r>
      <w:r>
        <w:rPr>
          <w:rFonts w:ascii="Times New Roman" w:hAnsi="Times New Roman"/>
        </w:rPr>
        <w:t xml:space="preserve">via repeated centrifugation and dialysis against water to </w:t>
      </w:r>
      <w:r>
        <w:rPr>
          <w:rFonts w:ascii="Times New Roman" w:hAnsi="Times New Roman"/>
          <w:szCs w:val="24"/>
        </w:rPr>
        <w:t xml:space="preserve">achieve </w:t>
      </w:r>
      <w:r>
        <w:rPr>
          <w:rFonts w:ascii="Times New Roman" w:hAnsi="Times New Roman"/>
        </w:rPr>
        <w:t>neutrality</w:t>
      </w:r>
      <w:r>
        <w:rPr>
          <w:rFonts w:ascii="Times New Roman" w:hAnsi="Times New Roman"/>
          <w:szCs w:val="24"/>
          <w:lang w:eastAsia="ja-JP"/>
        </w:rPr>
        <w:t>.</w:t>
      </w:r>
      <w:r>
        <w:rPr>
          <w:rFonts w:ascii="Times New Roman" w:hAnsi="Times New Roman"/>
        </w:rPr>
        <w:t xml:space="preserve"> The experimental procedure </w:t>
      </w:r>
      <w:r>
        <w:rPr>
          <w:rFonts w:ascii="Times New Roman" w:hAnsi="Times New Roman"/>
          <w:szCs w:val="24"/>
          <w:lang w:eastAsia="ja-JP"/>
        </w:rPr>
        <w:t>has been</w:t>
      </w:r>
      <w:r>
        <w:rPr>
          <w:rFonts w:ascii="Times New Roman" w:hAnsi="Times New Roman"/>
        </w:rPr>
        <w:t xml:space="preserve"> described in a </w:t>
      </w:r>
      <w:r>
        <w:rPr>
          <w:rFonts w:ascii="Times New Roman" w:hAnsi="Times New Roman"/>
          <w:szCs w:val="24"/>
          <w:lang w:eastAsia="ja-JP"/>
        </w:rPr>
        <w:t>previous study (Araki</w:t>
      </w:r>
      <w:r>
        <w:rPr>
          <w:rFonts w:ascii="Times New Roman" w:hAnsi="Times New Roman"/>
          <w:szCs w:val="24"/>
          <w:lang w:eastAsia="ja-JP"/>
        </w:rPr>
        <w:t xml:space="preserve"> et al.</w:t>
      </w:r>
      <w:r>
        <w:rPr>
          <w:rFonts w:ascii="Times New Roman" w:hAnsi="Times New Roman"/>
          <w:szCs w:val="24"/>
          <w:lang w:eastAsia="ja-JP"/>
        </w:rPr>
        <w:t xml:space="preserve"> 1998).</w:t>
      </w:r>
    </w:p>
    <w:p>
      <w:pPr>
        <w:snapToGrid w:val="0"/>
        <w:spacing w:after="60" w:line="276" w:lineRule="auto"/>
        <w:ind w:firstLine="181"/>
        <w:jc w:val="left"/>
        <w:rPr>
          <w:rFonts w:ascii="Times New Roman" w:hAnsi="Times New Roman"/>
        </w:rPr>
      </w:pPr>
      <w:r>
        <w:rPr>
          <w:rFonts w:ascii="Times New Roman" w:hAnsi="Times New Roman"/>
        </w:rPr>
        <w:t xml:space="preserve">The samples containing carboxyl and mercapto groups </w:t>
      </w:r>
      <w:r>
        <w:rPr>
          <w:rFonts w:ascii="Times New Roman" w:hAnsi="Times New Roman"/>
          <w:szCs w:val="24"/>
          <w:lang w:eastAsia="ja-JP"/>
        </w:rPr>
        <w:t>were prepared</w:t>
      </w:r>
      <w:r>
        <w:rPr>
          <w:rFonts w:ascii="Times New Roman" w:hAnsi="Times New Roman"/>
        </w:rPr>
        <w:t xml:space="preserve"> by mixing CCNW50 and Silia</w:t>
      </w:r>
      <w:r>
        <w:rPr>
          <w:rFonts w:ascii="Times New Roman" w:hAnsi="Times New Roman"/>
          <w:i/>
        </w:rPr>
        <w:t>MetS</w:t>
      </w:r>
      <w:r>
        <w:rPr>
          <w:rFonts w:ascii="Times New Roman" w:hAnsi="Times New Roman"/>
          <w:vertAlign w:val="superscript"/>
        </w:rPr>
        <w:t xml:space="preserve">® </w:t>
      </w:r>
      <w:r>
        <w:rPr>
          <w:rFonts w:ascii="Times New Roman" w:hAnsi="Times New Roman"/>
          <w:szCs w:val="24"/>
          <w:lang w:eastAsia="ja-JP"/>
        </w:rPr>
        <w:t>thiol</w:t>
      </w:r>
      <w:r>
        <w:rPr>
          <w:rFonts w:ascii="Times New Roman" w:hAnsi="Times New Roman"/>
        </w:rPr>
        <w:t xml:space="preserve"> in various mixing ratios, as summarized in Table 2 in the main text. </w:t>
      </w:r>
    </w:p>
    <w:p>
      <w:pPr>
        <w:snapToGrid w:val="0"/>
        <w:spacing w:after="60" w:line="276" w:lineRule="auto"/>
        <w:ind w:firstLine="181"/>
        <w:jc w:val="left"/>
        <w:rPr>
          <w:rFonts w:ascii="Times New Roman" w:hAnsi="Times New Roman"/>
        </w:rPr>
      </w:pPr>
    </w:p>
    <w:p>
      <w:pPr>
        <w:snapToGrid w:val="0"/>
        <w:spacing w:after="60" w:line="276" w:lineRule="auto"/>
        <w:ind w:firstLine="181"/>
        <w:jc w:val="left"/>
        <w:rPr>
          <w:rFonts w:ascii="Times New Roman" w:hAnsi="Times New Roman"/>
        </w:rPr>
      </w:pPr>
      <w:r>
        <w:rPr>
          <w:rFonts w:ascii="Times New Roman" w:hAnsi="Times New Roman"/>
          <w:i/>
        </w:rPr>
        <w:t>Dye adsorption protocol 1. Determination of the carboxyl contents in CCNWs.</w:t>
      </w:r>
      <w:r>
        <w:rPr>
          <w:rFonts w:ascii="Times New Roman" w:hAnsi="Times New Roman"/>
          <w:i/>
        </w:rPr>
        <w:tab/>
      </w:r>
      <w:r>
        <w:rPr>
          <w:rFonts w:ascii="Times New Roman" w:hAnsi="Times New Roman"/>
        </w:rPr>
        <w:t xml:space="preserve">The protocol includes the application of two separate measurement techniques </w:t>
      </w:r>
      <w:r>
        <w:rPr>
          <w:rFonts w:ascii="Times New Roman" w:hAnsi="Times New Roman"/>
          <w:szCs w:val="24"/>
        </w:rPr>
        <w:t>for</w:t>
      </w:r>
      <w:r>
        <w:rPr>
          <w:rFonts w:ascii="Times New Roman" w:hAnsi="Times New Roman"/>
        </w:rPr>
        <w:t xml:space="preserve"> the CCNW samples, namely, in deionized water (designated herein simply as “in water”) and in 0.1 M aqueous HCl (designated herein as “pH = 1”). The experiment conducted in water is as follows</w:t>
      </w:r>
      <w:r>
        <w:rPr>
          <w:rFonts w:ascii="Times New Roman" w:hAnsi="Times New Roman"/>
          <w:szCs w:val="24"/>
        </w:rPr>
        <w:t>. A</w:t>
      </w:r>
      <w:r>
        <w:rPr>
          <w:rFonts w:ascii="Times New Roman" w:hAnsi="Times New Roman"/>
        </w:rPr>
        <w:t xml:space="preserve"> mixture </w:t>
      </w:r>
      <w:r>
        <w:rPr>
          <w:rFonts w:ascii="Times New Roman" w:hAnsi="Times New Roman"/>
          <w:szCs w:val="24"/>
        </w:rPr>
        <w:t>comprising</w:t>
      </w:r>
      <w:r>
        <w:rPr>
          <w:rFonts w:ascii="Times New Roman" w:hAnsi="Times New Roman"/>
        </w:rPr>
        <w:t xml:space="preserve"> 0.1 mL of the aqueous nanowhisker suspensions of CNWs, CCNWs, or CNW/CCNW (containing 5 mg/mL solid content that was equivalent to </w:t>
      </w:r>
      <w:r>
        <w:rPr>
          <w:rFonts w:ascii="Times New Roman" w:hAnsi="Times New Roman"/>
          <w:szCs w:val="24"/>
        </w:rPr>
        <w:t>approximately</w:t>
      </w:r>
      <w:r>
        <w:rPr>
          <w:rFonts w:ascii="Times New Roman" w:hAnsi="Times New Roman"/>
        </w:rPr>
        <w:t xml:space="preserve"> 0.5 mg of the nanowhisker solid), 2.9 mL </w:t>
      </w:r>
      <w:r>
        <w:rPr>
          <w:rFonts w:ascii="Times New Roman" w:hAnsi="Times New Roman"/>
          <w:szCs w:val="24"/>
        </w:rPr>
        <w:t xml:space="preserve">of </w:t>
      </w:r>
      <w:r>
        <w:rPr>
          <w:rFonts w:ascii="Times New Roman" w:hAnsi="Times New Roman"/>
        </w:rPr>
        <w:t xml:space="preserve">water, and 2.0 mL of the </w:t>
      </w:r>
      <w:r>
        <w:rPr>
          <w:rFonts w:ascii="Times New Roman" w:hAnsi="Times New Roman"/>
          <w:szCs w:val="24"/>
        </w:rPr>
        <w:t>aforementioned</w:t>
      </w:r>
      <w:r>
        <w:rPr>
          <w:rFonts w:ascii="Times New Roman" w:hAnsi="Times New Roman"/>
        </w:rPr>
        <w:t xml:space="preserve"> TBO solution was added to a 5</w:t>
      </w:r>
      <w:r>
        <w:rPr>
          <w:rFonts w:ascii="Times New Roman" w:hAnsi="Times New Roman"/>
        </w:rPr>
        <w:noBreakHyphen/>
      </w:r>
      <w:r>
        <w:rPr>
          <w:rFonts w:ascii="Times New Roman" w:hAnsi="Times New Roman"/>
        </w:rPr>
        <w:t xml:space="preserve">mL PP centrifuge microtube. </w:t>
      </w:r>
      <w:r>
        <w:rPr>
          <w:rFonts w:ascii="Times New Roman" w:hAnsi="Times New Roman"/>
          <w:szCs w:val="24"/>
          <w:lang w:eastAsia="ja-JP"/>
        </w:rPr>
        <w:t>Subsequently,</w:t>
      </w:r>
      <w:r>
        <w:rPr>
          <w:rFonts w:ascii="Times New Roman" w:hAnsi="Times New Roman"/>
        </w:rPr>
        <w:t xml:space="preserve"> mixing was conducted using an MMS-100 shaker (EYELA, Tokyo, Japan) at </w:t>
      </w:r>
      <w:r>
        <w:rPr>
          <w:rFonts w:ascii="Times New Roman" w:hAnsi="Times New Roman"/>
          <w:szCs w:val="24"/>
        </w:rPr>
        <w:t>approximately</w:t>
      </w:r>
      <w:r>
        <w:rPr>
          <w:rFonts w:ascii="Times New Roman" w:hAnsi="Times New Roman"/>
        </w:rPr>
        <w:t xml:space="preserve"> 120 rpm overnight. Although overnight shaking was performed throughout </w:t>
      </w:r>
      <w:r>
        <w:rPr>
          <w:rFonts w:ascii="Times New Roman" w:hAnsi="Times New Roman"/>
          <w:szCs w:val="24"/>
        </w:rPr>
        <w:t>this</w:t>
      </w:r>
      <w:r>
        <w:rPr>
          <w:rFonts w:ascii="Times New Roman" w:hAnsi="Times New Roman"/>
        </w:rPr>
        <w:t xml:space="preserve"> study, a shaking time of 2 h is sufficient (see the main text for details). The well-shaken samples were centrifuged at 3500 rpm for 10 min, and the obtained supernatant, which contained excess TBO, was precisely diluted by a factor of 10</w:t>
      </w:r>
      <w:r>
        <w:rPr>
          <w:rFonts w:ascii="Times New Roman" w:hAnsi="Times New Roman"/>
          <w:szCs w:val="24"/>
          <w:lang w:eastAsia="ja-JP"/>
        </w:rPr>
        <w:t xml:space="preserve"> (e.g.</w:t>
      </w:r>
      <w:r>
        <w:rPr>
          <w:rFonts w:ascii="Times New Roman" w:hAnsi="Times New Roman"/>
        </w:rPr>
        <w:t>, 0.4 mL of the supernatant was mixed with 3.6 mL</w:t>
      </w:r>
      <w:r>
        <w:rPr>
          <w:rFonts w:ascii="Times New Roman" w:hAnsi="Times New Roman"/>
          <w:szCs w:val="24"/>
        </w:rPr>
        <w:t xml:space="preserve"> of</w:t>
      </w:r>
      <w:r>
        <w:rPr>
          <w:rFonts w:ascii="Times New Roman" w:hAnsi="Times New Roman"/>
        </w:rPr>
        <w:t xml:space="preserve"> water in a PP test tube). The absorbance at 628 nm (</w:t>
      </w:r>
      <w:r>
        <w:rPr>
          <w:rFonts w:ascii="Times New Roman" w:hAnsi="Times New Roman"/>
          <w:i/>
        </w:rPr>
        <w:t>A</w:t>
      </w:r>
      <w:r>
        <w:rPr>
          <w:rFonts w:ascii="Times New Roman" w:hAnsi="Times New Roman"/>
          <w:vertAlign w:val="subscript"/>
        </w:rPr>
        <w:t>w</w:t>
      </w:r>
      <w:r>
        <w:rPr>
          <w:rFonts w:ascii="Times New Roman" w:hAnsi="Times New Roman"/>
        </w:rPr>
        <w:t xml:space="preserve">) of the diluted supernatant was measured using a Shimadzu UV-2450 UV–Vis spectrometer (Kyoto, Japan) and a pair of quartz cuvettes. </w:t>
      </w:r>
      <w:r>
        <w:rPr>
          <w:rFonts w:ascii="Times New Roman" w:hAnsi="Times New Roman"/>
          <w:szCs w:val="24"/>
        </w:rPr>
        <w:t>The baseline</w:t>
      </w:r>
      <w:r>
        <w:rPr>
          <w:rFonts w:ascii="Times New Roman" w:hAnsi="Times New Roman"/>
        </w:rPr>
        <w:t xml:space="preserve"> readings were measured using water. The calibration curve for the TBO concentration range of 0–2.5 × 10</w:t>
      </w:r>
      <w:r>
        <w:rPr>
          <w:rFonts w:ascii="Times New Roman" w:hAnsi="Times New Roman"/>
          <w:vertAlign w:val="superscript"/>
        </w:rPr>
        <w:t>−5</w:t>
      </w:r>
      <w:r>
        <w:rPr>
          <w:rFonts w:ascii="Times New Roman" w:hAnsi="Times New Roman"/>
        </w:rPr>
        <w:t xml:space="preserve"> M (see Figure S1) yielded the molar extinction coefficient of TBO in water (</w:t>
      </w:r>
      <w:r>
        <w:rPr>
          <w:rFonts w:ascii="Times New Roman" w:hAnsi="Times New Roman"/>
          <w:i/>
        </w:rPr>
        <w:sym w:font="Symbol" w:char="F065"/>
      </w:r>
      <w:r>
        <w:rPr>
          <w:rFonts w:ascii="Times New Roman" w:hAnsi="Times New Roman"/>
          <w:vertAlign w:val="subscript"/>
        </w:rPr>
        <w:t>w</w:t>
      </w:r>
      <w:r>
        <w:rPr>
          <w:rFonts w:ascii="Times New Roman" w:hAnsi="Times New Roman"/>
        </w:rPr>
        <w:t xml:space="preserve">) as 45312 L/mol·cm, which was </w:t>
      </w:r>
      <w:r>
        <w:rPr>
          <w:rFonts w:ascii="Times New Roman" w:hAnsi="Times New Roman"/>
          <w:szCs w:val="24"/>
          <w:lang w:eastAsia="ja-JP"/>
        </w:rPr>
        <w:t>comparable</w:t>
      </w:r>
      <w:r>
        <w:rPr>
          <w:rFonts w:ascii="Times New Roman" w:hAnsi="Times New Roman"/>
          <w:szCs w:val="24"/>
        </w:rPr>
        <w:t xml:space="preserve"> with</w:t>
      </w:r>
      <w:r>
        <w:rPr>
          <w:rFonts w:ascii="Times New Roman" w:hAnsi="Times New Roman"/>
          <w:szCs w:val="24"/>
          <w:lang w:eastAsia="ja-JP"/>
        </w:rPr>
        <w:t xml:space="preserve"> the previously reported</w:t>
      </w:r>
      <w:r>
        <w:rPr>
          <w:rFonts w:ascii="Times New Roman" w:hAnsi="Times New Roman"/>
          <w:szCs w:val="24"/>
        </w:rPr>
        <w:t xml:space="preserve"> values (Pal </w:t>
      </w:r>
      <w:r>
        <w:rPr>
          <w:rFonts w:ascii="Times New Roman" w:hAnsi="Times New Roman"/>
          <w:szCs w:val="24"/>
        </w:rPr>
        <w:t>and</w:t>
      </w:r>
      <w:r>
        <w:rPr>
          <w:rFonts w:ascii="Times New Roman" w:hAnsi="Times New Roman"/>
          <w:szCs w:val="24"/>
        </w:rPr>
        <w:t xml:space="preserve"> Schubert 1962; Vleugels</w:t>
      </w:r>
      <w:r>
        <w:rPr>
          <w:rFonts w:ascii="Times New Roman" w:hAnsi="Times New Roman"/>
          <w:szCs w:val="24"/>
        </w:rPr>
        <w:t xml:space="preserve"> et al. </w:t>
      </w:r>
      <w:r>
        <w:rPr>
          <w:rFonts w:ascii="Times New Roman" w:hAnsi="Times New Roman"/>
          <w:szCs w:val="24"/>
        </w:rPr>
        <w:t>2017; Fradi</w:t>
      </w:r>
      <w:r>
        <w:rPr>
          <w:rFonts w:ascii="Times New Roman" w:hAnsi="Times New Roman"/>
          <w:szCs w:val="24"/>
        </w:rPr>
        <w:t xml:space="preserve"> et al.</w:t>
      </w:r>
      <w:r>
        <w:rPr>
          <w:rFonts w:ascii="Times New Roman" w:hAnsi="Times New Roman"/>
          <w:szCs w:val="24"/>
        </w:rPr>
        <w:t xml:space="preserve"> 2014; Merrill </w:t>
      </w:r>
      <w:r>
        <w:rPr>
          <w:rFonts w:ascii="Times New Roman" w:hAnsi="Times New Roman"/>
          <w:szCs w:val="24"/>
        </w:rPr>
        <w:t>and</w:t>
      </w:r>
      <w:r>
        <w:rPr>
          <w:rFonts w:ascii="Times New Roman" w:hAnsi="Times New Roman"/>
          <w:szCs w:val="24"/>
        </w:rPr>
        <w:t xml:space="preserve"> Spencer 1948; Wehr</w:t>
      </w:r>
      <w:r>
        <w:rPr>
          <w:rFonts w:ascii="Times New Roman" w:hAnsi="Times New Roman"/>
          <w:szCs w:val="24"/>
        </w:rPr>
        <w:t xml:space="preserve"> et al.</w:t>
      </w:r>
      <w:r>
        <w:rPr>
          <w:rFonts w:ascii="Times New Roman" w:hAnsi="Times New Roman"/>
          <w:szCs w:val="24"/>
        </w:rPr>
        <w:t xml:space="preserve"> 2010).</w:t>
      </w:r>
      <w:r>
        <w:rPr>
          <w:rFonts w:ascii="Times New Roman" w:hAnsi="Times New Roman"/>
        </w:rPr>
        <w:t xml:space="preserve"> The number of surface anionic groups present under the “in water” conditions (</w:t>
      </w:r>
      <w:r>
        <w:rPr>
          <w:rFonts w:ascii="Times New Roman" w:hAnsi="Times New Roman"/>
          <w:i/>
        </w:rPr>
        <w:t>S</w:t>
      </w:r>
      <w:r>
        <w:rPr>
          <w:rFonts w:ascii="Times New Roman" w:hAnsi="Times New Roman"/>
          <w:vertAlign w:val="subscript"/>
        </w:rPr>
        <w:t>w</w:t>
      </w:r>
      <w:r>
        <w:rPr>
          <w:rFonts w:ascii="Times New Roman" w:hAnsi="Times New Roman"/>
        </w:rPr>
        <w:t>) (mmol/g) was calculated as follows:</w:t>
      </w:r>
    </w:p>
    <w:p>
      <w:pPr>
        <w:snapToGrid w:val="0"/>
        <w:spacing w:after="60" w:line="276" w:lineRule="auto"/>
        <w:ind w:firstLine="181"/>
        <w:jc w:val="left"/>
        <w:rPr>
          <w:rFonts w:ascii="Times New Roman" w:hAnsi="Times New Roman"/>
        </w:rPr>
      </w:pPr>
    </w:p>
    <w:p>
      <w:pPr>
        <w:snapToGrid w:val="0"/>
        <w:spacing w:after="60" w:line="276" w:lineRule="auto"/>
        <w:ind w:firstLine="181"/>
        <w:jc w:val="left"/>
        <w:rPr>
          <w:rFonts w:ascii="Times New Roman" w:hAnsi="Times New Roman"/>
        </w:rPr>
      </w:pPr>
      <m:oMath>
        <m:sSub>
          <m:sSubPr>
            <m:ctrlPr>
              <w:rPr>
                <w:rFonts w:ascii="Cambria Math" w:hAnsi="Cambria Math"/>
                <w:i/>
              </w:rPr>
            </m:ctrlPr>
          </m:sSubPr>
          <m:e>
            <m:r>
              <w:rPr>
                <w:rFonts w:ascii="Cambria Math" w:hAnsi="Cambria Math"/>
              </w:rPr>
              <m:t>S</m:t>
            </m:r>
            <m:ctrlPr>
              <w:rPr>
                <w:rFonts w:ascii="Cambria Math" w:hAnsi="Cambria Math"/>
                <w:i/>
              </w:rPr>
            </m:ctrlPr>
          </m:e>
          <m:sub>
            <m:r>
              <m:rPr>
                <m:sty m:val="p"/>
              </m:rPr>
              <w:rPr>
                <w:rFonts w:ascii="Cambria Math" w:hAnsi="Cambria Math"/>
              </w:rPr>
              <m:t>w</m:t>
            </m:r>
            <m:ctrlPr>
              <w:rPr>
                <w:rFonts w:ascii="Cambria Math" w:hAnsi="Cambria Math"/>
                <w:i/>
              </w:rPr>
            </m:ctrlPr>
          </m:sub>
        </m:sSub>
        <m:r>
          <w:rPr>
            <w:rFonts w:ascii="Cambria Math" w:hAnsi="Cambria Math"/>
          </w:rPr>
          <m:t>=</m:t>
        </m:r>
        <m:f>
          <m:fPr>
            <m:ctrlPr>
              <w:rPr>
                <w:rFonts w:ascii="Cambria Math" w:hAnsi="Cambria Math"/>
                <w:i/>
              </w:rPr>
            </m:ctrlPr>
          </m:fPr>
          <m:num>
            <m:d>
              <m:dPr>
                <m:ctrlPr>
                  <w:rPr>
                    <w:rFonts w:ascii="Cambria Math" w:hAnsi="Cambria Math"/>
                    <w:i/>
                  </w:rPr>
                </m:ctrlPr>
              </m:dPr>
              <m:e>
                <m:sSub>
                  <m:sSubPr>
                    <m:ctrlPr>
                      <w:rPr>
                        <w:rFonts w:ascii="Cambria Math" w:hAnsi="Cambria Math"/>
                        <w:i/>
                      </w:rPr>
                    </m:ctrlPr>
                  </m:sSubPr>
                  <m:e>
                    <m:r>
                      <w:rPr>
                        <w:rFonts w:ascii="Cambria Math" w:hAnsi="Cambria Math"/>
                      </w:rPr>
                      <m:t>c</m:t>
                    </m:r>
                    <m:ctrlPr>
                      <w:rPr>
                        <w:rFonts w:ascii="Cambria Math" w:hAnsi="Cambria Math"/>
                        <w:i/>
                      </w:rPr>
                    </m:ctrlPr>
                  </m:e>
                  <m:sub>
                    <m:r>
                      <w:rPr>
                        <w:rFonts w:ascii="Cambria Math" w:hAnsi="Cambria Math"/>
                      </w:rPr>
                      <m:t>TBO</m:t>
                    </m:r>
                    <m:ctrlPr>
                      <w:rPr>
                        <w:rFonts w:ascii="Cambria Math" w:hAnsi="Cambria Math"/>
                        <w:i/>
                      </w:rPr>
                    </m:ctrlPr>
                  </m:sub>
                </m:sSub>
                <m:r>
                  <w:rPr>
                    <w:rFonts w:ascii="Cambria Math" w:hAnsi="Cambria Math"/>
                  </w:rPr>
                  <m:t>×2×</m:t>
                </m:r>
                <m:sSup>
                  <m:sSupPr>
                    <m:ctrlPr>
                      <w:rPr>
                        <w:rFonts w:ascii="Cambria Math" w:hAnsi="Cambria Math"/>
                        <w:i/>
                      </w:rPr>
                    </m:ctrlPr>
                  </m:sSupPr>
                  <m:e>
                    <m:r>
                      <w:rPr>
                        <w:rFonts w:ascii="Cambria Math" w:hAnsi="Cambria Math"/>
                      </w:rPr>
                      <m:t>10</m:t>
                    </m:r>
                    <m:ctrlPr>
                      <w:rPr>
                        <w:rFonts w:ascii="Cambria Math" w:hAnsi="Cambria Math"/>
                        <w:i/>
                      </w:rPr>
                    </m:ctrlPr>
                  </m:e>
                  <m:sup>
                    <m:r>
                      <w:rPr>
                        <w:rFonts w:ascii="Cambria Math" w:hAnsi="Cambria Math"/>
                      </w:rPr>
                      <m:t>-3</m:t>
                    </m:r>
                    <m:ctrlPr>
                      <w:rPr>
                        <w:rFonts w:ascii="Cambria Math" w:hAnsi="Cambria Math"/>
                        <w:i/>
                      </w:rPr>
                    </m:ctrlPr>
                  </m:sup>
                </m:sSup>
                <m:ctrlPr>
                  <w:rPr>
                    <w:rFonts w:ascii="Cambria Math" w:hAnsi="Cambria Math"/>
                    <w:i/>
                  </w:rPr>
                </m:ctrlPr>
              </m:e>
            </m:d>
            <m:r>
              <w:rPr>
                <w:rFonts w:ascii="Cambria Math" w:hAnsi="Cambria Math"/>
              </w:rPr>
              <m:t>-</m:t>
            </m:r>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A</m:t>
                        </m:r>
                        <m:ctrlPr>
                          <w:rPr>
                            <w:rFonts w:ascii="Cambria Math" w:hAnsi="Cambria Math"/>
                            <w:i/>
                          </w:rPr>
                        </m:ctrlPr>
                      </m:e>
                      <m:sub>
                        <m:r>
                          <m:rPr>
                            <m:sty m:val="p"/>
                          </m:rPr>
                          <w:rPr>
                            <w:rFonts w:ascii="Cambria Math" w:hAnsi="Cambria Math"/>
                          </w:rPr>
                          <m:t>w</m:t>
                        </m:r>
                        <m:ctrlPr>
                          <w:rPr>
                            <w:rFonts w:ascii="Cambria Math" w:hAnsi="Cambria Math"/>
                            <w:i/>
                          </w:rPr>
                        </m:ctrlPr>
                      </m:sub>
                    </m:sSub>
                    <m:ctrlPr>
                      <w:rPr>
                        <w:rFonts w:ascii="Cambria Math" w:hAnsi="Cambria Math"/>
                        <w:i/>
                      </w:rPr>
                    </m:ctrlPr>
                  </m:num>
                  <m:den>
                    <m:sSub>
                      <m:sSubPr>
                        <m:ctrlPr>
                          <w:rPr>
                            <w:rFonts w:ascii="Cambria Math" w:hAnsi="Cambria Math"/>
                            <w:i/>
                          </w:rPr>
                        </m:ctrlPr>
                      </m:sSubPr>
                      <m:e>
                        <m:r>
                          <w:rPr>
                            <w:rFonts w:ascii="Cambria Math" w:hAnsi="Cambria Math"/>
                          </w:rPr>
                          <m:t>ε</m:t>
                        </m:r>
                        <m:ctrlPr>
                          <w:rPr>
                            <w:rFonts w:ascii="Cambria Math" w:hAnsi="Cambria Math"/>
                            <w:i/>
                          </w:rPr>
                        </m:ctrlPr>
                      </m:e>
                      <m:sub>
                        <m:r>
                          <m:rPr>
                            <m:sty m:val="p"/>
                          </m:rPr>
                          <w:rPr>
                            <w:rFonts w:ascii="Cambria Math" w:hAnsi="Cambria Math"/>
                          </w:rPr>
                          <m:t>w</m:t>
                        </m:r>
                        <m:ctrlPr>
                          <w:rPr>
                            <w:rFonts w:ascii="Cambria Math" w:hAnsi="Cambria Math"/>
                            <w:i/>
                          </w:rPr>
                        </m:ctrlPr>
                      </m:sub>
                    </m:sSub>
                    <m:ctrlPr>
                      <w:rPr>
                        <w:rFonts w:ascii="Cambria Math" w:hAnsi="Cambria Math"/>
                        <w:i/>
                      </w:rPr>
                    </m:ctrlPr>
                  </m:den>
                </m:f>
                <m:r>
                  <w:rPr>
                    <w:rFonts w:ascii="Cambria Math" w:hAnsi="Cambria Math"/>
                  </w:rPr>
                  <m:t>×5×</m:t>
                </m:r>
                <m:sSup>
                  <m:sSupPr>
                    <m:ctrlPr>
                      <w:rPr>
                        <w:rFonts w:ascii="Cambria Math" w:hAnsi="Cambria Math"/>
                        <w:i/>
                      </w:rPr>
                    </m:ctrlPr>
                  </m:sSupPr>
                  <m:e>
                    <m:r>
                      <w:rPr>
                        <w:rFonts w:ascii="Cambria Math" w:hAnsi="Cambria Math"/>
                      </w:rPr>
                      <m:t>10</m:t>
                    </m:r>
                    <m:ctrlPr>
                      <w:rPr>
                        <w:rFonts w:ascii="Cambria Math" w:hAnsi="Cambria Math"/>
                        <w:i/>
                      </w:rPr>
                    </m:ctrlPr>
                  </m:e>
                  <m:sup>
                    <m:r>
                      <w:rPr>
                        <w:rFonts w:ascii="Cambria Math" w:hAnsi="Cambria Math"/>
                      </w:rPr>
                      <m:t>-2</m:t>
                    </m:r>
                    <m:ctrlPr>
                      <w:rPr>
                        <w:rFonts w:ascii="Cambria Math" w:hAnsi="Cambria Math"/>
                        <w:i/>
                      </w:rPr>
                    </m:ctrlPr>
                  </m:sup>
                </m:sSup>
                <m:ctrlPr>
                  <w:rPr>
                    <w:rFonts w:ascii="Cambria Math" w:hAnsi="Cambria Math"/>
                    <w:i/>
                  </w:rPr>
                </m:ctrlPr>
              </m:e>
            </m:d>
            <m:ctrlPr>
              <w:rPr>
                <w:rFonts w:ascii="Cambria Math" w:hAnsi="Cambria Math"/>
                <w:i/>
              </w:rPr>
            </m:ctrlPr>
          </m:num>
          <m:den>
            <m:sSub>
              <m:sSubPr>
                <m:ctrlPr>
                  <w:rPr>
                    <w:rFonts w:ascii="Cambria Math" w:hAnsi="Cambria Math"/>
                    <w:i/>
                  </w:rPr>
                </m:ctrlPr>
              </m:sSubPr>
              <m:e>
                <m:r>
                  <w:rPr>
                    <w:rFonts w:ascii="Cambria Math" w:hAnsi="Cambria Math"/>
                  </w:rPr>
                  <m:t>c</m:t>
                </m:r>
                <m:ctrlPr>
                  <w:rPr>
                    <w:rFonts w:ascii="Cambria Math" w:hAnsi="Cambria Math"/>
                    <w:i/>
                  </w:rPr>
                </m:ctrlPr>
              </m:e>
              <m:sub>
                <m:r>
                  <m:rPr>
                    <m:sty m:val="p"/>
                  </m:rPr>
                  <w:rPr>
                    <w:rFonts w:ascii="Cambria Math" w:hAnsi="Cambria Math"/>
                  </w:rPr>
                  <m:t>CNW</m:t>
                </m:r>
                <m:ctrlPr>
                  <w:rPr>
                    <w:rFonts w:ascii="Cambria Math" w:hAnsi="Cambria Math"/>
                    <w:i/>
                  </w:rPr>
                </m:ctrlPr>
              </m:sub>
            </m:sSub>
            <m:r>
              <w:rPr>
                <w:rFonts w:ascii="Cambria Math" w:hAnsi="Cambria Math"/>
              </w:rPr>
              <m:t>×v×</m:t>
            </m:r>
            <m:sSup>
              <m:sSupPr>
                <m:ctrlPr>
                  <w:rPr>
                    <w:rFonts w:ascii="Cambria Math" w:hAnsi="Cambria Math"/>
                    <w:i/>
                  </w:rPr>
                </m:ctrlPr>
              </m:sSupPr>
              <m:e>
                <m:r>
                  <w:rPr>
                    <w:rFonts w:ascii="Cambria Math" w:hAnsi="Cambria Math"/>
                  </w:rPr>
                  <m:t>10</m:t>
                </m:r>
                <m:ctrlPr>
                  <w:rPr>
                    <w:rFonts w:ascii="Cambria Math" w:hAnsi="Cambria Math"/>
                    <w:i/>
                  </w:rPr>
                </m:ctrlPr>
              </m:e>
              <m:sup>
                <m:r>
                  <w:rPr>
                    <w:rFonts w:ascii="Cambria Math" w:hAnsi="Cambria Math"/>
                  </w:rPr>
                  <m:t>-3</m:t>
                </m:r>
                <m:ctrlPr>
                  <w:rPr>
                    <w:rFonts w:ascii="Cambria Math" w:hAnsi="Cambria Math"/>
                    <w:i/>
                  </w:rPr>
                </m:ctrlPr>
              </m:sup>
            </m:sSup>
            <m:ctrlPr>
              <w:rPr>
                <w:rFonts w:ascii="Cambria Math" w:hAnsi="Cambria Math"/>
                <w:i/>
              </w:rPr>
            </m:ctrlPr>
          </m:den>
        </m:f>
        <m:r>
          <w:rPr>
            <w:rFonts w:ascii="Cambria Math" w:hAnsi="Cambria Math"/>
          </w:rPr>
          <m:t>×</m:t>
        </m:r>
        <m:sSup>
          <m:sSupPr>
            <m:ctrlPr>
              <w:rPr>
                <w:rFonts w:ascii="Cambria Math" w:hAnsi="Cambria Math"/>
                <w:i/>
              </w:rPr>
            </m:ctrlPr>
          </m:sSupPr>
          <m:e>
            <m:r>
              <w:rPr>
                <w:rFonts w:ascii="Cambria Math" w:hAnsi="Cambria Math"/>
              </w:rPr>
              <m:t>10</m:t>
            </m:r>
            <m:ctrlPr>
              <w:rPr>
                <w:rFonts w:ascii="Cambria Math" w:hAnsi="Cambria Math"/>
                <w:i/>
              </w:rPr>
            </m:ctrlPr>
          </m:e>
          <m:sup>
            <m:r>
              <w:rPr>
                <w:rFonts w:ascii="Cambria Math" w:hAnsi="Cambria Math"/>
              </w:rPr>
              <m:t>3</m:t>
            </m:r>
            <m:ctrlPr>
              <w:rPr>
                <w:rFonts w:ascii="Cambria Math" w:hAnsi="Cambria Math"/>
                <w:i/>
              </w:rPr>
            </m:ctrlPr>
          </m:sup>
        </m:sSup>
        <m:r>
          <w:rPr>
            <w:rFonts w:ascii="Cambria Math" w:hAnsi="Cambria Math"/>
          </w:rPr>
          <m:t>=</m:t>
        </m:r>
        <m:f>
          <m:fPr>
            <m:ctrlPr>
              <w:rPr>
                <w:rFonts w:ascii="Cambria Math" w:hAnsi="Cambria Math"/>
                <w:i/>
              </w:rPr>
            </m:ctrlPr>
          </m:fPr>
          <m:num>
            <m:d>
              <m:dPr>
                <m:ctrlPr>
                  <w:rPr>
                    <w:rFonts w:ascii="Cambria Math" w:hAnsi="Cambria Math"/>
                    <w:i/>
                  </w:rPr>
                </m:ctrlPr>
              </m:dPr>
              <m:e>
                <m:sSub>
                  <m:sSubPr>
                    <m:ctrlPr>
                      <w:rPr>
                        <w:rFonts w:ascii="Cambria Math" w:hAnsi="Cambria Math"/>
                        <w:i/>
                      </w:rPr>
                    </m:ctrlPr>
                  </m:sSubPr>
                  <m:e>
                    <m:r>
                      <w:rPr>
                        <w:rFonts w:ascii="Cambria Math" w:hAnsi="Cambria Math"/>
                      </w:rPr>
                      <m:t>c</m:t>
                    </m:r>
                    <m:ctrlPr>
                      <w:rPr>
                        <w:rFonts w:ascii="Cambria Math" w:hAnsi="Cambria Math"/>
                        <w:i/>
                      </w:rPr>
                    </m:ctrlPr>
                  </m:e>
                  <m:sub>
                    <m:r>
                      <w:rPr>
                        <w:rFonts w:ascii="Cambria Math" w:hAnsi="Cambria Math"/>
                      </w:rPr>
                      <m:t>TBO</m:t>
                    </m:r>
                    <m:ctrlPr>
                      <w:rPr>
                        <w:rFonts w:ascii="Cambria Math" w:hAnsi="Cambria Math"/>
                        <w:i/>
                      </w:rPr>
                    </m:ctrlPr>
                  </m:sub>
                </m:sSub>
                <m:r>
                  <w:rPr>
                    <w:rFonts w:ascii="Cambria Math" w:hAnsi="Cambria Math"/>
                  </w:rPr>
                  <m:t>×0.2</m:t>
                </m:r>
                <m:ctrlPr>
                  <w:rPr>
                    <w:rFonts w:ascii="Cambria Math" w:hAnsi="Cambria Math"/>
                    <w:i/>
                  </w:rPr>
                </m:ctrlPr>
              </m:e>
            </m:d>
            <m:r>
              <w:rPr>
                <w:rFonts w:ascii="Cambria Math" w:hAnsi="Cambria Math"/>
              </w:rPr>
              <m:t>-</m:t>
            </m:r>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A</m:t>
                        </m:r>
                        <m:ctrlPr>
                          <w:rPr>
                            <w:rFonts w:ascii="Cambria Math" w:hAnsi="Cambria Math"/>
                            <w:i/>
                          </w:rPr>
                        </m:ctrlPr>
                      </m:e>
                      <m:sub>
                        <m:r>
                          <m:rPr>
                            <m:sty m:val="p"/>
                          </m:rPr>
                          <w:rPr>
                            <w:rFonts w:ascii="Cambria Math" w:hAnsi="Cambria Math"/>
                          </w:rPr>
                          <m:t>w</m:t>
                        </m:r>
                        <m:ctrlPr>
                          <w:rPr>
                            <w:rFonts w:ascii="Cambria Math" w:hAnsi="Cambria Math"/>
                            <w:i/>
                          </w:rPr>
                        </m:ctrlPr>
                      </m:sub>
                    </m:sSub>
                    <m:ctrlPr>
                      <w:rPr>
                        <w:rFonts w:ascii="Cambria Math" w:hAnsi="Cambria Math"/>
                        <w:i/>
                      </w:rPr>
                    </m:ctrlPr>
                  </m:num>
                  <m:den>
                    <m:sSub>
                      <m:sSubPr>
                        <m:ctrlPr>
                          <w:rPr>
                            <w:rFonts w:ascii="Cambria Math" w:hAnsi="Cambria Math"/>
                            <w:i/>
                          </w:rPr>
                        </m:ctrlPr>
                      </m:sSubPr>
                      <m:e>
                        <m:r>
                          <w:rPr>
                            <w:rFonts w:ascii="Cambria Math" w:hAnsi="Cambria Math"/>
                          </w:rPr>
                          <m:t>ε</m:t>
                        </m:r>
                        <m:ctrlPr>
                          <w:rPr>
                            <w:rFonts w:ascii="Cambria Math" w:hAnsi="Cambria Math"/>
                            <w:i/>
                          </w:rPr>
                        </m:ctrlPr>
                      </m:e>
                      <m:sub>
                        <m:r>
                          <m:rPr>
                            <m:sty m:val="p"/>
                          </m:rPr>
                          <w:rPr>
                            <w:rFonts w:ascii="Cambria Math" w:hAnsi="Cambria Math"/>
                          </w:rPr>
                          <m:t>w</m:t>
                        </m:r>
                        <m:ctrlPr>
                          <w:rPr>
                            <w:rFonts w:ascii="Cambria Math" w:hAnsi="Cambria Math"/>
                            <w:i/>
                          </w:rPr>
                        </m:ctrlPr>
                      </m:sub>
                    </m:sSub>
                    <m:ctrlPr>
                      <w:rPr>
                        <w:rFonts w:ascii="Cambria Math" w:hAnsi="Cambria Math"/>
                        <w:i/>
                      </w:rPr>
                    </m:ctrlPr>
                  </m:den>
                </m:f>
                <m:r>
                  <w:rPr>
                    <w:rFonts w:ascii="Cambria Math" w:hAnsi="Cambria Math"/>
                  </w:rPr>
                  <m:t>×5</m:t>
                </m:r>
                <m:ctrlPr>
                  <w:rPr>
                    <w:rFonts w:ascii="Cambria Math" w:hAnsi="Cambria Math"/>
                    <w:i/>
                  </w:rPr>
                </m:ctrlPr>
              </m:e>
            </m:d>
            <m:ctrlPr>
              <w:rPr>
                <w:rFonts w:ascii="Cambria Math" w:hAnsi="Cambria Math"/>
                <w:i/>
              </w:rPr>
            </m:ctrlPr>
          </m:num>
          <m:den>
            <m:sSub>
              <m:sSubPr>
                <m:ctrlPr>
                  <w:rPr>
                    <w:rFonts w:ascii="Cambria Math" w:hAnsi="Cambria Math"/>
                    <w:i/>
                  </w:rPr>
                </m:ctrlPr>
              </m:sSubPr>
              <m:e>
                <m:r>
                  <w:rPr>
                    <w:rFonts w:ascii="Cambria Math" w:hAnsi="Cambria Math"/>
                  </w:rPr>
                  <m:t>c</m:t>
                </m:r>
                <m:ctrlPr>
                  <w:rPr>
                    <w:rFonts w:ascii="Cambria Math" w:hAnsi="Cambria Math"/>
                    <w:i/>
                  </w:rPr>
                </m:ctrlPr>
              </m:e>
              <m:sub>
                <m:r>
                  <m:rPr>
                    <m:sty m:val="p"/>
                  </m:rPr>
                  <w:rPr>
                    <w:rFonts w:ascii="Cambria Math" w:hAnsi="Cambria Math"/>
                  </w:rPr>
                  <m:t>CNW</m:t>
                </m:r>
                <m:ctrlPr>
                  <w:rPr>
                    <w:rFonts w:ascii="Cambria Math" w:hAnsi="Cambria Math"/>
                    <w:i/>
                  </w:rPr>
                </m:ctrlPr>
              </m:sub>
            </m:sSub>
            <m:r>
              <w:rPr>
                <w:rFonts w:ascii="Cambria Math" w:hAnsi="Cambria Math"/>
              </w:rPr>
              <m:t>×v</m:t>
            </m:r>
            <m:ctrlPr>
              <w:rPr>
                <w:rFonts w:ascii="Cambria Math" w:hAnsi="Cambria Math"/>
                <w:i/>
              </w:rPr>
            </m:ctrlPr>
          </m:den>
        </m:f>
        <m:r>
          <w:rPr>
            <w:rFonts w:ascii="Cambria Math" w:hAnsi="Cambria Math"/>
          </w:rPr>
          <m:t>×</m:t>
        </m:r>
        <m:sSup>
          <m:sSupPr>
            <m:ctrlPr>
              <w:rPr>
                <w:rFonts w:ascii="Cambria Math" w:hAnsi="Cambria Math"/>
                <w:i/>
              </w:rPr>
            </m:ctrlPr>
          </m:sSupPr>
          <m:e>
            <m:r>
              <w:rPr>
                <w:rFonts w:ascii="Cambria Math" w:hAnsi="Cambria Math"/>
              </w:rPr>
              <m:t>10</m:t>
            </m:r>
            <m:ctrlPr>
              <w:rPr>
                <w:rFonts w:ascii="Cambria Math" w:hAnsi="Cambria Math"/>
                <w:i/>
              </w:rPr>
            </m:ctrlPr>
          </m:e>
          <m:sup>
            <m:r>
              <w:rPr>
                <w:rFonts w:ascii="Cambria Math" w:hAnsi="Cambria Math"/>
              </w:rPr>
              <m:t>4</m:t>
            </m:r>
            <m:ctrlPr>
              <w:rPr>
                <w:rFonts w:ascii="Cambria Math" w:hAnsi="Cambria Math"/>
                <w:i/>
              </w:rPr>
            </m:ctrlPr>
          </m:sup>
        </m:sSup>
        <m:r>
          <w:rPr>
            <w:rFonts w:ascii="Cambria Math" w:hAnsi="Cambria Math"/>
            <w:szCs w:val="24"/>
          </w:rPr>
          <m:t>,</m:t>
        </m:r>
      </m:oMath>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(1)</w:t>
      </w:r>
    </w:p>
    <w:p>
      <w:pPr>
        <w:snapToGrid w:val="0"/>
        <w:spacing w:after="60" w:line="276" w:lineRule="auto"/>
        <w:ind w:firstLine="181"/>
        <w:jc w:val="left"/>
        <w:rPr>
          <w:rFonts w:ascii="Times New Roman" w:hAnsi="Times New Roman"/>
        </w:rPr>
      </w:pPr>
    </w:p>
    <w:p>
      <w:pPr>
        <w:snapToGrid w:val="0"/>
        <w:spacing w:after="60" w:line="276" w:lineRule="auto"/>
        <w:ind w:firstLine="181"/>
        <w:jc w:val="left"/>
        <w:rPr>
          <w:rFonts w:ascii="Times New Roman" w:hAnsi="Times New Roman"/>
        </w:rPr>
      </w:pPr>
      <w:r>
        <w:rPr>
          <w:rFonts w:ascii="Times New Roman" w:hAnsi="Times New Roman"/>
        </w:rPr>
        <w:t xml:space="preserve">where </w:t>
      </w:r>
      <w:r>
        <w:rPr>
          <w:rFonts w:ascii="Times New Roman" w:hAnsi="Times New Roman"/>
          <w:i/>
        </w:rPr>
        <w:t>c</w:t>
      </w:r>
      <w:r>
        <w:rPr>
          <w:rFonts w:ascii="Times New Roman" w:hAnsi="Times New Roman"/>
          <w:vertAlign w:val="subscript"/>
        </w:rPr>
        <w:t>TBO</w:t>
      </w:r>
      <w:r>
        <w:rPr>
          <w:rFonts w:ascii="Times New Roman" w:hAnsi="Times New Roman"/>
        </w:rPr>
        <w:t xml:space="preserve"> is the concentration of the TBO solutions (ca. 5.0 × 10</w:t>
      </w:r>
      <w:r>
        <w:rPr>
          <w:rFonts w:ascii="Times New Roman" w:hAnsi="Times New Roman"/>
          <w:vertAlign w:val="superscript"/>
        </w:rPr>
        <w:t>−4</w:t>
      </w:r>
      <w:r>
        <w:rPr>
          <w:rFonts w:ascii="Times New Roman" w:hAnsi="Times New Roman"/>
        </w:rPr>
        <w:t xml:space="preserve"> mol/L, which was precisely calculated from the concentration of the TBO stock solution), </w:t>
      </w:r>
      <w:r>
        <w:rPr>
          <w:rFonts w:ascii="Times New Roman" w:hAnsi="Times New Roman"/>
          <w:i/>
        </w:rPr>
        <w:t>c</w:t>
      </w:r>
      <w:r>
        <w:rPr>
          <w:rFonts w:ascii="Times New Roman" w:hAnsi="Times New Roman"/>
          <w:vertAlign w:val="subscript"/>
        </w:rPr>
        <w:t>CNW</w:t>
      </w:r>
      <w:r>
        <w:rPr>
          <w:rFonts w:ascii="Times New Roman" w:hAnsi="Times New Roman"/>
        </w:rPr>
        <w:t xml:space="preserve"> is </w:t>
      </w:r>
      <w:r>
        <w:rPr>
          <w:rFonts w:ascii="Times New Roman" w:hAnsi="Times New Roman"/>
          <w:szCs w:val="24"/>
        </w:rPr>
        <w:t>the</w:t>
      </w:r>
      <w:r>
        <w:rPr>
          <w:rFonts w:ascii="Times New Roman" w:hAnsi="Times New Roman"/>
        </w:rPr>
        <w:t xml:space="preserve"> solid concentration of the CNW, CCNW, or CNW/CCNW mixtures (5.0 mg/mL in the standard protocols), and</w:t>
      </w:r>
      <w:r>
        <w:rPr>
          <w:rFonts w:ascii="Times New Roman" w:hAnsi="Times New Roman"/>
          <w:i/>
        </w:rPr>
        <w:t xml:space="preserve"> v</w:t>
      </w:r>
      <w:r>
        <w:rPr>
          <w:rFonts w:ascii="Times New Roman" w:hAnsi="Times New Roman"/>
        </w:rPr>
        <w:t xml:space="preserve"> is </w:t>
      </w:r>
      <w:r>
        <w:rPr>
          <w:rFonts w:ascii="Times New Roman" w:hAnsi="Times New Roman"/>
          <w:szCs w:val="24"/>
        </w:rPr>
        <w:t>the</w:t>
      </w:r>
      <w:r>
        <w:rPr>
          <w:rFonts w:ascii="Times New Roman" w:hAnsi="Times New Roman"/>
        </w:rPr>
        <w:t xml:space="preserve"> volume of the nanowhisker suspensions used for a single measurement (0.1 mL in the standard protocols). </w:t>
      </w:r>
      <w:r>
        <w:rPr>
          <w:rFonts w:ascii="Times New Roman" w:hAnsi="Times New Roman"/>
          <w:szCs w:val="24"/>
        </w:rPr>
        <w:t>Because</w:t>
      </w:r>
      <w:r>
        <w:rPr>
          <w:rFonts w:ascii="Times New Roman" w:hAnsi="Times New Roman"/>
        </w:rPr>
        <w:t xml:space="preserve"> the carboxyl groups herein were the only surface anionic groups, the </w:t>
      </w:r>
      <w:r>
        <w:rPr>
          <w:rFonts w:ascii="Times New Roman" w:hAnsi="Times New Roman"/>
          <w:i/>
        </w:rPr>
        <w:t>S</w:t>
      </w:r>
      <w:r>
        <w:rPr>
          <w:rFonts w:ascii="Times New Roman" w:hAnsi="Times New Roman"/>
          <w:vertAlign w:val="subscript"/>
        </w:rPr>
        <w:t>w</w:t>
      </w:r>
      <w:r>
        <w:rPr>
          <w:rFonts w:ascii="Times New Roman" w:hAnsi="Times New Roman"/>
        </w:rPr>
        <w:t xml:space="preserve"> value calculated using Equation 1 directly corresponded </w:t>
      </w:r>
      <w:r>
        <w:rPr>
          <w:rFonts w:ascii="Times New Roman" w:hAnsi="Times New Roman"/>
          <w:szCs w:val="24"/>
        </w:rPr>
        <w:t>with</w:t>
      </w:r>
      <w:r>
        <w:rPr>
          <w:rFonts w:ascii="Times New Roman" w:hAnsi="Times New Roman"/>
        </w:rPr>
        <w:t xml:space="preserve"> the carboxyl contents. This protocol, </w:t>
      </w:r>
      <w:r>
        <w:rPr>
          <w:rFonts w:ascii="Times New Roman" w:hAnsi="Times New Roman"/>
          <w:szCs w:val="24"/>
        </w:rPr>
        <w:t>wherein</w:t>
      </w:r>
      <w:r>
        <w:rPr>
          <w:rFonts w:ascii="Times New Roman" w:hAnsi="Times New Roman"/>
        </w:rPr>
        <w:t xml:space="preserve"> 0.5 mg of the nanowhisker solid content was used, corresponded to the quantification of 0–2.0 mmol/g </w:t>
      </w:r>
      <w:r>
        <w:rPr>
          <w:rFonts w:ascii="Times New Roman" w:hAnsi="Times New Roman"/>
          <w:szCs w:val="24"/>
        </w:rPr>
        <w:t xml:space="preserve">of </w:t>
      </w:r>
      <w:r>
        <w:rPr>
          <w:rFonts w:ascii="Times New Roman" w:hAnsi="Times New Roman"/>
        </w:rPr>
        <w:t>surface anionic groups.</w:t>
      </w:r>
    </w:p>
    <w:p>
      <w:pPr>
        <w:snapToGrid w:val="0"/>
        <w:spacing w:after="60" w:line="276" w:lineRule="auto"/>
        <w:ind w:firstLine="181"/>
        <w:jc w:val="left"/>
        <w:rPr>
          <w:rFonts w:ascii="Times New Roman" w:hAnsi="Times New Roman"/>
        </w:rPr>
      </w:pPr>
      <w:r>
        <w:rPr>
          <w:rFonts w:ascii="Times New Roman" w:hAnsi="Times New Roman"/>
        </w:rPr>
        <w:t>The experiments conducted under the “pH = 1” conditions are as follows</w:t>
      </w:r>
      <w:r>
        <w:rPr>
          <w:rFonts w:ascii="Times New Roman" w:hAnsi="Times New Roman"/>
          <w:szCs w:val="24"/>
        </w:rPr>
        <w:t>.</w:t>
      </w:r>
      <w:r>
        <w:rPr>
          <w:rFonts w:ascii="Times New Roman" w:hAnsi="Times New Roman"/>
        </w:rPr>
        <w:t xml:space="preserve"> 0.5 mL of the aqueous nanowhisker suspensions containing 5 mg/mL </w:t>
      </w:r>
      <w:r>
        <w:rPr>
          <w:rFonts w:ascii="Times New Roman" w:hAnsi="Times New Roman"/>
          <w:szCs w:val="24"/>
        </w:rPr>
        <w:t xml:space="preserve">of </w:t>
      </w:r>
      <w:r>
        <w:rPr>
          <w:rFonts w:ascii="Times New Roman" w:hAnsi="Times New Roman"/>
        </w:rPr>
        <w:t>solid content (or a precisely determined value), 0.5 mL of 1 mol/L aqueous HCl, 2.0 mL</w:t>
      </w:r>
      <w:r>
        <w:rPr>
          <w:rFonts w:ascii="Times New Roman" w:hAnsi="Times New Roman"/>
          <w:szCs w:val="24"/>
        </w:rPr>
        <w:t xml:space="preserve"> of</w:t>
      </w:r>
      <w:r>
        <w:rPr>
          <w:rFonts w:ascii="Times New Roman" w:hAnsi="Times New Roman"/>
        </w:rPr>
        <w:t xml:space="preserve"> water, and 2.0 mL of the TBO measurement solution were mixed in a 5</w:t>
      </w:r>
      <w:r>
        <w:rPr>
          <w:rFonts w:ascii="Times New Roman" w:hAnsi="Times New Roman"/>
        </w:rPr>
        <w:noBreakHyphen/>
      </w:r>
      <w:r>
        <w:rPr>
          <w:rFonts w:ascii="Times New Roman" w:hAnsi="Times New Roman"/>
        </w:rPr>
        <w:t xml:space="preserve">mL PP centrifuge microtube. </w:t>
      </w:r>
      <w:r>
        <w:rPr>
          <w:rFonts w:ascii="Times New Roman" w:hAnsi="Times New Roman"/>
          <w:szCs w:val="24"/>
        </w:rPr>
        <w:t>Subsequently,</w:t>
      </w:r>
      <w:r>
        <w:rPr>
          <w:rFonts w:ascii="Times New Roman" w:hAnsi="Times New Roman"/>
        </w:rPr>
        <w:t xml:space="preserve"> shaking </w:t>
      </w:r>
      <w:r>
        <w:rPr>
          <w:rFonts w:ascii="Times New Roman" w:hAnsi="Times New Roman"/>
          <w:szCs w:val="24"/>
          <w:lang w:eastAsia="ja-JP"/>
        </w:rPr>
        <w:t xml:space="preserve">was conducted </w:t>
      </w:r>
      <w:r>
        <w:rPr>
          <w:rFonts w:ascii="Times New Roman" w:hAnsi="Times New Roman"/>
        </w:rPr>
        <w:t xml:space="preserve">for </w:t>
      </w:r>
      <w:r>
        <w:rPr>
          <w:rFonts w:ascii="Times New Roman" w:hAnsi="Times New Roman"/>
          <w:szCs w:val="24"/>
          <w:lang w:eastAsia="ja-JP"/>
        </w:rPr>
        <w:t>more than</w:t>
      </w:r>
      <w:r>
        <w:rPr>
          <w:rFonts w:ascii="Times New Roman" w:hAnsi="Times New Roman"/>
        </w:rPr>
        <w:t xml:space="preserve"> 2 h (as stated above) on a shaker</w:t>
      </w:r>
      <w:r>
        <w:rPr>
          <w:rFonts w:ascii="Times New Roman" w:hAnsi="Times New Roman"/>
          <w:szCs w:val="24"/>
        </w:rPr>
        <w:t>. This was</w:t>
      </w:r>
      <w:r>
        <w:rPr>
          <w:rFonts w:ascii="Times New Roman" w:hAnsi="Times New Roman"/>
        </w:rPr>
        <w:t xml:space="preserve"> followed by centrifugation</w:t>
      </w:r>
      <w:r>
        <w:rPr>
          <w:rFonts w:ascii="Times New Roman" w:hAnsi="Times New Roman"/>
          <w:szCs w:val="24"/>
          <w:lang w:eastAsia="ja-JP"/>
        </w:rPr>
        <w:t>, yielding</w:t>
      </w:r>
      <w:r>
        <w:rPr>
          <w:rFonts w:ascii="Times New Roman" w:hAnsi="Times New Roman"/>
        </w:rPr>
        <w:t xml:space="preserve"> the supernatant, which was then diluted by a factor of 10. The absorbance of the resulting solutions (</w:t>
      </w:r>
      <w:r>
        <w:rPr>
          <w:rFonts w:ascii="Times New Roman" w:hAnsi="Times New Roman"/>
          <w:i/>
        </w:rPr>
        <w:t>A</w:t>
      </w:r>
      <w:r>
        <w:rPr>
          <w:rFonts w:ascii="Times New Roman" w:hAnsi="Times New Roman"/>
          <w:vertAlign w:val="subscript"/>
        </w:rPr>
        <w:t>pH1</w:t>
      </w:r>
      <w:r>
        <w:rPr>
          <w:rFonts w:ascii="Times New Roman" w:hAnsi="Times New Roman"/>
        </w:rPr>
        <w:t xml:space="preserve">) was measured at 628 nm. Baseline readings were </w:t>
      </w:r>
      <w:r>
        <w:rPr>
          <w:rFonts w:ascii="Times New Roman" w:hAnsi="Times New Roman"/>
          <w:szCs w:val="24"/>
          <w:lang w:eastAsia="ja-JP"/>
        </w:rPr>
        <w:t>obtained</w:t>
      </w:r>
      <w:r>
        <w:rPr>
          <w:rFonts w:ascii="Times New Roman" w:hAnsi="Times New Roman"/>
        </w:rPr>
        <w:t xml:space="preserve"> using 0.1 M aqueous HCl. Another calibration curve </w:t>
      </w:r>
      <w:r>
        <w:rPr>
          <w:rFonts w:ascii="Times New Roman" w:hAnsi="Times New Roman"/>
          <w:szCs w:val="24"/>
        </w:rPr>
        <w:t>for</w:t>
      </w:r>
      <w:r>
        <w:rPr>
          <w:rFonts w:ascii="Times New Roman" w:hAnsi="Times New Roman"/>
        </w:rPr>
        <w:t xml:space="preserve"> pH = 1 was plotted separately for the same TBO concentration ranges (see Figure S1); the molar extinction coefficient of TBO </w:t>
      </w:r>
      <w:r>
        <w:rPr>
          <w:rFonts w:ascii="Times New Roman" w:hAnsi="Times New Roman"/>
          <w:szCs w:val="24"/>
        </w:rPr>
        <w:t>for</w:t>
      </w:r>
      <w:r>
        <w:rPr>
          <w:rFonts w:ascii="Times New Roman" w:hAnsi="Times New Roman"/>
        </w:rPr>
        <w:t xml:space="preserve"> pH = 1 (</w:t>
      </w:r>
      <w:r>
        <w:rPr>
          <w:rFonts w:ascii="Times New Roman" w:hAnsi="Times New Roman"/>
          <w:i/>
        </w:rPr>
        <w:sym w:font="Symbol" w:char="F065"/>
      </w:r>
      <w:r>
        <w:rPr>
          <w:rFonts w:ascii="Times New Roman" w:hAnsi="Times New Roman"/>
          <w:vertAlign w:val="subscript"/>
        </w:rPr>
        <w:t>pH1</w:t>
      </w:r>
      <w:r>
        <w:rPr>
          <w:rFonts w:ascii="Times New Roman" w:hAnsi="Times New Roman"/>
        </w:rPr>
        <w:t xml:space="preserve">) was 41751 L/mol·cm. </w:t>
      </w:r>
      <w:r>
        <w:rPr>
          <w:rFonts w:ascii="Times New Roman" w:hAnsi="Times New Roman"/>
          <w:szCs w:val="24"/>
        </w:rPr>
        <w:t>The</w:t>
      </w:r>
      <w:r>
        <w:rPr>
          <w:rFonts w:ascii="Times New Roman" w:hAnsi="Times New Roman"/>
        </w:rPr>
        <w:t xml:space="preserve"> absorbance measurements and calibration curve plotting </w:t>
      </w:r>
      <w:r>
        <w:rPr>
          <w:rFonts w:ascii="Times New Roman" w:hAnsi="Times New Roman"/>
          <w:szCs w:val="24"/>
        </w:rPr>
        <w:t>must</w:t>
      </w:r>
      <w:r>
        <w:rPr>
          <w:rFonts w:ascii="Times New Roman" w:hAnsi="Times New Roman"/>
        </w:rPr>
        <w:t xml:space="preserve"> be conducted after </w:t>
      </w:r>
      <w:r>
        <w:rPr>
          <w:rFonts w:ascii="Times New Roman" w:hAnsi="Times New Roman"/>
          <w:szCs w:val="24"/>
          <w:lang w:eastAsia="ja-JP"/>
        </w:rPr>
        <w:t>mixing</w:t>
      </w:r>
      <w:r>
        <w:rPr>
          <w:rFonts w:ascii="Times New Roman" w:hAnsi="Times New Roman"/>
        </w:rPr>
        <w:t xml:space="preserve"> the calibration sample at pH = 1 to stand overnight and undergo subsequent centrifugation </w:t>
      </w:r>
      <w:r>
        <w:rPr>
          <w:rFonts w:ascii="Times New Roman" w:hAnsi="Times New Roman"/>
          <w:szCs w:val="24"/>
        </w:rPr>
        <w:t>because</w:t>
      </w:r>
      <w:r>
        <w:rPr>
          <w:rFonts w:ascii="Times New Roman" w:hAnsi="Times New Roman"/>
        </w:rPr>
        <w:t xml:space="preserve"> the absorbance values </w:t>
      </w:r>
      <w:r>
        <w:rPr>
          <w:rFonts w:ascii="Times New Roman" w:hAnsi="Times New Roman"/>
          <w:szCs w:val="24"/>
        </w:rPr>
        <w:t>were</w:t>
      </w:r>
      <w:r>
        <w:rPr>
          <w:rFonts w:ascii="Times New Roman" w:hAnsi="Times New Roman"/>
        </w:rPr>
        <w:t xml:space="preserve"> observed </w:t>
      </w:r>
      <w:r>
        <w:rPr>
          <w:rFonts w:ascii="Times New Roman" w:hAnsi="Times New Roman"/>
          <w:szCs w:val="24"/>
        </w:rPr>
        <w:t xml:space="preserve">to slightly decrease </w:t>
      </w:r>
      <w:r>
        <w:rPr>
          <w:rFonts w:ascii="Times New Roman" w:hAnsi="Times New Roman"/>
        </w:rPr>
        <w:t xml:space="preserve">after a series of these procedures </w:t>
      </w:r>
      <w:r>
        <w:rPr>
          <w:rFonts w:ascii="Times New Roman" w:hAnsi="Times New Roman"/>
          <w:szCs w:val="24"/>
          <w:lang w:eastAsia="ja-JP"/>
        </w:rPr>
        <w:t>was</w:t>
      </w:r>
      <w:r>
        <w:rPr>
          <w:rFonts w:ascii="Times New Roman" w:hAnsi="Times New Roman"/>
        </w:rPr>
        <w:t xml:space="preserve"> conducted. This phenomenon was only observed in the “pH = 1” samples. The number of surface anionic groups determined </w:t>
      </w:r>
      <w:r>
        <w:rPr>
          <w:rFonts w:ascii="Times New Roman" w:hAnsi="Times New Roman"/>
          <w:szCs w:val="24"/>
        </w:rPr>
        <w:t>for</w:t>
      </w:r>
      <w:r>
        <w:rPr>
          <w:rFonts w:ascii="Times New Roman" w:hAnsi="Times New Roman"/>
        </w:rPr>
        <w:t xml:space="preserve"> pH = 1 (</w:t>
      </w:r>
      <w:r>
        <w:rPr>
          <w:rFonts w:ascii="Times New Roman" w:hAnsi="Times New Roman"/>
          <w:i/>
        </w:rPr>
        <w:t>S</w:t>
      </w:r>
      <w:r>
        <w:rPr>
          <w:rFonts w:ascii="Times New Roman" w:hAnsi="Times New Roman"/>
          <w:vertAlign w:val="subscript"/>
        </w:rPr>
        <w:t>pH1</w:t>
      </w:r>
      <w:r>
        <w:rPr>
          <w:rFonts w:ascii="Times New Roman" w:hAnsi="Times New Roman"/>
        </w:rPr>
        <w:t>) (mmol/g) was calculated according to the following equation:</w:t>
      </w:r>
    </w:p>
    <w:p>
      <w:pPr>
        <w:snapToGrid w:val="0"/>
        <w:spacing w:after="60" w:line="276" w:lineRule="auto"/>
        <w:ind w:firstLine="181"/>
        <w:jc w:val="left"/>
        <w:rPr>
          <w:rFonts w:ascii="Times New Roman" w:hAnsi="Times New Roman"/>
        </w:rPr>
      </w:pPr>
    </w:p>
    <w:p>
      <w:pPr>
        <w:snapToGrid w:val="0"/>
        <w:spacing w:after="60" w:line="276" w:lineRule="auto"/>
        <w:ind w:firstLine="181"/>
        <w:jc w:val="left"/>
        <w:rPr>
          <w:rFonts w:ascii="Times New Roman" w:hAnsi="Times New Roman"/>
        </w:rPr>
      </w:pPr>
      <m:oMath>
        <m:sSub>
          <m:sSubPr>
            <m:ctrlPr>
              <w:rPr>
                <w:rFonts w:ascii="Cambria Math" w:hAnsi="Cambria Math"/>
                <w:i/>
              </w:rPr>
            </m:ctrlPr>
          </m:sSubPr>
          <m:e>
            <m:r>
              <w:rPr>
                <w:rFonts w:ascii="Cambria Math" w:hAnsi="Cambria Math"/>
              </w:rPr>
              <m:t>S</m:t>
            </m:r>
            <m:ctrlPr>
              <w:rPr>
                <w:rFonts w:ascii="Cambria Math" w:hAnsi="Cambria Math"/>
                <w:i/>
              </w:rPr>
            </m:ctrlPr>
          </m:e>
          <m:sub>
            <m:r>
              <m:rPr>
                <m:sty m:val="p"/>
              </m:rPr>
              <w:rPr>
                <w:rFonts w:ascii="Cambria Math" w:hAnsi="Cambria Math"/>
              </w:rPr>
              <m:t>pH1</m:t>
            </m:r>
            <m:ctrlPr>
              <w:rPr>
                <w:rFonts w:ascii="Cambria Math" w:hAnsi="Cambria Math"/>
                <w:i/>
              </w:rPr>
            </m:ctrlPr>
          </m:sub>
        </m:sSub>
        <m:r>
          <w:rPr>
            <w:rFonts w:ascii="Cambria Math" w:hAnsi="Cambria Math"/>
          </w:rPr>
          <m:t>=</m:t>
        </m:r>
        <m:f>
          <m:fPr>
            <m:ctrlPr>
              <w:rPr>
                <w:rFonts w:ascii="Cambria Math" w:hAnsi="Cambria Math"/>
                <w:i/>
              </w:rPr>
            </m:ctrlPr>
          </m:fPr>
          <m:num>
            <m:d>
              <m:dPr>
                <m:ctrlPr>
                  <w:rPr>
                    <w:rFonts w:ascii="Cambria Math" w:hAnsi="Cambria Math"/>
                    <w:i/>
                  </w:rPr>
                </m:ctrlPr>
              </m:dPr>
              <m:e>
                <m:sSub>
                  <m:sSubPr>
                    <m:ctrlPr>
                      <w:rPr>
                        <w:rFonts w:ascii="Cambria Math" w:hAnsi="Cambria Math"/>
                        <w:i/>
                      </w:rPr>
                    </m:ctrlPr>
                  </m:sSubPr>
                  <m:e>
                    <m:r>
                      <w:rPr>
                        <w:rFonts w:ascii="Cambria Math" w:hAnsi="Cambria Math"/>
                      </w:rPr>
                      <m:t>c</m:t>
                    </m:r>
                    <m:ctrlPr>
                      <w:rPr>
                        <w:rFonts w:ascii="Cambria Math" w:hAnsi="Cambria Math"/>
                        <w:i/>
                      </w:rPr>
                    </m:ctrlPr>
                  </m:e>
                  <m:sub>
                    <m:r>
                      <w:rPr>
                        <w:rFonts w:ascii="Cambria Math" w:hAnsi="Cambria Math"/>
                      </w:rPr>
                      <m:t>TBO</m:t>
                    </m:r>
                    <m:ctrlPr>
                      <w:rPr>
                        <w:rFonts w:ascii="Cambria Math" w:hAnsi="Cambria Math"/>
                        <w:i/>
                      </w:rPr>
                    </m:ctrlPr>
                  </m:sub>
                </m:sSub>
                <m:r>
                  <w:rPr>
                    <w:rFonts w:ascii="Cambria Math" w:hAnsi="Cambria Math"/>
                  </w:rPr>
                  <m:t>×2×</m:t>
                </m:r>
                <m:sSup>
                  <m:sSupPr>
                    <m:ctrlPr>
                      <w:rPr>
                        <w:rFonts w:ascii="Cambria Math" w:hAnsi="Cambria Math"/>
                        <w:i/>
                      </w:rPr>
                    </m:ctrlPr>
                  </m:sSupPr>
                  <m:e>
                    <m:r>
                      <w:rPr>
                        <w:rFonts w:ascii="Cambria Math" w:hAnsi="Cambria Math"/>
                      </w:rPr>
                      <m:t>10</m:t>
                    </m:r>
                    <m:ctrlPr>
                      <w:rPr>
                        <w:rFonts w:ascii="Cambria Math" w:hAnsi="Cambria Math"/>
                        <w:i/>
                      </w:rPr>
                    </m:ctrlPr>
                  </m:e>
                  <m:sup>
                    <m:r>
                      <w:rPr>
                        <w:rFonts w:ascii="Cambria Math" w:hAnsi="Cambria Math"/>
                      </w:rPr>
                      <m:t>-3</m:t>
                    </m:r>
                    <m:ctrlPr>
                      <w:rPr>
                        <w:rFonts w:ascii="Cambria Math" w:hAnsi="Cambria Math"/>
                        <w:i/>
                      </w:rPr>
                    </m:ctrlPr>
                  </m:sup>
                </m:sSup>
                <m:ctrlPr>
                  <w:rPr>
                    <w:rFonts w:ascii="Cambria Math" w:hAnsi="Cambria Math"/>
                    <w:i/>
                  </w:rPr>
                </m:ctrlPr>
              </m:e>
            </m:d>
            <m:r>
              <w:rPr>
                <w:rFonts w:ascii="Cambria Math" w:hAnsi="Cambria Math"/>
              </w:rPr>
              <m:t>-</m:t>
            </m:r>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A</m:t>
                        </m:r>
                        <m:ctrlPr>
                          <w:rPr>
                            <w:rFonts w:ascii="Cambria Math" w:hAnsi="Cambria Math"/>
                            <w:i/>
                          </w:rPr>
                        </m:ctrlPr>
                      </m:e>
                      <m:sub>
                        <m:r>
                          <m:rPr>
                            <m:sty m:val="p"/>
                          </m:rPr>
                          <w:rPr>
                            <w:rFonts w:ascii="Cambria Math" w:hAnsi="Cambria Math"/>
                          </w:rPr>
                          <m:t>pH1</m:t>
                        </m:r>
                        <m:ctrlPr>
                          <w:rPr>
                            <w:rFonts w:ascii="Cambria Math" w:hAnsi="Cambria Math"/>
                            <w:i/>
                          </w:rPr>
                        </m:ctrlPr>
                      </m:sub>
                    </m:sSub>
                    <m:ctrlPr>
                      <w:rPr>
                        <w:rFonts w:ascii="Cambria Math" w:hAnsi="Cambria Math"/>
                        <w:i/>
                      </w:rPr>
                    </m:ctrlPr>
                  </m:num>
                  <m:den>
                    <m:sSub>
                      <m:sSubPr>
                        <m:ctrlPr>
                          <w:rPr>
                            <w:rFonts w:ascii="Cambria Math" w:hAnsi="Cambria Math"/>
                            <w:i/>
                          </w:rPr>
                        </m:ctrlPr>
                      </m:sSubPr>
                      <m:e>
                        <m:r>
                          <w:rPr>
                            <w:rFonts w:ascii="Cambria Math" w:hAnsi="Cambria Math"/>
                          </w:rPr>
                          <m:t>ε</m:t>
                        </m:r>
                        <m:ctrlPr>
                          <w:rPr>
                            <w:rFonts w:ascii="Cambria Math" w:hAnsi="Cambria Math"/>
                            <w:i/>
                          </w:rPr>
                        </m:ctrlPr>
                      </m:e>
                      <m:sub>
                        <m:r>
                          <m:rPr>
                            <m:sty m:val="p"/>
                          </m:rPr>
                          <w:rPr>
                            <w:rFonts w:ascii="Cambria Math" w:hAnsi="Cambria Math"/>
                          </w:rPr>
                          <m:t>pH1</m:t>
                        </m:r>
                        <m:ctrlPr>
                          <w:rPr>
                            <w:rFonts w:ascii="Cambria Math" w:hAnsi="Cambria Math"/>
                            <w:i/>
                          </w:rPr>
                        </m:ctrlPr>
                      </m:sub>
                    </m:sSub>
                    <m:ctrlPr>
                      <w:rPr>
                        <w:rFonts w:ascii="Cambria Math" w:hAnsi="Cambria Math"/>
                        <w:i/>
                      </w:rPr>
                    </m:ctrlPr>
                  </m:den>
                </m:f>
                <m:r>
                  <w:rPr>
                    <w:rFonts w:ascii="Cambria Math" w:hAnsi="Cambria Math"/>
                  </w:rPr>
                  <m:t>×5×</m:t>
                </m:r>
                <m:sSup>
                  <m:sSupPr>
                    <m:ctrlPr>
                      <w:rPr>
                        <w:rFonts w:ascii="Cambria Math" w:hAnsi="Cambria Math"/>
                        <w:i/>
                      </w:rPr>
                    </m:ctrlPr>
                  </m:sSupPr>
                  <m:e>
                    <m:r>
                      <w:rPr>
                        <w:rFonts w:ascii="Cambria Math" w:hAnsi="Cambria Math"/>
                      </w:rPr>
                      <m:t>10</m:t>
                    </m:r>
                    <m:ctrlPr>
                      <w:rPr>
                        <w:rFonts w:ascii="Cambria Math" w:hAnsi="Cambria Math"/>
                        <w:i/>
                      </w:rPr>
                    </m:ctrlPr>
                  </m:e>
                  <m:sup>
                    <m:r>
                      <w:rPr>
                        <w:rFonts w:ascii="Cambria Math" w:hAnsi="Cambria Math"/>
                      </w:rPr>
                      <m:t>-2</m:t>
                    </m:r>
                    <m:ctrlPr>
                      <w:rPr>
                        <w:rFonts w:ascii="Cambria Math" w:hAnsi="Cambria Math"/>
                        <w:i/>
                      </w:rPr>
                    </m:ctrlPr>
                  </m:sup>
                </m:sSup>
                <m:ctrlPr>
                  <w:rPr>
                    <w:rFonts w:ascii="Cambria Math" w:hAnsi="Cambria Math"/>
                    <w:i/>
                  </w:rPr>
                </m:ctrlPr>
              </m:e>
            </m:d>
            <m:ctrlPr>
              <w:rPr>
                <w:rFonts w:ascii="Cambria Math" w:hAnsi="Cambria Math"/>
                <w:i/>
              </w:rPr>
            </m:ctrlPr>
          </m:num>
          <m:den>
            <m:sSub>
              <m:sSubPr>
                <m:ctrlPr>
                  <w:rPr>
                    <w:rFonts w:ascii="Cambria Math" w:hAnsi="Cambria Math"/>
                    <w:i/>
                  </w:rPr>
                </m:ctrlPr>
              </m:sSubPr>
              <m:e>
                <m:r>
                  <w:rPr>
                    <w:rFonts w:ascii="Cambria Math" w:hAnsi="Cambria Math"/>
                  </w:rPr>
                  <m:t>c</m:t>
                </m:r>
                <m:ctrlPr>
                  <w:rPr>
                    <w:rFonts w:ascii="Cambria Math" w:hAnsi="Cambria Math"/>
                    <w:i/>
                  </w:rPr>
                </m:ctrlPr>
              </m:e>
              <m:sub>
                <m:r>
                  <m:rPr>
                    <m:sty m:val="p"/>
                  </m:rPr>
                  <w:rPr>
                    <w:rFonts w:ascii="Cambria Math" w:hAnsi="Cambria Math"/>
                  </w:rPr>
                  <m:t>CNW</m:t>
                </m:r>
                <m:ctrlPr>
                  <w:rPr>
                    <w:rFonts w:ascii="Cambria Math" w:hAnsi="Cambria Math"/>
                    <w:i/>
                  </w:rPr>
                </m:ctrlPr>
              </m:sub>
            </m:sSub>
            <m:r>
              <w:rPr>
                <w:rFonts w:ascii="Cambria Math" w:hAnsi="Cambria Math"/>
              </w:rPr>
              <m:t>×v×</m:t>
            </m:r>
            <m:sSup>
              <m:sSupPr>
                <m:ctrlPr>
                  <w:rPr>
                    <w:rFonts w:ascii="Cambria Math" w:hAnsi="Cambria Math"/>
                    <w:i/>
                  </w:rPr>
                </m:ctrlPr>
              </m:sSupPr>
              <m:e>
                <m:r>
                  <w:rPr>
                    <w:rFonts w:ascii="Cambria Math" w:hAnsi="Cambria Math"/>
                  </w:rPr>
                  <m:t>10</m:t>
                </m:r>
                <m:ctrlPr>
                  <w:rPr>
                    <w:rFonts w:ascii="Cambria Math" w:hAnsi="Cambria Math"/>
                    <w:i/>
                  </w:rPr>
                </m:ctrlPr>
              </m:e>
              <m:sup>
                <m:r>
                  <w:rPr>
                    <w:rFonts w:ascii="Cambria Math" w:hAnsi="Cambria Math"/>
                  </w:rPr>
                  <m:t>-3</m:t>
                </m:r>
                <m:ctrlPr>
                  <w:rPr>
                    <w:rFonts w:ascii="Cambria Math" w:hAnsi="Cambria Math"/>
                    <w:i/>
                  </w:rPr>
                </m:ctrlPr>
              </m:sup>
            </m:sSup>
            <m:ctrlPr>
              <w:rPr>
                <w:rFonts w:ascii="Cambria Math" w:hAnsi="Cambria Math"/>
                <w:i/>
              </w:rPr>
            </m:ctrlPr>
          </m:den>
        </m:f>
        <m:r>
          <w:rPr>
            <w:rFonts w:ascii="Cambria Math" w:hAnsi="Cambria Math"/>
          </w:rPr>
          <m:t>×</m:t>
        </m:r>
        <m:sSup>
          <m:sSupPr>
            <m:ctrlPr>
              <w:rPr>
                <w:rFonts w:ascii="Cambria Math" w:hAnsi="Cambria Math"/>
                <w:i/>
              </w:rPr>
            </m:ctrlPr>
          </m:sSupPr>
          <m:e>
            <m:r>
              <w:rPr>
                <w:rFonts w:ascii="Cambria Math" w:hAnsi="Cambria Math"/>
              </w:rPr>
              <m:t>10</m:t>
            </m:r>
            <m:ctrlPr>
              <w:rPr>
                <w:rFonts w:ascii="Cambria Math" w:hAnsi="Cambria Math"/>
                <w:i/>
              </w:rPr>
            </m:ctrlPr>
          </m:e>
          <m:sup>
            <m:r>
              <w:rPr>
                <w:rFonts w:ascii="Cambria Math" w:hAnsi="Cambria Math"/>
              </w:rPr>
              <m:t>3</m:t>
            </m:r>
            <m:ctrlPr>
              <w:rPr>
                <w:rFonts w:ascii="Cambria Math" w:hAnsi="Cambria Math"/>
                <w:i/>
              </w:rPr>
            </m:ctrlPr>
          </m:sup>
        </m:sSup>
        <m:r>
          <w:rPr>
            <w:rFonts w:ascii="Cambria Math" w:hAnsi="Cambria Math"/>
          </w:rPr>
          <m:t>=</m:t>
        </m:r>
        <m:f>
          <m:fPr>
            <m:ctrlPr>
              <w:rPr>
                <w:rFonts w:ascii="Cambria Math" w:hAnsi="Cambria Math"/>
                <w:i/>
              </w:rPr>
            </m:ctrlPr>
          </m:fPr>
          <m:num>
            <m:d>
              <m:dPr>
                <m:ctrlPr>
                  <w:rPr>
                    <w:rFonts w:ascii="Cambria Math" w:hAnsi="Cambria Math"/>
                    <w:i/>
                  </w:rPr>
                </m:ctrlPr>
              </m:dPr>
              <m:e>
                <m:sSub>
                  <m:sSubPr>
                    <m:ctrlPr>
                      <w:rPr>
                        <w:rFonts w:ascii="Cambria Math" w:hAnsi="Cambria Math"/>
                        <w:i/>
                      </w:rPr>
                    </m:ctrlPr>
                  </m:sSubPr>
                  <m:e>
                    <m:r>
                      <w:rPr>
                        <w:rFonts w:ascii="Cambria Math" w:hAnsi="Cambria Math"/>
                      </w:rPr>
                      <m:t>c</m:t>
                    </m:r>
                    <m:ctrlPr>
                      <w:rPr>
                        <w:rFonts w:ascii="Cambria Math" w:hAnsi="Cambria Math"/>
                        <w:i/>
                      </w:rPr>
                    </m:ctrlPr>
                  </m:e>
                  <m:sub>
                    <m:r>
                      <w:rPr>
                        <w:rFonts w:ascii="Cambria Math" w:hAnsi="Cambria Math"/>
                      </w:rPr>
                      <m:t>TBO</m:t>
                    </m:r>
                    <m:ctrlPr>
                      <w:rPr>
                        <w:rFonts w:ascii="Cambria Math" w:hAnsi="Cambria Math"/>
                        <w:i/>
                      </w:rPr>
                    </m:ctrlPr>
                  </m:sub>
                </m:sSub>
                <m:r>
                  <w:rPr>
                    <w:rFonts w:ascii="Cambria Math" w:hAnsi="Cambria Math"/>
                  </w:rPr>
                  <m:t>×0.2</m:t>
                </m:r>
                <m:ctrlPr>
                  <w:rPr>
                    <w:rFonts w:ascii="Cambria Math" w:hAnsi="Cambria Math"/>
                    <w:i/>
                  </w:rPr>
                </m:ctrlPr>
              </m:e>
            </m:d>
            <m:r>
              <w:rPr>
                <w:rFonts w:ascii="Cambria Math" w:hAnsi="Cambria Math"/>
              </w:rPr>
              <m:t>-</m:t>
            </m:r>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A</m:t>
                        </m:r>
                        <m:ctrlPr>
                          <w:rPr>
                            <w:rFonts w:ascii="Cambria Math" w:hAnsi="Cambria Math"/>
                            <w:i/>
                          </w:rPr>
                        </m:ctrlPr>
                      </m:e>
                      <m:sub>
                        <m:r>
                          <m:rPr>
                            <m:sty m:val="p"/>
                          </m:rPr>
                          <w:rPr>
                            <w:rFonts w:ascii="Cambria Math" w:hAnsi="Cambria Math"/>
                          </w:rPr>
                          <m:t>pH1</m:t>
                        </m:r>
                        <m:ctrlPr>
                          <w:rPr>
                            <w:rFonts w:ascii="Cambria Math" w:hAnsi="Cambria Math"/>
                            <w:i/>
                          </w:rPr>
                        </m:ctrlPr>
                      </m:sub>
                    </m:sSub>
                    <m:ctrlPr>
                      <w:rPr>
                        <w:rFonts w:ascii="Cambria Math" w:hAnsi="Cambria Math"/>
                        <w:i/>
                      </w:rPr>
                    </m:ctrlPr>
                  </m:num>
                  <m:den>
                    <m:sSub>
                      <m:sSubPr>
                        <m:ctrlPr>
                          <w:rPr>
                            <w:rFonts w:ascii="Cambria Math" w:hAnsi="Cambria Math"/>
                            <w:i/>
                          </w:rPr>
                        </m:ctrlPr>
                      </m:sSubPr>
                      <m:e>
                        <m:r>
                          <w:rPr>
                            <w:rFonts w:ascii="Cambria Math" w:hAnsi="Cambria Math"/>
                          </w:rPr>
                          <m:t>ε</m:t>
                        </m:r>
                        <m:ctrlPr>
                          <w:rPr>
                            <w:rFonts w:ascii="Cambria Math" w:hAnsi="Cambria Math"/>
                            <w:i/>
                          </w:rPr>
                        </m:ctrlPr>
                      </m:e>
                      <m:sub>
                        <m:r>
                          <m:rPr>
                            <m:sty m:val="p"/>
                          </m:rPr>
                          <w:rPr>
                            <w:rFonts w:ascii="Cambria Math" w:hAnsi="Cambria Math"/>
                          </w:rPr>
                          <m:t>pH1</m:t>
                        </m:r>
                        <m:ctrlPr>
                          <w:rPr>
                            <w:rFonts w:ascii="Cambria Math" w:hAnsi="Cambria Math"/>
                            <w:i/>
                          </w:rPr>
                        </m:ctrlPr>
                      </m:sub>
                    </m:sSub>
                    <m:ctrlPr>
                      <w:rPr>
                        <w:rFonts w:ascii="Cambria Math" w:hAnsi="Cambria Math"/>
                        <w:i/>
                      </w:rPr>
                    </m:ctrlPr>
                  </m:den>
                </m:f>
                <m:r>
                  <w:rPr>
                    <w:rFonts w:ascii="Cambria Math" w:hAnsi="Cambria Math"/>
                  </w:rPr>
                  <m:t>×5</m:t>
                </m:r>
                <m:ctrlPr>
                  <w:rPr>
                    <w:rFonts w:ascii="Cambria Math" w:hAnsi="Cambria Math"/>
                    <w:i/>
                  </w:rPr>
                </m:ctrlPr>
              </m:e>
            </m:d>
            <m:ctrlPr>
              <w:rPr>
                <w:rFonts w:ascii="Cambria Math" w:hAnsi="Cambria Math"/>
                <w:i/>
              </w:rPr>
            </m:ctrlPr>
          </m:num>
          <m:den>
            <m:sSub>
              <m:sSubPr>
                <m:ctrlPr>
                  <w:rPr>
                    <w:rFonts w:ascii="Cambria Math" w:hAnsi="Cambria Math"/>
                    <w:i/>
                  </w:rPr>
                </m:ctrlPr>
              </m:sSubPr>
              <m:e>
                <m:r>
                  <w:rPr>
                    <w:rFonts w:ascii="Cambria Math" w:hAnsi="Cambria Math"/>
                  </w:rPr>
                  <m:t>c</m:t>
                </m:r>
                <m:ctrlPr>
                  <w:rPr>
                    <w:rFonts w:ascii="Cambria Math" w:hAnsi="Cambria Math"/>
                    <w:i/>
                  </w:rPr>
                </m:ctrlPr>
              </m:e>
              <m:sub>
                <m:r>
                  <m:rPr>
                    <m:sty m:val="p"/>
                  </m:rPr>
                  <w:rPr>
                    <w:rFonts w:ascii="Cambria Math" w:hAnsi="Cambria Math"/>
                  </w:rPr>
                  <m:t>CNW</m:t>
                </m:r>
                <m:ctrlPr>
                  <w:rPr>
                    <w:rFonts w:ascii="Cambria Math" w:hAnsi="Cambria Math"/>
                    <w:i/>
                  </w:rPr>
                </m:ctrlPr>
              </m:sub>
            </m:sSub>
            <m:r>
              <w:rPr>
                <w:rFonts w:ascii="Cambria Math" w:hAnsi="Cambria Math"/>
              </w:rPr>
              <m:t>×v</m:t>
            </m:r>
            <m:ctrlPr>
              <w:rPr>
                <w:rFonts w:ascii="Cambria Math" w:hAnsi="Cambria Math"/>
                <w:i/>
              </w:rPr>
            </m:ctrlPr>
          </m:den>
        </m:f>
        <m:r>
          <w:rPr>
            <w:rFonts w:ascii="Cambria Math" w:hAnsi="Cambria Math"/>
          </w:rPr>
          <m:t>×</m:t>
        </m:r>
        <m:sSup>
          <m:sSupPr>
            <m:ctrlPr>
              <w:rPr>
                <w:rFonts w:ascii="Cambria Math" w:hAnsi="Cambria Math"/>
                <w:i/>
              </w:rPr>
            </m:ctrlPr>
          </m:sSupPr>
          <m:e>
            <m:r>
              <w:rPr>
                <w:rFonts w:ascii="Cambria Math" w:hAnsi="Cambria Math"/>
              </w:rPr>
              <m:t>10</m:t>
            </m:r>
            <m:ctrlPr>
              <w:rPr>
                <w:rFonts w:ascii="Cambria Math" w:hAnsi="Cambria Math"/>
                <w:i/>
              </w:rPr>
            </m:ctrlPr>
          </m:e>
          <m:sup>
            <m:r>
              <w:rPr>
                <w:rFonts w:ascii="Cambria Math" w:hAnsi="Cambria Math"/>
              </w:rPr>
              <m:t>4</m:t>
            </m:r>
            <m:ctrlPr>
              <w:rPr>
                <w:rFonts w:ascii="Cambria Math" w:hAnsi="Cambria Math"/>
                <w:i/>
              </w:rPr>
            </m:ctrlPr>
          </m:sup>
        </m:sSup>
      </m:oMath>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(2)</w:t>
      </w:r>
    </w:p>
    <w:p>
      <w:pPr>
        <w:snapToGrid w:val="0"/>
        <w:spacing w:after="60" w:line="276" w:lineRule="auto"/>
        <w:ind w:firstLine="181"/>
        <w:jc w:val="left"/>
        <w:rPr>
          <w:rFonts w:ascii="Times New Roman" w:hAnsi="Times New Roman"/>
        </w:rPr>
      </w:pPr>
    </w:p>
    <w:p>
      <w:pPr>
        <w:snapToGrid w:val="0"/>
        <w:spacing w:after="60" w:line="276" w:lineRule="auto"/>
        <w:ind w:firstLine="181"/>
        <w:jc w:val="left"/>
        <w:rPr>
          <w:rFonts w:ascii="Times New Roman" w:hAnsi="Times New Roman"/>
        </w:rPr>
      </w:pPr>
    </w:p>
    <w:p>
      <w:pPr>
        <w:snapToGrid w:val="0"/>
        <w:spacing w:after="60" w:line="276" w:lineRule="auto"/>
        <w:ind w:firstLine="181"/>
        <w:jc w:val="left"/>
        <w:rPr>
          <w:rFonts w:ascii="Times New Roman" w:hAnsi="Times New Roman"/>
        </w:rPr>
      </w:pPr>
      <w:r>
        <w:rPr>
          <w:rFonts w:ascii="Times New Roman" w:hAnsi="Times New Roman"/>
          <w:i/>
        </w:rPr>
        <w:t>Dye adsorption protocol 2. Determination of the sulfate/carboxyl contents in SCNWs.</w:t>
      </w:r>
      <w:r>
        <w:rPr>
          <w:rFonts w:ascii="Times New Roman" w:hAnsi="Times New Roman"/>
          <w:i/>
        </w:rPr>
        <w:tab/>
      </w:r>
      <w:r>
        <w:rPr>
          <w:rFonts w:ascii="Times New Roman" w:hAnsi="Times New Roman"/>
          <w:szCs w:val="24"/>
        </w:rPr>
        <w:t>This</w:t>
      </w:r>
      <w:r>
        <w:rPr>
          <w:rFonts w:ascii="Times New Roman" w:hAnsi="Times New Roman"/>
        </w:rPr>
        <w:t xml:space="preserve"> protocol was identical with protocol 1, </w:t>
      </w:r>
      <w:r>
        <w:rPr>
          <w:rFonts w:ascii="Times New Roman" w:hAnsi="Times New Roman"/>
          <w:szCs w:val="24"/>
        </w:rPr>
        <w:t>wherein</w:t>
      </w:r>
      <w:r>
        <w:rPr>
          <w:rFonts w:ascii="Times New Roman" w:hAnsi="Times New Roman"/>
        </w:rPr>
        <w:t xml:space="preserve"> two separate experimental conditions </w:t>
      </w:r>
      <w:r>
        <w:rPr>
          <w:rFonts w:ascii="Times New Roman" w:hAnsi="Times New Roman"/>
          <w:szCs w:val="24"/>
        </w:rPr>
        <w:t xml:space="preserve">could be observed </w:t>
      </w:r>
      <w:r>
        <w:rPr>
          <w:rFonts w:ascii="Times New Roman" w:hAnsi="Times New Roman"/>
        </w:rPr>
        <w:t>for the SCNW samples, namely, “in water” and “in pH = 1</w:t>
      </w:r>
      <w:r>
        <w:rPr>
          <w:rFonts w:ascii="Times New Roman" w:hAnsi="Times New Roman"/>
          <w:szCs w:val="24"/>
        </w:rPr>
        <w:t xml:space="preserve">.” However, there </w:t>
      </w:r>
      <w:r>
        <w:rPr>
          <w:rFonts w:ascii="Times New Roman" w:hAnsi="Times New Roman"/>
        </w:rPr>
        <w:t xml:space="preserve">was one notable difference; here, the sample amount increased because the sulfate/carboxyl group content in typical SCNW samples was comparatively lower (80–300 µmol/g) than the carboxyl </w:t>
      </w:r>
      <w:r>
        <w:rPr>
          <w:rFonts w:ascii="Times New Roman" w:hAnsi="Times New Roman"/>
          <w:szCs w:val="24"/>
        </w:rPr>
        <w:t>content</w:t>
      </w:r>
      <w:r>
        <w:rPr>
          <w:rFonts w:ascii="Times New Roman" w:hAnsi="Times New Roman"/>
        </w:rPr>
        <w:t xml:space="preserve"> in CCNWs (1.0–1.8 mmol/g). Thus, </w:t>
      </w:r>
      <w:r>
        <w:rPr>
          <w:rFonts w:ascii="Times New Roman" w:hAnsi="Times New Roman"/>
          <w:szCs w:val="24"/>
        </w:rPr>
        <w:t>large</w:t>
      </w:r>
      <w:r>
        <w:rPr>
          <w:rFonts w:ascii="Times New Roman" w:hAnsi="Times New Roman"/>
        </w:rPr>
        <w:t xml:space="preserve"> sample volumes were required to eliminate the introduction of errors </w:t>
      </w:r>
      <w:r>
        <w:rPr>
          <w:rFonts w:ascii="Times New Roman" w:hAnsi="Times New Roman"/>
          <w:szCs w:val="24"/>
        </w:rPr>
        <w:t>during</w:t>
      </w:r>
      <w:r>
        <w:rPr>
          <w:rFonts w:ascii="Times New Roman" w:hAnsi="Times New Roman"/>
        </w:rPr>
        <w:t xml:space="preserve"> the evaluation process. The “in water” experiments were conducted as follows</w:t>
      </w:r>
      <w:r>
        <w:rPr>
          <w:rFonts w:ascii="Times New Roman" w:hAnsi="Times New Roman"/>
          <w:szCs w:val="24"/>
        </w:rPr>
        <w:t>.</w:t>
      </w:r>
      <w:r>
        <w:rPr>
          <w:rFonts w:ascii="Times New Roman" w:hAnsi="Times New Roman"/>
        </w:rPr>
        <w:t xml:space="preserve"> 0.5 mL of the aqueous SCNW suspensions containing 5 mg/</w:t>
      </w:r>
      <w:r>
        <w:rPr>
          <w:rFonts w:ascii="Times New Roman" w:hAnsi="Times New Roman"/>
          <w:szCs w:val="24"/>
        </w:rPr>
        <w:t>mL</w:t>
      </w:r>
      <w:r>
        <w:rPr>
          <w:rFonts w:ascii="Times New Roman" w:hAnsi="Times New Roman"/>
        </w:rPr>
        <w:t xml:space="preserve"> solid content (the concentration </w:t>
      </w:r>
      <w:r>
        <w:rPr>
          <w:rFonts w:ascii="Times New Roman" w:hAnsi="Times New Roman"/>
          <w:szCs w:val="24"/>
        </w:rPr>
        <w:t xml:space="preserve">of the suspension may be </w:t>
      </w:r>
      <w:r>
        <w:rPr>
          <w:rFonts w:ascii="Times New Roman" w:hAnsi="Times New Roman"/>
        </w:rPr>
        <w:t>arbitrary, but the value should be precisely determined) as 2.0–3.0 mg of the nanowhisker solid, 2.5 mL water, and 2.0 mL of the respective TBO solution were mixed in a 5</w:t>
      </w:r>
      <w:r>
        <w:rPr>
          <w:rFonts w:ascii="Times New Roman" w:hAnsi="Times New Roman"/>
        </w:rPr>
        <w:noBreakHyphen/>
      </w:r>
      <w:r>
        <w:rPr>
          <w:rFonts w:ascii="Times New Roman" w:hAnsi="Times New Roman"/>
        </w:rPr>
        <w:t xml:space="preserve">mL PP centrifuge microtube. After mixing </w:t>
      </w:r>
      <w:r>
        <w:rPr>
          <w:rFonts w:ascii="Times New Roman" w:hAnsi="Times New Roman"/>
          <w:szCs w:val="24"/>
        </w:rPr>
        <w:t>using</w:t>
      </w:r>
      <w:r>
        <w:rPr>
          <w:rFonts w:ascii="Times New Roman" w:hAnsi="Times New Roman"/>
        </w:rPr>
        <w:t xml:space="preserve"> a shaker, the supernatant was centrifuged and diluted. </w:t>
      </w:r>
      <w:r>
        <w:rPr>
          <w:rFonts w:ascii="Times New Roman" w:hAnsi="Times New Roman"/>
          <w:szCs w:val="24"/>
          <w:lang w:eastAsia="ja-JP"/>
        </w:rPr>
        <w:t>The absorbance</w:t>
      </w:r>
      <w:r>
        <w:rPr>
          <w:rFonts w:ascii="Times New Roman" w:hAnsi="Times New Roman"/>
        </w:rPr>
        <w:t xml:space="preserve"> measurements were performed </w:t>
      </w:r>
      <w:r>
        <w:rPr>
          <w:rFonts w:ascii="Times New Roman" w:hAnsi="Times New Roman"/>
          <w:szCs w:val="24"/>
        </w:rPr>
        <w:t>as</w:t>
      </w:r>
      <w:r>
        <w:rPr>
          <w:rFonts w:ascii="Times New Roman" w:hAnsi="Times New Roman"/>
        </w:rPr>
        <w:t xml:space="preserve"> stated in Protocol 1 to obtain </w:t>
      </w:r>
      <w:r>
        <w:rPr>
          <w:rFonts w:ascii="Times New Roman" w:hAnsi="Times New Roman"/>
          <w:i/>
        </w:rPr>
        <w:t>A</w:t>
      </w:r>
      <w:r>
        <w:rPr>
          <w:rFonts w:ascii="Times New Roman" w:hAnsi="Times New Roman"/>
          <w:vertAlign w:val="subscript"/>
        </w:rPr>
        <w:t>w</w:t>
      </w:r>
      <w:r>
        <w:rPr>
          <w:rFonts w:ascii="Times New Roman" w:hAnsi="Times New Roman"/>
        </w:rPr>
        <w:t xml:space="preserve"> and </w:t>
      </w:r>
      <w:r>
        <w:rPr>
          <w:rFonts w:ascii="Times New Roman" w:hAnsi="Times New Roman"/>
          <w:i/>
        </w:rPr>
        <w:t>S</w:t>
      </w:r>
      <w:r>
        <w:rPr>
          <w:rFonts w:ascii="Times New Roman" w:hAnsi="Times New Roman"/>
          <w:vertAlign w:val="subscript"/>
        </w:rPr>
        <w:t>w</w:t>
      </w:r>
      <w:r>
        <w:rPr>
          <w:rFonts w:ascii="Times New Roman" w:hAnsi="Times New Roman"/>
        </w:rPr>
        <w:t xml:space="preserve"> (Equation 1). This protocol in which 2.5 mg of the nanowhisker solid content was employed corresponded to the quantification of 0–0.4 mmol/g</w:t>
      </w:r>
      <w:r>
        <w:rPr>
          <w:rFonts w:ascii="Times New Roman" w:hAnsi="Times New Roman"/>
          <w:szCs w:val="24"/>
        </w:rPr>
        <w:t xml:space="preserve"> of</w:t>
      </w:r>
      <w:r>
        <w:rPr>
          <w:rFonts w:ascii="Times New Roman" w:hAnsi="Times New Roman"/>
        </w:rPr>
        <w:t xml:space="preserve"> surface anionic groups.</w:t>
      </w:r>
    </w:p>
    <w:p>
      <w:pPr>
        <w:snapToGrid w:val="0"/>
        <w:spacing w:after="60" w:line="276" w:lineRule="auto"/>
        <w:ind w:firstLine="181"/>
        <w:jc w:val="left"/>
        <w:rPr>
          <w:rFonts w:ascii="Times New Roman" w:hAnsi="Times New Roman"/>
        </w:rPr>
      </w:pPr>
      <w:r>
        <w:rPr>
          <w:rFonts w:ascii="Times New Roman" w:hAnsi="Times New Roman"/>
        </w:rPr>
        <w:t xml:space="preserve">The experiments conducted under the “in pH = 1” conditions were similar to those highlighted in Protocol 1. 0.5 mL of the aqueous nanowhisker suspensions with 5 mg/mL </w:t>
      </w:r>
      <w:r>
        <w:rPr>
          <w:rFonts w:ascii="Times New Roman" w:hAnsi="Times New Roman"/>
          <w:szCs w:val="24"/>
        </w:rPr>
        <w:t xml:space="preserve">of </w:t>
      </w:r>
      <w:r>
        <w:rPr>
          <w:rFonts w:ascii="Times New Roman" w:hAnsi="Times New Roman"/>
        </w:rPr>
        <w:t>solid content (or a precisely determined value), 0.5 mL of 1 M aqueous HCl, 2.0 mL</w:t>
      </w:r>
      <w:r>
        <w:rPr>
          <w:rFonts w:ascii="Times New Roman" w:hAnsi="Times New Roman"/>
          <w:szCs w:val="24"/>
        </w:rPr>
        <w:t xml:space="preserve"> of</w:t>
      </w:r>
      <w:r>
        <w:rPr>
          <w:rFonts w:ascii="Times New Roman" w:hAnsi="Times New Roman"/>
        </w:rPr>
        <w:t xml:space="preserve"> water, and 2.0 mL of the respective TBO solution were mixed in a 5</w:t>
      </w:r>
      <w:r>
        <w:rPr>
          <w:rFonts w:ascii="Times New Roman" w:hAnsi="Times New Roman"/>
        </w:rPr>
        <w:noBreakHyphen/>
      </w:r>
      <w:r>
        <w:rPr>
          <w:rFonts w:ascii="Times New Roman" w:hAnsi="Times New Roman"/>
        </w:rPr>
        <w:t xml:space="preserve">mL PP centrifuge microtube. After shaking </w:t>
      </w:r>
      <w:r>
        <w:rPr>
          <w:rFonts w:ascii="Times New Roman" w:hAnsi="Times New Roman"/>
          <w:szCs w:val="24"/>
        </w:rPr>
        <w:t>using</w:t>
      </w:r>
      <w:r>
        <w:rPr>
          <w:rFonts w:ascii="Times New Roman" w:hAnsi="Times New Roman"/>
        </w:rPr>
        <w:t xml:space="preserve"> a shaker, the supernatant was centrifuged and diluted. The subsequent absorbance measurements, which were identical to those stated in Protocol 1, were used to obtain </w:t>
      </w:r>
      <w:r>
        <w:rPr>
          <w:rFonts w:ascii="Times New Roman" w:hAnsi="Times New Roman"/>
          <w:i/>
        </w:rPr>
        <w:t>A</w:t>
      </w:r>
      <w:r>
        <w:rPr>
          <w:rFonts w:ascii="Times New Roman" w:hAnsi="Times New Roman"/>
          <w:vertAlign w:val="subscript"/>
        </w:rPr>
        <w:t>pH1</w:t>
      </w:r>
      <w:r>
        <w:rPr>
          <w:rFonts w:ascii="Times New Roman" w:hAnsi="Times New Roman"/>
        </w:rPr>
        <w:t xml:space="preserve"> and </w:t>
      </w:r>
      <w:r>
        <w:rPr>
          <w:rFonts w:ascii="Times New Roman" w:hAnsi="Times New Roman"/>
          <w:i/>
        </w:rPr>
        <w:t>S</w:t>
      </w:r>
      <w:r>
        <w:rPr>
          <w:rFonts w:ascii="Times New Roman" w:hAnsi="Times New Roman"/>
          <w:vertAlign w:val="subscript"/>
        </w:rPr>
        <w:t>pH1</w:t>
      </w:r>
      <w:r>
        <w:rPr>
          <w:rFonts w:ascii="Times New Roman" w:hAnsi="Times New Roman"/>
        </w:rPr>
        <w:t xml:space="preserve"> (Equation 2).</w:t>
      </w:r>
    </w:p>
    <w:p>
      <w:pPr>
        <w:snapToGrid w:val="0"/>
        <w:spacing w:after="60" w:line="276" w:lineRule="auto"/>
        <w:ind w:firstLine="181"/>
        <w:jc w:val="left"/>
        <w:rPr>
          <w:rFonts w:ascii="Times New Roman" w:hAnsi="Times New Roman"/>
        </w:rPr>
      </w:pPr>
      <w:r>
        <w:rPr>
          <w:rFonts w:ascii="Times New Roman" w:hAnsi="Times New Roman"/>
        </w:rPr>
        <w:t xml:space="preserve">In this protocol, </w:t>
      </w:r>
      <w:r>
        <w:rPr>
          <w:rFonts w:ascii="Times New Roman" w:hAnsi="Times New Roman"/>
          <w:i/>
        </w:rPr>
        <w:t>S</w:t>
      </w:r>
      <w:r>
        <w:rPr>
          <w:rFonts w:ascii="Times New Roman" w:hAnsi="Times New Roman"/>
          <w:vertAlign w:val="subscript"/>
        </w:rPr>
        <w:t>w</w:t>
      </w:r>
      <w:r>
        <w:rPr>
          <w:rFonts w:ascii="Times New Roman" w:hAnsi="Times New Roman"/>
        </w:rPr>
        <w:t xml:space="preserve"> corresponded to the total surface group contents (i.e., the sum of the sulfate and carboxyl groups), whereas </w:t>
      </w:r>
      <w:r>
        <w:rPr>
          <w:rFonts w:ascii="Times New Roman" w:hAnsi="Times New Roman"/>
          <w:i/>
        </w:rPr>
        <w:t>S</w:t>
      </w:r>
      <w:r>
        <w:rPr>
          <w:rFonts w:ascii="Times New Roman" w:hAnsi="Times New Roman"/>
          <w:vertAlign w:val="subscript"/>
        </w:rPr>
        <w:t>pH1</w:t>
      </w:r>
      <w:r>
        <w:rPr>
          <w:rFonts w:ascii="Times New Roman" w:hAnsi="Times New Roman"/>
        </w:rPr>
        <w:t xml:space="preserve"> was linked to the sulfate group contents. The carboxyl contents of the SCNWs were calculated by subtracting </w:t>
      </w:r>
      <w:r>
        <w:rPr>
          <w:rFonts w:ascii="Times New Roman" w:hAnsi="Times New Roman"/>
          <w:i/>
        </w:rPr>
        <w:t>S</w:t>
      </w:r>
      <w:r>
        <w:rPr>
          <w:rFonts w:ascii="Times New Roman" w:hAnsi="Times New Roman"/>
          <w:vertAlign w:val="subscript"/>
        </w:rPr>
        <w:t>pH1</w:t>
      </w:r>
      <w:r>
        <w:rPr>
          <w:rFonts w:ascii="Times New Roman" w:hAnsi="Times New Roman"/>
        </w:rPr>
        <w:t xml:space="preserve"> from </w:t>
      </w:r>
      <w:r>
        <w:rPr>
          <w:rFonts w:ascii="Times New Roman" w:hAnsi="Times New Roman"/>
          <w:i/>
        </w:rPr>
        <w:t>S</w:t>
      </w:r>
      <w:r>
        <w:rPr>
          <w:rFonts w:ascii="Times New Roman" w:hAnsi="Times New Roman"/>
          <w:vertAlign w:val="subscript"/>
        </w:rPr>
        <w:t>w</w:t>
      </w:r>
      <w:r>
        <w:rPr>
          <w:rFonts w:ascii="Times New Roman" w:hAnsi="Times New Roman"/>
        </w:rPr>
        <w:t>.</w:t>
      </w:r>
    </w:p>
    <w:p>
      <w:pPr>
        <w:snapToGrid w:val="0"/>
        <w:spacing w:after="60" w:line="276" w:lineRule="auto"/>
        <w:ind w:firstLine="181"/>
        <w:jc w:val="left"/>
        <w:rPr>
          <w:rFonts w:ascii="Times New Roman" w:hAnsi="Times New Roman"/>
        </w:rPr>
      </w:pPr>
    </w:p>
    <w:p>
      <w:pPr>
        <w:snapToGrid w:val="0"/>
        <w:spacing w:after="60" w:line="276" w:lineRule="auto"/>
        <w:ind w:firstLine="181"/>
        <w:jc w:val="left"/>
        <w:rPr>
          <w:rFonts w:ascii="Times New Roman" w:hAnsi="Times New Roman"/>
        </w:rPr>
      </w:pPr>
      <w:r>
        <w:rPr>
          <w:rFonts w:ascii="Times New Roman" w:hAnsi="Times New Roman"/>
          <w:i/>
        </w:rPr>
        <w:t>Dye adsorption protocol 3. Determination of the carboxyl contents in CCNWs in the presence of mercapto groups.</w:t>
      </w:r>
      <w:r>
        <w:rPr>
          <w:rFonts w:ascii="Times New Roman" w:hAnsi="Times New Roman"/>
          <w:i/>
        </w:rPr>
        <w:tab/>
      </w:r>
      <w:r>
        <w:rPr>
          <w:rFonts w:ascii="Times New Roman" w:hAnsi="Times New Roman"/>
        </w:rPr>
        <w:t>CCNW50 was mixed with Silia</w:t>
      </w:r>
      <w:r>
        <w:rPr>
          <w:rFonts w:ascii="Times New Roman" w:hAnsi="Times New Roman"/>
          <w:i/>
        </w:rPr>
        <w:t>MetS</w:t>
      </w:r>
      <w:r>
        <w:rPr>
          <w:rFonts w:ascii="Times New Roman" w:hAnsi="Times New Roman"/>
          <w:vertAlign w:val="superscript"/>
        </w:rPr>
        <w:t>®</w:t>
      </w:r>
      <w:r>
        <w:rPr>
          <w:rFonts w:ascii="Times New Roman" w:hAnsi="Times New Roman"/>
        </w:rPr>
        <w:t xml:space="preserve"> </w:t>
      </w:r>
      <w:r>
        <w:rPr>
          <w:rFonts w:ascii="Times New Roman" w:hAnsi="Times New Roman"/>
          <w:szCs w:val="24"/>
        </w:rPr>
        <w:t>thiol</w:t>
      </w:r>
      <w:r>
        <w:rPr>
          <w:rFonts w:ascii="Times New Roman" w:hAnsi="Times New Roman"/>
        </w:rPr>
        <w:t xml:space="preserve"> in various mixing ratios, as summarized in Table 2 in the main text, to </w:t>
      </w:r>
      <w:r>
        <w:rPr>
          <w:rFonts w:ascii="Times New Roman" w:hAnsi="Times New Roman"/>
          <w:szCs w:val="24"/>
        </w:rPr>
        <w:t>obtain</w:t>
      </w:r>
      <w:r>
        <w:rPr>
          <w:rFonts w:ascii="Times New Roman" w:hAnsi="Times New Roman"/>
        </w:rPr>
        <w:t xml:space="preserve"> different –COOH/–SH ratios. The mixtures were subjected to dye adsorption protocol 1 for carboxyl quantification and titration, as stated below.</w:t>
      </w:r>
    </w:p>
    <w:p>
      <w:pPr>
        <w:snapToGrid w:val="0"/>
        <w:spacing w:after="60" w:line="276" w:lineRule="auto"/>
        <w:ind w:firstLine="181"/>
        <w:jc w:val="left"/>
        <w:rPr>
          <w:rFonts w:ascii="Times New Roman" w:hAnsi="Times New Roman"/>
        </w:rPr>
      </w:pPr>
    </w:p>
    <w:p>
      <w:pPr>
        <w:snapToGrid w:val="0"/>
        <w:spacing w:after="60" w:line="276" w:lineRule="auto"/>
        <w:ind w:firstLine="181"/>
        <w:jc w:val="left"/>
        <w:rPr>
          <w:rFonts w:ascii="Times New Roman" w:hAnsi="Times New Roman"/>
        </w:rPr>
      </w:pPr>
      <w:r>
        <w:rPr>
          <w:rFonts w:ascii="Times New Roman" w:hAnsi="Times New Roman"/>
          <w:i/>
        </w:rPr>
        <w:t>Effect of the adsorption time on the calculated carboxyl contents.</w:t>
      </w:r>
      <w:r>
        <w:rPr>
          <w:rFonts w:ascii="Times New Roman" w:hAnsi="Times New Roman"/>
          <w:i/>
        </w:rPr>
        <w:tab/>
      </w:r>
      <w:r>
        <w:rPr>
          <w:rFonts w:ascii="Times New Roman" w:hAnsi="Times New Roman"/>
        </w:rPr>
        <w:t xml:space="preserve">0.4 mL of </w:t>
      </w:r>
      <w:r>
        <w:rPr>
          <w:rFonts w:ascii="Times New Roman" w:hAnsi="Times New Roman"/>
          <w:szCs w:val="24"/>
        </w:rPr>
        <w:t>the two</w:t>
      </w:r>
      <w:r>
        <w:rPr>
          <w:rFonts w:ascii="Times New Roman" w:hAnsi="Times New Roman"/>
        </w:rPr>
        <w:t xml:space="preserve"> CCNW samples (namely, CCNW5 and CCNW100) containing a solid content of 5 mg/mL each, 11.6 mL water, and 8 mL of the respective TBO solution were mixed</w:t>
      </w:r>
      <w:r>
        <w:rPr>
          <w:rFonts w:ascii="Times New Roman" w:hAnsi="Times New Roman"/>
          <w:szCs w:val="24"/>
        </w:rPr>
        <w:t xml:space="preserve"> in two 50</w:t>
      </w:r>
      <w:r>
        <w:rPr>
          <w:rFonts w:ascii="Times New Roman" w:hAnsi="Times New Roman"/>
          <w:szCs w:val="24"/>
        </w:rPr>
        <w:noBreakHyphen/>
      </w:r>
      <w:r>
        <w:rPr>
          <w:rFonts w:ascii="Times New Roman" w:hAnsi="Times New Roman"/>
          <w:szCs w:val="24"/>
        </w:rPr>
        <w:t>mL PP centrifuge tubes</w:t>
      </w:r>
      <w:r>
        <w:rPr>
          <w:rFonts w:ascii="Times New Roman" w:hAnsi="Times New Roman"/>
        </w:rPr>
        <w:t xml:space="preserve">, followed by continuous shaking </w:t>
      </w:r>
      <w:r>
        <w:rPr>
          <w:rFonts w:ascii="Times New Roman" w:hAnsi="Times New Roman"/>
          <w:szCs w:val="24"/>
        </w:rPr>
        <w:t>using</w:t>
      </w:r>
      <w:r>
        <w:rPr>
          <w:rFonts w:ascii="Times New Roman" w:hAnsi="Times New Roman"/>
        </w:rPr>
        <w:t xml:space="preserve"> a shaker. Next, 2</w:t>
      </w:r>
      <w:r>
        <w:rPr>
          <w:rFonts w:ascii="Times New Roman" w:hAnsi="Times New Roman"/>
        </w:rPr>
        <w:noBreakHyphen/>
      </w:r>
      <w:r>
        <w:rPr>
          <w:rFonts w:ascii="Times New Roman" w:hAnsi="Times New Roman"/>
        </w:rPr>
        <w:t xml:space="preserve">mL aliquots of the mixture were sequentially pipetted from the two sample mixtures after shaking for 0.5, 1, 2, 4, 6, 8, or 24 h. Every aliquot was centrifuged (6000 rpm, 10 </w:t>
      </w:r>
      <w:r>
        <w:rPr>
          <w:rFonts w:ascii="Times New Roman" w:hAnsi="Times New Roman"/>
          <w:szCs w:val="24"/>
        </w:rPr>
        <w:t>min</w:t>
      </w:r>
      <w:r>
        <w:rPr>
          <w:rFonts w:ascii="Times New Roman" w:hAnsi="Times New Roman"/>
        </w:rPr>
        <w:t xml:space="preserve">), and the supernatants that </w:t>
      </w:r>
      <w:r>
        <w:rPr>
          <w:rFonts w:ascii="Times New Roman" w:hAnsi="Times New Roman"/>
          <w:szCs w:val="24"/>
        </w:rPr>
        <w:t>underwent</w:t>
      </w:r>
      <w:r>
        <w:rPr>
          <w:rFonts w:ascii="Times New Roman" w:hAnsi="Times New Roman"/>
        </w:rPr>
        <w:t xml:space="preserve"> 10</w:t>
      </w:r>
      <w:r>
        <w:rPr>
          <w:rFonts w:ascii="Times New Roman" w:hAnsi="Times New Roman"/>
        </w:rPr>
        <w:noBreakHyphen/>
      </w:r>
      <w:r>
        <w:rPr>
          <w:rFonts w:ascii="Times New Roman" w:hAnsi="Times New Roman"/>
        </w:rPr>
        <w:t>fold dilution were subjected to absorbance experiments</w:t>
      </w:r>
      <w:r>
        <w:rPr>
          <w:rFonts w:ascii="Times New Roman" w:hAnsi="Times New Roman"/>
          <w:szCs w:val="24"/>
        </w:rPr>
        <w:t>,</w:t>
      </w:r>
      <w:r>
        <w:rPr>
          <w:rFonts w:ascii="Times New Roman" w:hAnsi="Times New Roman"/>
        </w:rPr>
        <w:t xml:space="preserve"> as stated in protocol 1</w:t>
      </w:r>
      <w:r>
        <w:rPr>
          <w:rFonts w:ascii="Times New Roman" w:hAnsi="Times New Roman"/>
          <w:szCs w:val="24"/>
        </w:rPr>
        <w:t>. The</w:t>
      </w:r>
      <w:r>
        <w:rPr>
          <w:rFonts w:ascii="Times New Roman" w:hAnsi="Times New Roman"/>
        </w:rPr>
        <w:t xml:space="preserve"> apparent carboxyl contents at every adsorption time were recalculated according to the definitions expressed in Equation 1.</w:t>
      </w:r>
    </w:p>
    <w:p>
      <w:pPr>
        <w:snapToGrid w:val="0"/>
        <w:spacing w:after="60" w:line="276" w:lineRule="auto"/>
        <w:ind w:firstLine="181"/>
        <w:jc w:val="left"/>
        <w:rPr>
          <w:rFonts w:ascii="Times New Roman" w:hAnsi="Times New Roman"/>
          <w:i/>
        </w:rPr>
      </w:pPr>
    </w:p>
    <w:p>
      <w:pPr>
        <w:snapToGrid w:val="0"/>
        <w:spacing w:after="60" w:line="276" w:lineRule="auto"/>
        <w:ind w:firstLine="181"/>
        <w:jc w:val="left"/>
        <w:rPr>
          <w:rFonts w:ascii="Times New Roman" w:hAnsi="Times New Roman"/>
        </w:rPr>
      </w:pPr>
      <w:r>
        <w:rPr>
          <w:rFonts w:ascii="Times New Roman" w:hAnsi="Times New Roman"/>
          <w:i/>
        </w:rPr>
        <w:t>pH/conductometric titration.</w:t>
      </w:r>
      <w:r>
        <w:rPr>
          <w:rFonts w:ascii="Times New Roman" w:hAnsi="Times New Roman"/>
          <w:i/>
        </w:rPr>
        <w:tab/>
      </w:r>
      <w:r>
        <w:rPr>
          <w:rFonts w:ascii="Times New Roman" w:hAnsi="Times New Roman"/>
          <w:szCs w:val="24"/>
        </w:rPr>
        <w:t>The</w:t>
      </w:r>
      <w:r>
        <w:rPr>
          <w:rFonts w:ascii="Times New Roman" w:hAnsi="Times New Roman"/>
        </w:rPr>
        <w:t xml:space="preserve"> surface sulfate/carboxyl groups </w:t>
      </w:r>
      <w:r>
        <w:rPr>
          <w:rFonts w:ascii="Times New Roman" w:hAnsi="Times New Roman"/>
          <w:szCs w:val="24"/>
        </w:rPr>
        <w:t xml:space="preserve">were also quantified </w:t>
      </w:r>
      <w:r>
        <w:rPr>
          <w:rFonts w:ascii="Times New Roman" w:hAnsi="Times New Roman"/>
        </w:rPr>
        <w:t xml:space="preserve">via pH/conductometric titration according to ISO </w:t>
      </w:r>
      <w:r>
        <w:rPr>
          <w:rFonts w:ascii="Times New Roman" w:hAnsi="Times New Roman"/>
          <w:szCs w:val="24"/>
        </w:rPr>
        <w:t>regulations (Johnston et al., 2018)</w:t>
      </w:r>
      <w:r>
        <w:rPr>
          <w:rFonts w:ascii="Times New Roman" w:hAnsi="Times New Roman"/>
        </w:rPr>
        <w:t xml:space="preserve"> with some minor modifications. </w:t>
      </w:r>
      <w:r>
        <w:rPr>
          <w:rFonts w:ascii="Times New Roman" w:hAnsi="Times New Roman"/>
          <w:szCs w:val="24"/>
        </w:rPr>
        <w:t>Aqueous</w:t>
      </w:r>
      <w:r>
        <w:rPr>
          <w:rFonts w:ascii="Times New Roman" w:hAnsi="Times New Roman"/>
        </w:rPr>
        <w:t xml:space="preserve"> suspensions of CNWs, CCNWs, or SCNWs, which contained 500–700 mg of the nanowhisker solids, were mixed with 2 mL of 0.1 M aqueous NaCl and 2 mL of 0.1 mol/L aqueous HCl (the latter was not added in the SCNW experiments), followed by dilution with water up to a total weight of 200 g. The samples were titrated using 0.1 mol/L </w:t>
      </w:r>
      <w:r>
        <w:rPr>
          <w:rFonts w:ascii="Times New Roman" w:hAnsi="Times New Roman"/>
          <w:szCs w:val="24"/>
        </w:rPr>
        <w:t xml:space="preserve">of </w:t>
      </w:r>
      <w:r>
        <w:rPr>
          <w:rFonts w:ascii="Times New Roman" w:hAnsi="Times New Roman"/>
        </w:rPr>
        <w:t>aqueous NaOH (for the CCNW samples) or 0.01 M NaOH (for the CNW/SCNW samples); a 0.2</w:t>
      </w:r>
      <w:r>
        <w:rPr>
          <w:rFonts w:ascii="Times New Roman" w:hAnsi="Times New Roman"/>
        </w:rPr>
        <w:noBreakHyphen/>
      </w:r>
      <w:r>
        <w:rPr>
          <w:rFonts w:ascii="Times New Roman" w:hAnsi="Times New Roman"/>
        </w:rPr>
        <w:t>mL aliquot of the titrant (0.1</w:t>
      </w:r>
      <w:r>
        <w:rPr>
          <w:rFonts w:ascii="Times New Roman" w:hAnsi="Times New Roman"/>
        </w:rPr>
        <w:noBreakHyphen/>
      </w:r>
      <w:r>
        <w:rPr>
          <w:rFonts w:ascii="Times New Roman" w:hAnsi="Times New Roman"/>
        </w:rPr>
        <w:t>mL aliquot around the neutralization points for higher</w:t>
      </w:r>
      <w:r>
        <w:rPr>
          <w:rFonts w:ascii="Times New Roman" w:hAnsi="Times New Roman"/>
          <w:szCs w:val="24"/>
        </w:rPr>
        <w:t>-</w:t>
      </w:r>
      <w:r>
        <w:rPr>
          <w:rFonts w:ascii="Times New Roman" w:hAnsi="Times New Roman"/>
        </w:rPr>
        <w:t xml:space="preserve">resolution results) was added, and the experiment was allowed to </w:t>
      </w:r>
      <w:r>
        <w:rPr>
          <w:rFonts w:ascii="Times New Roman" w:hAnsi="Times New Roman"/>
          <w:szCs w:val="24"/>
        </w:rPr>
        <w:t>continue</w:t>
      </w:r>
      <w:r>
        <w:rPr>
          <w:rFonts w:ascii="Times New Roman" w:hAnsi="Times New Roman"/>
        </w:rPr>
        <w:t xml:space="preserve"> until the pH/conductivity readings settled. The pH and conductivity of the samples were monitored using SevenCompact Duo S213</w:t>
      </w:r>
      <w:r>
        <w:rPr>
          <w:rFonts w:ascii="Times New Roman" w:hAnsi="Times New Roman"/>
        </w:rPr>
        <w:noBreakHyphen/>
      </w:r>
      <w:r>
        <w:rPr>
          <w:rFonts w:ascii="Times New Roman" w:hAnsi="Times New Roman"/>
        </w:rPr>
        <w:t>meter (Mettler Toledo, OH, USA) equipped with pH and conductivity electrodes (InLab Expert Pro-ISM and Inlab 751-4mm, respectively, Mettler Toledo, OH, USA</w:t>
      </w:r>
      <w:r>
        <w:rPr>
          <w:rFonts w:ascii="Times New Roman" w:hAnsi="Times New Roman"/>
          <w:szCs w:val="24"/>
        </w:rPr>
        <w:t>),</w:t>
      </w:r>
      <w:r>
        <w:rPr>
          <w:rFonts w:ascii="Times New Roman" w:hAnsi="Times New Roman"/>
        </w:rPr>
        <w:t xml:space="preserve"> and the values obtained were subsequently plotted against the amount of added NaOH after correcting for conductivity by volume</w:t>
      </w:r>
      <w:r>
        <w:rPr>
          <w:rFonts w:ascii="Times New Roman" w:hAnsi="Times New Roman"/>
          <w:szCs w:val="24"/>
        </w:rPr>
        <w:t xml:space="preserve"> (Ragab &amp; Amin, 2004).</w:t>
      </w:r>
      <w:r>
        <w:rPr>
          <w:rFonts w:ascii="Times New Roman" w:hAnsi="Times New Roman"/>
        </w:rPr>
        <w:t xml:space="preserve"> The titrants were standardized using potassium hydrogen phthalate</w:t>
      </w:r>
      <w:r>
        <w:rPr>
          <w:rFonts w:ascii="Times New Roman" w:hAnsi="Times New Roman"/>
          <w:szCs w:val="24"/>
        </w:rPr>
        <w:t xml:space="preserve"> (Johnston et al., 2018).</w:t>
      </w:r>
      <w:r>
        <w:rPr>
          <w:rFonts w:ascii="Times New Roman" w:hAnsi="Times New Roman"/>
        </w:rPr>
        <w:t xml:space="preserve"> The carboxyl group contents </w:t>
      </w:r>
      <w:r>
        <w:rPr>
          <w:rFonts w:ascii="Times New Roman" w:hAnsi="Times New Roman"/>
          <w:szCs w:val="24"/>
        </w:rPr>
        <w:t xml:space="preserve">were determined based on the </w:t>
      </w:r>
      <w:r>
        <w:rPr>
          <w:rFonts w:ascii="Times New Roman" w:hAnsi="Times New Roman"/>
        </w:rPr>
        <w:t>conductometric titration curves according to a previously reported protocol</w:t>
      </w:r>
      <w:r>
        <w:rPr>
          <w:rFonts w:ascii="Times New Roman" w:hAnsi="Times New Roman"/>
          <w:szCs w:val="24"/>
        </w:rPr>
        <w:t xml:space="preserve"> (Johnston et al., 2018);</w:t>
      </w:r>
      <w:r>
        <w:rPr>
          <w:rFonts w:ascii="Times New Roman" w:hAnsi="Times New Roman"/>
        </w:rPr>
        <w:t xml:space="preserve"> the contents were determined from the two sharpest inclinations in the pH titration curves </w:t>
      </w:r>
      <w:r>
        <w:rPr>
          <w:rFonts w:ascii="Times New Roman" w:hAnsi="Times New Roman"/>
          <w:szCs w:val="24"/>
        </w:rPr>
        <w:t>corresponding</w:t>
      </w:r>
      <w:r>
        <w:rPr>
          <w:rFonts w:ascii="Times New Roman" w:hAnsi="Times New Roman"/>
        </w:rPr>
        <w:t xml:space="preserve"> to the inflection points in the conductometric titration curves when the neutralization points and</w:t>
      </w:r>
      <w:r>
        <w:rPr>
          <w:rFonts w:ascii="Times New Roman" w:hAnsi="Times New Roman"/>
          <w:szCs w:val="24"/>
        </w:rPr>
        <w:t xml:space="preserve"> were</w:t>
      </w:r>
      <w:r>
        <w:rPr>
          <w:rFonts w:ascii="Times New Roman" w:hAnsi="Times New Roman"/>
        </w:rPr>
        <w:t xml:space="preserve"> extremely difficult to determine.</w:t>
      </w:r>
    </w:p>
    <w:p>
      <w:pPr>
        <w:snapToGrid w:val="0"/>
        <w:spacing w:after="60" w:line="276" w:lineRule="auto"/>
        <w:ind w:firstLine="181"/>
        <w:jc w:val="left"/>
        <w:rPr>
          <w:rFonts w:ascii="Times New Roman" w:hAnsi="Times New Roman"/>
        </w:rPr>
      </w:pPr>
    </w:p>
    <w:p>
      <w:pPr>
        <w:snapToGrid w:val="0"/>
        <w:spacing w:after="60" w:line="276" w:lineRule="auto"/>
        <w:ind w:firstLine="181"/>
        <w:jc w:val="left"/>
        <w:rPr>
          <w:rFonts w:ascii="Times New Roman" w:hAnsi="Times New Roman"/>
        </w:rPr>
      </w:pPr>
      <w:r>
        <w:rPr>
          <w:rFonts w:ascii="Times New Roman" w:hAnsi="Times New Roman"/>
          <w:szCs w:val="24"/>
          <w:lang w:eastAsia="ja-JP"/>
        </w:rPr>
        <w:drawing>
          <wp:inline distT="0" distB="0" distL="0" distR="0">
            <wp:extent cx="2266315" cy="2149475"/>
            <wp:effectExtent l="0" t="0" r="635" b="3175"/>
            <wp:docPr id="1" name="図 1" descr="Macintosh HD:Users:jaraki:Documents: 論文など: TBO Absorption:Figures:Figure S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図 1" descr="Macintosh HD:Users:jaraki:Documents: 論文など: TBO Absorption:Figures:Figure S1.t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2280247" cy="2162633"/>
                    </a:xfrm>
                    <a:prstGeom prst="rect">
                      <a:avLst/>
                    </a:prstGeom>
                    <a:noFill/>
                    <a:ln>
                      <a:noFill/>
                    </a:ln>
                  </pic:spPr>
                </pic:pic>
              </a:graphicData>
            </a:graphic>
          </wp:inline>
        </w:drawing>
      </w:r>
    </w:p>
    <w:p>
      <w:pPr>
        <w:pStyle w:val="38"/>
        <w:snapToGrid w:val="0"/>
        <w:spacing w:after="240" w:line="240" w:lineRule="auto"/>
        <w:jc w:val="left"/>
        <w:rPr>
          <w:rFonts w:ascii="Times New Roman" w:hAnsi="Times New Roman"/>
          <w:szCs w:val="24"/>
        </w:rPr>
      </w:pPr>
    </w:p>
    <w:p>
      <w:pPr>
        <w:pStyle w:val="38"/>
        <w:snapToGrid w:val="0"/>
        <w:spacing w:after="240" w:line="240" w:lineRule="auto"/>
        <w:jc w:val="left"/>
        <w:rPr>
          <w:rFonts w:ascii="Times New Roman" w:hAnsi="Times New Roman"/>
        </w:rPr>
      </w:pPr>
      <w:r>
        <w:rPr>
          <w:rFonts w:ascii="Times New Roman" w:hAnsi="Times New Roman"/>
          <w:b/>
        </w:rPr>
        <w:t>Figure S1.</w:t>
      </w:r>
      <w:r>
        <w:rPr>
          <w:rFonts w:ascii="Times New Roman" w:hAnsi="Times New Roman"/>
        </w:rPr>
        <w:t xml:space="preserve"> Calibration curves of </w:t>
      </w:r>
      <w:r>
        <w:rPr>
          <w:rFonts w:ascii="Times New Roman" w:hAnsi="Times New Roman"/>
          <w:szCs w:val="24"/>
        </w:rPr>
        <w:t xml:space="preserve">the </w:t>
      </w:r>
      <w:r>
        <w:rPr>
          <w:rFonts w:ascii="Times New Roman" w:hAnsi="Times New Roman"/>
        </w:rPr>
        <w:t>TBO absorption values in water and in pH = 1.</w:t>
      </w:r>
    </w:p>
    <w:p>
      <w:pPr>
        <w:snapToGrid w:val="0"/>
        <w:spacing w:after="60" w:line="276" w:lineRule="auto"/>
        <w:ind w:firstLine="181"/>
        <w:jc w:val="left"/>
        <w:rPr>
          <w:rFonts w:ascii="Times New Roman" w:hAnsi="Times New Roman"/>
        </w:rPr>
      </w:pPr>
    </w:p>
    <w:p>
      <w:pPr>
        <w:snapToGrid w:val="0"/>
        <w:spacing w:after="60" w:line="276" w:lineRule="auto"/>
        <w:ind w:firstLine="181"/>
        <w:jc w:val="left"/>
        <w:rPr>
          <w:rFonts w:ascii="Times New Roman" w:hAnsi="Times New Roman"/>
        </w:rPr>
      </w:pPr>
    </w:p>
    <w:p>
      <w:pPr>
        <w:snapToGrid w:val="0"/>
        <w:spacing w:after="60" w:line="276" w:lineRule="auto"/>
        <w:ind w:firstLine="181"/>
        <w:jc w:val="left"/>
        <w:rPr>
          <w:rFonts w:ascii="Times New Roman" w:hAnsi="Times New Roman"/>
          <w:b/>
          <w:szCs w:val="24"/>
        </w:rPr>
      </w:pPr>
      <w:r>
        <w:rPr>
          <w:rFonts w:ascii="Times New Roman" w:hAnsi="Times New Roman"/>
          <w:b/>
          <w:szCs w:val="24"/>
        </w:rPr>
        <w:t>References</w:t>
      </w:r>
    </w:p>
    <w:p>
      <w:pPr>
        <w:pStyle w:val="49"/>
        <w:snapToGrid w:val="0"/>
        <w:spacing w:after="60" w:line="276" w:lineRule="auto"/>
        <w:ind w:left="0" w:leftChars="0"/>
        <w:jc w:val="left"/>
        <w:rPr>
          <w:rFonts w:ascii="Times New Roman" w:hAnsi="Times New Roman"/>
        </w:rPr>
      </w:pPr>
      <w:r>
        <w:rPr>
          <w:rFonts w:ascii="Times New Roman" w:hAnsi="Times New Roman"/>
        </w:rPr>
        <w:t>Araki J</w:t>
      </w:r>
      <w:r>
        <w:rPr>
          <w:rFonts w:ascii="Times New Roman" w:hAnsi="Times New Roman"/>
          <w:szCs w:val="24"/>
        </w:rPr>
        <w:t>,</w:t>
      </w:r>
      <w:r>
        <w:rPr>
          <w:rFonts w:ascii="Times New Roman" w:hAnsi="Times New Roman"/>
        </w:rPr>
        <w:t xml:space="preserve"> Wada M</w:t>
      </w:r>
      <w:r>
        <w:rPr>
          <w:rFonts w:ascii="Times New Roman" w:hAnsi="Times New Roman"/>
          <w:szCs w:val="24"/>
        </w:rPr>
        <w:t>,</w:t>
      </w:r>
      <w:r>
        <w:rPr>
          <w:rFonts w:ascii="Times New Roman" w:hAnsi="Times New Roman"/>
        </w:rPr>
        <w:t xml:space="preserve"> Kuga S </w:t>
      </w:r>
      <w:r>
        <w:rPr>
          <w:rFonts w:ascii="Times New Roman" w:hAnsi="Times New Roman"/>
          <w:szCs w:val="24"/>
        </w:rPr>
        <w:t xml:space="preserve">(2001) </w:t>
      </w:r>
      <w:r>
        <w:rPr>
          <w:rFonts w:ascii="Times New Roman" w:hAnsi="Times New Roman"/>
        </w:rPr>
        <w:t xml:space="preserve">Steric </w:t>
      </w:r>
      <w:r>
        <w:rPr>
          <w:rFonts w:ascii="Times New Roman" w:hAnsi="Times New Roman"/>
          <w:szCs w:val="24"/>
        </w:rPr>
        <w:t>stabilization</w:t>
      </w:r>
      <w:r>
        <w:rPr>
          <w:rFonts w:ascii="Times New Roman" w:hAnsi="Times New Roman"/>
        </w:rPr>
        <w:t xml:space="preserve"> of a </w:t>
      </w:r>
      <w:r>
        <w:rPr>
          <w:rFonts w:ascii="Times New Roman" w:hAnsi="Times New Roman"/>
          <w:szCs w:val="24"/>
        </w:rPr>
        <w:t>cellulose microcrystal suspension</w:t>
      </w:r>
      <w:r>
        <w:rPr>
          <w:rFonts w:ascii="Times New Roman" w:hAnsi="Times New Roman"/>
        </w:rPr>
        <w:t xml:space="preserve"> by </w:t>
      </w:r>
      <w:r>
        <w:rPr>
          <w:rFonts w:ascii="Times New Roman" w:hAnsi="Times New Roman"/>
          <w:szCs w:val="24"/>
        </w:rPr>
        <w:t>poly</w:t>
      </w:r>
      <w:r>
        <w:rPr>
          <w:rFonts w:ascii="Times New Roman" w:hAnsi="Times New Roman"/>
        </w:rPr>
        <w:t xml:space="preserve">(ethylene glycol) </w:t>
      </w:r>
      <w:r>
        <w:rPr>
          <w:rFonts w:ascii="Times New Roman" w:hAnsi="Times New Roman"/>
          <w:szCs w:val="24"/>
        </w:rPr>
        <w:t>grafting</w:t>
      </w:r>
      <w:r>
        <w:rPr>
          <w:rFonts w:ascii="Times New Roman" w:hAnsi="Times New Roman"/>
        </w:rPr>
        <w:t xml:space="preserve">. </w:t>
      </w:r>
      <w:r>
        <w:rPr>
          <w:rFonts w:ascii="Times New Roman" w:hAnsi="Times New Roman"/>
          <w:i/>
        </w:rPr>
        <w:t>Langmuir</w:t>
      </w:r>
      <w:r>
        <w:rPr>
          <w:rFonts w:ascii="Times New Roman" w:hAnsi="Times New Roman"/>
        </w:rPr>
        <w:t xml:space="preserve"> </w:t>
      </w:r>
      <w:r>
        <w:rPr>
          <w:rFonts w:ascii="Times New Roman" w:hAnsi="Times New Roman"/>
          <w:i/>
        </w:rPr>
        <w:t>17</w:t>
      </w:r>
      <w:r>
        <w:rPr>
          <w:rFonts w:ascii="Times New Roman" w:hAnsi="Times New Roman"/>
        </w:rPr>
        <w:t>:</w:t>
      </w:r>
      <w:r>
        <w:rPr>
          <w:rFonts w:ascii="Times New Roman" w:hAnsi="Times New Roman"/>
        </w:rPr>
        <w:t>21–27.</w:t>
      </w:r>
    </w:p>
    <w:p>
      <w:pPr>
        <w:pStyle w:val="49"/>
        <w:snapToGrid w:val="0"/>
        <w:spacing w:after="60" w:line="276" w:lineRule="auto"/>
        <w:ind w:left="0" w:leftChars="0"/>
        <w:jc w:val="left"/>
        <w:rPr>
          <w:rFonts w:ascii="Times New Roman" w:hAnsi="Times New Roman"/>
        </w:rPr>
      </w:pPr>
      <w:r>
        <w:rPr>
          <w:rFonts w:ascii="Times New Roman" w:hAnsi="Times New Roman"/>
        </w:rPr>
        <w:t>Araki J</w:t>
      </w:r>
      <w:r>
        <w:rPr>
          <w:rFonts w:ascii="Times New Roman" w:hAnsi="Times New Roman"/>
          <w:szCs w:val="24"/>
        </w:rPr>
        <w:t>,</w:t>
      </w:r>
      <w:r>
        <w:rPr>
          <w:rFonts w:ascii="Times New Roman" w:hAnsi="Times New Roman"/>
        </w:rPr>
        <w:t xml:space="preserve"> Wada M</w:t>
      </w:r>
      <w:r>
        <w:rPr>
          <w:rFonts w:ascii="Times New Roman" w:hAnsi="Times New Roman"/>
          <w:szCs w:val="24"/>
        </w:rPr>
        <w:t>,</w:t>
      </w:r>
      <w:r>
        <w:rPr>
          <w:rFonts w:ascii="Times New Roman" w:hAnsi="Times New Roman"/>
        </w:rPr>
        <w:t xml:space="preserve"> Kuga S</w:t>
      </w:r>
      <w:r>
        <w:rPr>
          <w:rFonts w:ascii="Times New Roman" w:hAnsi="Times New Roman"/>
          <w:szCs w:val="24"/>
        </w:rPr>
        <w:t>,</w:t>
      </w:r>
      <w:r>
        <w:rPr>
          <w:rFonts w:ascii="Times New Roman" w:hAnsi="Times New Roman"/>
        </w:rPr>
        <w:t xml:space="preserve"> Okano T </w:t>
      </w:r>
      <w:r>
        <w:rPr>
          <w:rFonts w:ascii="Times New Roman" w:hAnsi="Times New Roman"/>
          <w:szCs w:val="24"/>
        </w:rPr>
        <w:t xml:space="preserve">(1998) </w:t>
      </w:r>
      <w:r>
        <w:rPr>
          <w:rFonts w:ascii="Times New Roman" w:hAnsi="Times New Roman"/>
        </w:rPr>
        <w:t xml:space="preserve">Flow </w:t>
      </w:r>
      <w:r>
        <w:rPr>
          <w:rFonts w:ascii="Times New Roman" w:hAnsi="Times New Roman"/>
          <w:szCs w:val="24"/>
        </w:rPr>
        <w:t>properties of microcrystalline cellulose suspension prepared</w:t>
      </w:r>
      <w:r>
        <w:rPr>
          <w:rFonts w:ascii="Times New Roman" w:hAnsi="Times New Roman"/>
        </w:rPr>
        <w:t xml:space="preserve"> by </w:t>
      </w:r>
      <w:r>
        <w:rPr>
          <w:rFonts w:ascii="Times New Roman" w:hAnsi="Times New Roman"/>
          <w:szCs w:val="24"/>
        </w:rPr>
        <w:t>acid treatment</w:t>
      </w:r>
      <w:r>
        <w:rPr>
          <w:rFonts w:ascii="Times New Roman" w:hAnsi="Times New Roman"/>
        </w:rPr>
        <w:t xml:space="preserve"> of </w:t>
      </w:r>
      <w:r>
        <w:rPr>
          <w:rFonts w:ascii="Times New Roman" w:hAnsi="Times New Roman"/>
          <w:szCs w:val="24"/>
        </w:rPr>
        <w:t>native cellulose</w:t>
      </w:r>
      <w:r>
        <w:rPr>
          <w:rFonts w:ascii="Times New Roman" w:hAnsi="Times New Roman"/>
        </w:rPr>
        <w:t xml:space="preserve">. </w:t>
      </w:r>
      <w:r>
        <w:rPr>
          <w:rFonts w:ascii="Times New Roman" w:hAnsi="Times New Roman"/>
          <w:i/>
        </w:rPr>
        <w:t>Colloids Surfaces A</w:t>
      </w:r>
      <w:r>
        <w:rPr>
          <w:rFonts w:ascii="Times New Roman" w:hAnsi="Times New Roman"/>
        </w:rPr>
        <w:t xml:space="preserve"> </w:t>
      </w:r>
      <w:r>
        <w:rPr>
          <w:rFonts w:ascii="Times New Roman" w:hAnsi="Times New Roman"/>
          <w:i/>
        </w:rPr>
        <w:t>142</w:t>
      </w:r>
      <w:r>
        <w:rPr>
          <w:rFonts w:ascii="Times New Roman" w:hAnsi="Times New Roman"/>
        </w:rPr>
        <w:t>:</w:t>
      </w:r>
      <w:r>
        <w:rPr>
          <w:rFonts w:ascii="Times New Roman" w:hAnsi="Times New Roman"/>
        </w:rPr>
        <w:t>75–82.</w:t>
      </w:r>
    </w:p>
    <w:p>
      <w:pPr>
        <w:pStyle w:val="49"/>
        <w:snapToGrid w:val="0"/>
        <w:spacing w:after="60" w:line="276" w:lineRule="auto"/>
        <w:ind w:left="0" w:leftChars="0"/>
        <w:jc w:val="left"/>
        <w:rPr>
          <w:rFonts w:ascii="Times New Roman" w:hAnsi="Times New Roman"/>
        </w:rPr>
      </w:pPr>
      <w:r>
        <w:rPr>
          <w:rFonts w:ascii="Times New Roman" w:hAnsi="Times New Roman"/>
        </w:rPr>
        <w:t>Fradj AB</w:t>
      </w:r>
      <w:r>
        <w:rPr>
          <w:rFonts w:ascii="Times New Roman" w:hAnsi="Times New Roman"/>
          <w:szCs w:val="24"/>
        </w:rPr>
        <w:t>,</w:t>
      </w:r>
      <w:r>
        <w:rPr>
          <w:rFonts w:ascii="Times New Roman" w:hAnsi="Times New Roman"/>
        </w:rPr>
        <w:t> Lafi R</w:t>
      </w:r>
      <w:r>
        <w:rPr>
          <w:rFonts w:ascii="Times New Roman" w:hAnsi="Times New Roman"/>
          <w:szCs w:val="24"/>
        </w:rPr>
        <w:t>,</w:t>
      </w:r>
      <w:r>
        <w:rPr>
          <w:rFonts w:ascii="Times New Roman" w:hAnsi="Times New Roman"/>
        </w:rPr>
        <w:t xml:space="preserve"> Gzara L</w:t>
      </w:r>
      <w:r>
        <w:rPr>
          <w:rFonts w:ascii="Times New Roman" w:hAnsi="Times New Roman"/>
          <w:szCs w:val="24"/>
        </w:rPr>
        <w:t>,</w:t>
      </w:r>
      <w:r>
        <w:rPr>
          <w:rFonts w:ascii="Times New Roman" w:hAnsi="Times New Roman"/>
        </w:rPr>
        <w:t xml:space="preserve"> Hamzaoui AH</w:t>
      </w:r>
      <w:r>
        <w:rPr>
          <w:rFonts w:ascii="Times New Roman" w:hAnsi="Times New Roman"/>
          <w:szCs w:val="24"/>
        </w:rPr>
        <w:t>,</w:t>
      </w:r>
      <w:r>
        <w:rPr>
          <w:rFonts w:ascii="Times New Roman" w:hAnsi="Times New Roman"/>
        </w:rPr>
        <w:t xml:space="preserve"> Hafiane R </w:t>
      </w:r>
      <w:r>
        <w:rPr>
          <w:rFonts w:ascii="Times New Roman" w:hAnsi="Times New Roman"/>
          <w:szCs w:val="24"/>
        </w:rPr>
        <w:t xml:space="preserve">(2014) </w:t>
      </w:r>
      <w:r>
        <w:rPr>
          <w:rFonts w:ascii="Times New Roman" w:hAnsi="Times New Roman"/>
        </w:rPr>
        <w:t xml:space="preserve">Spectrophotometric study of the interaction of toluidine blue with poly (ammonium acrylate). </w:t>
      </w:r>
      <w:r>
        <w:rPr>
          <w:rFonts w:ascii="Times New Roman" w:hAnsi="Times New Roman"/>
          <w:i/>
          <w:szCs w:val="24"/>
        </w:rPr>
        <w:t>J</w:t>
      </w:r>
      <w:r>
        <w:rPr>
          <w:rFonts w:ascii="Times New Roman" w:hAnsi="Times New Roman"/>
          <w:i/>
          <w:szCs w:val="24"/>
        </w:rPr>
        <w:t xml:space="preserve"> </w:t>
      </w:r>
      <w:r>
        <w:rPr>
          <w:rFonts w:ascii="Times New Roman" w:hAnsi="Times New Roman"/>
          <w:i/>
        </w:rPr>
        <w:t>Mol Liq</w:t>
      </w:r>
      <w:r>
        <w:rPr>
          <w:rFonts w:ascii="Times New Roman" w:hAnsi="Times New Roman"/>
        </w:rPr>
        <w:t xml:space="preserve"> </w:t>
      </w:r>
      <w:r>
        <w:rPr>
          <w:rFonts w:ascii="Times New Roman" w:hAnsi="Times New Roman"/>
          <w:i/>
        </w:rPr>
        <w:t>194</w:t>
      </w:r>
      <w:r>
        <w:rPr>
          <w:rFonts w:ascii="Times New Roman" w:hAnsi="Times New Roman"/>
        </w:rPr>
        <w:t>:</w:t>
      </w:r>
      <w:r>
        <w:rPr>
          <w:rFonts w:ascii="Times New Roman" w:hAnsi="Times New Roman"/>
        </w:rPr>
        <w:t>110–114.</w:t>
      </w:r>
    </w:p>
    <w:p>
      <w:pPr>
        <w:snapToGrid w:val="0"/>
        <w:spacing w:after="60" w:line="276" w:lineRule="auto"/>
        <w:jc w:val="left"/>
        <w:rPr>
          <w:rFonts w:ascii="Times New Roman" w:hAnsi="Times New Roman"/>
        </w:rPr>
      </w:pPr>
      <w:r>
        <w:rPr>
          <w:rFonts w:ascii="Times New Roman" w:hAnsi="Times New Roman"/>
        </w:rPr>
        <w:t>Johnston LJ</w:t>
      </w:r>
      <w:r>
        <w:rPr>
          <w:rFonts w:ascii="Times New Roman" w:hAnsi="Times New Roman"/>
          <w:szCs w:val="24"/>
        </w:rPr>
        <w:t>,</w:t>
      </w:r>
      <w:r>
        <w:rPr>
          <w:rFonts w:ascii="Times New Roman" w:hAnsi="Times New Roman"/>
        </w:rPr>
        <w:t xml:space="preserve"> Jakubek ZJ</w:t>
      </w:r>
      <w:r>
        <w:rPr>
          <w:rFonts w:ascii="Times New Roman" w:hAnsi="Times New Roman"/>
          <w:szCs w:val="24"/>
        </w:rPr>
        <w:t>,</w:t>
      </w:r>
      <w:r>
        <w:rPr>
          <w:rFonts w:ascii="Times New Roman" w:hAnsi="Times New Roman"/>
        </w:rPr>
        <w:t xml:space="preserve"> Beck S</w:t>
      </w:r>
      <w:r>
        <w:rPr>
          <w:rFonts w:ascii="Times New Roman" w:hAnsi="Times New Roman"/>
          <w:szCs w:val="24"/>
        </w:rPr>
        <w:t>,</w:t>
      </w:r>
      <w:r>
        <w:rPr>
          <w:rFonts w:ascii="Times New Roman" w:hAnsi="Times New Roman"/>
        </w:rPr>
        <w:t xml:space="preserve"> Araki J</w:t>
      </w:r>
      <w:r>
        <w:rPr>
          <w:rFonts w:ascii="Times New Roman" w:hAnsi="Times New Roman"/>
          <w:szCs w:val="24"/>
        </w:rPr>
        <w:t>,</w:t>
      </w:r>
      <w:r>
        <w:rPr>
          <w:rFonts w:ascii="Times New Roman" w:hAnsi="Times New Roman"/>
        </w:rPr>
        <w:t xml:space="preserve"> Cranston ED</w:t>
      </w:r>
      <w:r>
        <w:rPr>
          <w:rFonts w:ascii="Times New Roman" w:hAnsi="Times New Roman"/>
          <w:szCs w:val="24"/>
        </w:rPr>
        <w:t>,</w:t>
      </w:r>
      <w:r>
        <w:rPr>
          <w:rFonts w:ascii="Times New Roman" w:hAnsi="Times New Roman"/>
        </w:rPr>
        <w:t xml:space="preserve"> Danumah C</w:t>
      </w:r>
      <w:r>
        <w:rPr>
          <w:rFonts w:ascii="Times New Roman" w:hAnsi="Times New Roman"/>
          <w:szCs w:val="24"/>
        </w:rPr>
        <w:t>,</w:t>
      </w:r>
      <w:r>
        <w:rPr>
          <w:rFonts w:ascii="Times New Roman" w:hAnsi="Times New Roman"/>
        </w:rPr>
        <w:t xml:space="preserve"> Fox D</w:t>
      </w:r>
      <w:r>
        <w:rPr>
          <w:rFonts w:ascii="Times New Roman" w:hAnsi="Times New Roman"/>
          <w:szCs w:val="24"/>
        </w:rPr>
        <w:t>,</w:t>
      </w:r>
      <w:r>
        <w:rPr>
          <w:rFonts w:ascii="Times New Roman" w:hAnsi="Times New Roman"/>
        </w:rPr>
        <w:t xml:space="preserve"> Li H</w:t>
      </w:r>
      <w:r>
        <w:rPr>
          <w:rFonts w:ascii="Times New Roman" w:hAnsi="Times New Roman"/>
          <w:szCs w:val="24"/>
        </w:rPr>
        <w:t>,</w:t>
      </w:r>
      <w:r>
        <w:rPr>
          <w:rFonts w:ascii="Times New Roman" w:hAnsi="Times New Roman"/>
        </w:rPr>
        <w:t xml:space="preserve"> Wang J</w:t>
      </w:r>
      <w:r>
        <w:rPr>
          <w:rFonts w:ascii="Times New Roman" w:hAnsi="Times New Roman"/>
          <w:szCs w:val="24"/>
        </w:rPr>
        <w:t>,</w:t>
      </w:r>
      <w:r>
        <w:rPr>
          <w:rFonts w:ascii="Times New Roman" w:hAnsi="Times New Roman"/>
        </w:rPr>
        <w:t xml:space="preserve"> Mester Z</w:t>
      </w:r>
      <w:r>
        <w:rPr>
          <w:rFonts w:ascii="Times New Roman" w:hAnsi="Times New Roman"/>
          <w:szCs w:val="24"/>
        </w:rPr>
        <w:t>,</w:t>
      </w:r>
      <w:r>
        <w:rPr>
          <w:rFonts w:ascii="Times New Roman" w:hAnsi="Times New Roman"/>
        </w:rPr>
        <w:t xml:space="preserve"> Moores A</w:t>
      </w:r>
      <w:r>
        <w:rPr>
          <w:rFonts w:ascii="Times New Roman" w:hAnsi="Times New Roman"/>
          <w:szCs w:val="24"/>
        </w:rPr>
        <w:t>,</w:t>
      </w:r>
      <w:r>
        <w:rPr>
          <w:rFonts w:ascii="Times New Roman" w:hAnsi="Times New Roman"/>
        </w:rPr>
        <w:t xml:space="preserve"> Murphy K</w:t>
      </w:r>
      <w:r>
        <w:rPr>
          <w:rFonts w:ascii="Times New Roman" w:hAnsi="Times New Roman"/>
          <w:szCs w:val="24"/>
        </w:rPr>
        <w:t>,</w:t>
      </w:r>
      <w:r>
        <w:rPr>
          <w:rFonts w:ascii="Times New Roman" w:hAnsi="Times New Roman"/>
        </w:rPr>
        <w:t xml:space="preserve"> Rabb SA</w:t>
      </w:r>
      <w:r>
        <w:rPr>
          <w:rFonts w:ascii="Times New Roman" w:hAnsi="Times New Roman"/>
          <w:szCs w:val="24"/>
        </w:rPr>
        <w:t>,</w:t>
      </w:r>
      <w:r>
        <w:rPr>
          <w:rFonts w:ascii="Times New Roman" w:hAnsi="Times New Roman"/>
        </w:rPr>
        <w:t xml:space="preserve"> Rudie A</w:t>
      </w:r>
      <w:r>
        <w:rPr>
          <w:rFonts w:ascii="Times New Roman" w:hAnsi="Times New Roman"/>
          <w:szCs w:val="24"/>
        </w:rPr>
        <w:t>,</w:t>
      </w:r>
      <w:r>
        <w:rPr>
          <w:rFonts w:ascii="Times New Roman" w:hAnsi="Times New Roman"/>
        </w:rPr>
        <w:t xml:space="preserve"> Stephan C </w:t>
      </w:r>
      <w:r>
        <w:rPr>
          <w:rFonts w:ascii="Times New Roman" w:hAnsi="Times New Roman"/>
          <w:szCs w:val="24"/>
        </w:rPr>
        <w:t>(2018</w:t>
      </w:r>
      <w:r>
        <w:rPr>
          <w:rFonts w:ascii="Times New Roman" w:hAnsi="Times New Roman"/>
          <w:szCs w:val="24"/>
        </w:rPr>
        <w:t>)</w:t>
      </w:r>
      <w:r>
        <w:rPr>
          <w:rFonts w:ascii="Times New Roman" w:hAnsi="Times New Roman"/>
          <w:szCs w:val="24"/>
        </w:rPr>
        <w:t xml:space="preserve"> </w:t>
      </w:r>
      <w:r>
        <w:rPr>
          <w:rFonts w:ascii="Times New Roman" w:hAnsi="Times New Roman"/>
          <w:lang w:val="en-CA"/>
        </w:rPr>
        <w:t xml:space="preserve">Determination of </w:t>
      </w:r>
      <w:r>
        <w:rPr>
          <w:rFonts w:ascii="Times New Roman" w:hAnsi="Times New Roman"/>
          <w:szCs w:val="24"/>
          <w:lang w:val="en-CA"/>
        </w:rPr>
        <w:t>sulfur</w:t>
      </w:r>
      <w:r>
        <w:rPr>
          <w:rFonts w:ascii="Times New Roman" w:hAnsi="Times New Roman"/>
          <w:lang w:val="en-CA"/>
        </w:rPr>
        <w:t xml:space="preserve"> and </w:t>
      </w:r>
      <w:r>
        <w:rPr>
          <w:rFonts w:ascii="Times New Roman" w:hAnsi="Times New Roman"/>
          <w:szCs w:val="24"/>
          <w:lang w:val="en-CA"/>
        </w:rPr>
        <w:t>sulfate half</w:t>
      </w:r>
      <w:r>
        <w:rPr>
          <w:rFonts w:ascii="Times New Roman" w:hAnsi="Times New Roman"/>
          <w:lang w:val="en-CA"/>
        </w:rPr>
        <w:t xml:space="preserve">-ester </w:t>
      </w:r>
      <w:r>
        <w:rPr>
          <w:rFonts w:ascii="Times New Roman" w:hAnsi="Times New Roman"/>
          <w:szCs w:val="24"/>
          <w:lang w:val="en-CA"/>
        </w:rPr>
        <w:t>content</w:t>
      </w:r>
      <w:r>
        <w:rPr>
          <w:rFonts w:ascii="Times New Roman" w:hAnsi="Times New Roman"/>
          <w:lang w:val="en-CA"/>
        </w:rPr>
        <w:t xml:space="preserve"> in </w:t>
      </w:r>
      <w:r>
        <w:rPr>
          <w:rFonts w:ascii="Times New Roman" w:hAnsi="Times New Roman"/>
          <w:szCs w:val="24"/>
          <w:lang w:val="en-CA"/>
        </w:rPr>
        <w:t>cellulose nanocrystals</w:t>
      </w:r>
      <w:r>
        <w:rPr>
          <w:rFonts w:ascii="Times New Roman" w:hAnsi="Times New Roman"/>
          <w:lang w:val="en-CA"/>
        </w:rPr>
        <w:t xml:space="preserve">: An </w:t>
      </w:r>
      <w:r>
        <w:rPr>
          <w:rFonts w:ascii="Times New Roman" w:hAnsi="Times New Roman"/>
          <w:szCs w:val="24"/>
          <w:lang w:val="en-CA"/>
        </w:rPr>
        <w:t>interlaboratory comparison.</w:t>
      </w:r>
      <w:r>
        <w:rPr>
          <w:rFonts w:ascii="Times New Roman" w:hAnsi="Times New Roman"/>
          <w:i/>
        </w:rPr>
        <w:t xml:space="preserve"> Metrologia</w:t>
      </w:r>
      <w:r>
        <w:rPr>
          <w:rFonts w:ascii="Times New Roman" w:hAnsi="Times New Roman"/>
        </w:rPr>
        <w:t xml:space="preserve"> </w:t>
      </w:r>
      <w:r>
        <w:rPr>
          <w:rFonts w:ascii="Times New Roman" w:hAnsi="Times New Roman"/>
          <w:i/>
        </w:rPr>
        <w:t>55</w:t>
      </w:r>
      <w:r>
        <w:rPr>
          <w:rFonts w:ascii="Times New Roman" w:hAnsi="Times New Roman"/>
        </w:rPr>
        <w:t>:</w:t>
      </w:r>
      <w:r>
        <w:rPr>
          <w:rFonts w:ascii="Times New Roman" w:hAnsi="Times New Roman"/>
        </w:rPr>
        <w:t>872.</w:t>
      </w:r>
    </w:p>
    <w:p>
      <w:pPr>
        <w:pStyle w:val="49"/>
        <w:snapToGrid w:val="0"/>
        <w:spacing w:after="60" w:line="276" w:lineRule="auto"/>
        <w:ind w:left="0" w:leftChars="0"/>
        <w:jc w:val="left"/>
        <w:rPr>
          <w:rFonts w:ascii="Times New Roman" w:hAnsi="Times New Roman"/>
          <w:szCs w:val="24"/>
        </w:rPr>
      </w:pPr>
      <w:r>
        <w:rPr>
          <w:rFonts w:ascii="Times New Roman" w:hAnsi="Times New Roman"/>
        </w:rPr>
        <w:t>Merrill RC</w:t>
      </w:r>
      <w:r>
        <w:rPr>
          <w:rFonts w:ascii="Times New Roman" w:hAnsi="Times New Roman"/>
          <w:szCs w:val="24"/>
        </w:rPr>
        <w:t>,</w:t>
      </w:r>
      <w:r>
        <w:rPr>
          <w:rFonts w:ascii="Times New Roman" w:hAnsi="Times New Roman"/>
        </w:rPr>
        <w:t xml:space="preserve"> Spencer RW </w:t>
      </w:r>
      <w:r>
        <w:rPr>
          <w:rFonts w:ascii="Times New Roman" w:hAnsi="Times New Roman"/>
          <w:szCs w:val="24"/>
        </w:rPr>
        <w:t xml:space="preserve">(1948) Spectral changes of some dyes in soluble silicate solutions. </w:t>
      </w:r>
      <w:r>
        <w:rPr>
          <w:rFonts w:ascii="Times New Roman" w:hAnsi="Times New Roman"/>
          <w:i/>
          <w:szCs w:val="24"/>
        </w:rPr>
        <w:t>J</w:t>
      </w:r>
      <w:r>
        <w:rPr>
          <w:rFonts w:ascii="Times New Roman" w:hAnsi="Times New Roman"/>
          <w:i/>
          <w:szCs w:val="24"/>
        </w:rPr>
        <w:t xml:space="preserve"> </w:t>
      </w:r>
      <w:r>
        <w:rPr>
          <w:rFonts w:ascii="Times New Roman" w:hAnsi="Times New Roman"/>
          <w:i/>
          <w:szCs w:val="24"/>
        </w:rPr>
        <w:t>Am Chem Soc</w:t>
      </w:r>
      <w:r>
        <w:rPr>
          <w:rFonts w:ascii="Times New Roman" w:hAnsi="Times New Roman"/>
          <w:szCs w:val="24"/>
        </w:rPr>
        <w:t xml:space="preserve"> 70</w:t>
      </w:r>
      <w:r>
        <w:rPr>
          <w:rFonts w:ascii="Times New Roman" w:hAnsi="Times New Roman"/>
          <w:szCs w:val="24"/>
        </w:rPr>
        <w:t>:</w:t>
      </w:r>
      <w:r>
        <w:rPr>
          <w:rFonts w:ascii="Times New Roman" w:hAnsi="Times New Roman"/>
          <w:szCs w:val="24"/>
        </w:rPr>
        <w:t>3683–3689.</w:t>
      </w:r>
    </w:p>
    <w:p>
      <w:pPr>
        <w:pStyle w:val="49"/>
        <w:snapToGrid w:val="0"/>
        <w:spacing w:after="60" w:line="276" w:lineRule="auto"/>
        <w:ind w:left="0" w:leftChars="0"/>
        <w:jc w:val="left"/>
        <w:rPr>
          <w:rFonts w:ascii="Times New Roman" w:hAnsi="Times New Roman"/>
          <w:szCs w:val="24"/>
        </w:rPr>
      </w:pPr>
      <w:r>
        <w:rPr>
          <w:rFonts w:ascii="Times New Roman" w:hAnsi="Times New Roman"/>
        </w:rPr>
        <w:t>Pal MK</w:t>
      </w:r>
      <w:r>
        <w:rPr>
          <w:rFonts w:ascii="Times New Roman" w:hAnsi="Times New Roman"/>
          <w:szCs w:val="24"/>
        </w:rPr>
        <w:t>,</w:t>
      </w:r>
      <w:r>
        <w:rPr>
          <w:rFonts w:ascii="Times New Roman" w:hAnsi="Times New Roman"/>
        </w:rPr>
        <w:t xml:space="preserve"> Schubert M </w:t>
      </w:r>
      <w:r>
        <w:rPr>
          <w:rFonts w:ascii="Times New Roman" w:hAnsi="Times New Roman"/>
          <w:szCs w:val="24"/>
        </w:rPr>
        <w:t xml:space="preserve">(1962) Measurement of the stability of metachromatic compounds. </w:t>
      </w:r>
      <w:r>
        <w:rPr>
          <w:rFonts w:ascii="Times New Roman" w:hAnsi="Times New Roman"/>
          <w:i/>
          <w:szCs w:val="24"/>
        </w:rPr>
        <w:t>J</w:t>
      </w:r>
      <w:r>
        <w:rPr>
          <w:rFonts w:ascii="Times New Roman" w:hAnsi="Times New Roman"/>
          <w:i/>
          <w:szCs w:val="24"/>
        </w:rPr>
        <w:t xml:space="preserve"> </w:t>
      </w:r>
      <w:r>
        <w:rPr>
          <w:rFonts w:ascii="Times New Roman" w:hAnsi="Times New Roman"/>
          <w:i/>
          <w:szCs w:val="24"/>
        </w:rPr>
        <w:t>Am Chem Soc</w:t>
      </w:r>
      <w:r>
        <w:rPr>
          <w:rFonts w:ascii="Times New Roman" w:hAnsi="Times New Roman"/>
          <w:szCs w:val="24"/>
        </w:rPr>
        <w:t xml:space="preserve"> </w:t>
      </w:r>
      <w:r>
        <w:rPr>
          <w:rFonts w:ascii="Times New Roman" w:hAnsi="Times New Roman"/>
          <w:i/>
          <w:szCs w:val="24"/>
        </w:rPr>
        <w:t>84</w:t>
      </w:r>
      <w:r>
        <w:rPr>
          <w:rFonts w:ascii="Times New Roman" w:hAnsi="Times New Roman"/>
          <w:szCs w:val="24"/>
        </w:rPr>
        <w:t>:</w:t>
      </w:r>
      <w:r>
        <w:rPr>
          <w:rFonts w:ascii="Times New Roman" w:hAnsi="Times New Roman"/>
          <w:szCs w:val="24"/>
        </w:rPr>
        <w:t>4384–4393.</w:t>
      </w:r>
    </w:p>
    <w:p>
      <w:pPr>
        <w:pStyle w:val="49"/>
        <w:snapToGrid w:val="0"/>
        <w:spacing w:after="60" w:line="276" w:lineRule="auto"/>
        <w:ind w:left="0" w:leftChars="0"/>
        <w:jc w:val="left"/>
        <w:rPr>
          <w:rFonts w:ascii="Times New Roman" w:hAnsi="Times New Roman"/>
        </w:rPr>
      </w:pPr>
      <w:r>
        <w:rPr>
          <w:rFonts w:ascii="Times New Roman" w:hAnsi="Times New Roman"/>
        </w:rPr>
        <w:t>Ragab GH</w:t>
      </w:r>
      <w:r>
        <w:rPr>
          <w:rFonts w:ascii="Times New Roman" w:hAnsi="Times New Roman"/>
          <w:szCs w:val="24"/>
        </w:rPr>
        <w:t>,</w:t>
      </w:r>
      <w:r>
        <w:rPr>
          <w:rFonts w:ascii="Times New Roman" w:hAnsi="Times New Roman"/>
        </w:rPr>
        <w:t xml:space="preserve"> Amin AS</w:t>
      </w:r>
      <w:r>
        <w:rPr>
          <w:rFonts w:ascii="Times New Roman" w:hAnsi="Times New Roman"/>
          <w:szCs w:val="24"/>
        </w:rPr>
        <w:t xml:space="preserve"> (2004)</w:t>
      </w:r>
      <w:r>
        <w:rPr>
          <w:rFonts w:ascii="Times New Roman" w:hAnsi="Times New Roman"/>
        </w:rPr>
        <w:t xml:space="preserve"> Atomic absorption spectroscopic, conductometric and colorimetric methods for determination of fluoroquinolone antibiotics using ammonium reineckate ion-pair complex formation. </w:t>
      </w:r>
      <w:r>
        <w:rPr>
          <w:rFonts w:ascii="Times New Roman" w:hAnsi="Times New Roman"/>
          <w:i/>
          <w:szCs w:val="24"/>
        </w:rPr>
        <w:t>Spectrochim Acta Part A: Mol Biomol Spectroscopy</w:t>
      </w:r>
      <w:r>
        <w:rPr>
          <w:rFonts w:ascii="Times New Roman" w:hAnsi="Times New Roman"/>
        </w:rPr>
        <w:t xml:space="preserve"> </w:t>
      </w:r>
      <w:r>
        <w:rPr>
          <w:rFonts w:ascii="Times New Roman" w:hAnsi="Times New Roman"/>
          <w:i/>
        </w:rPr>
        <w:t>60</w:t>
      </w:r>
      <w:r>
        <w:rPr>
          <w:rFonts w:ascii="Times New Roman" w:hAnsi="Times New Roman"/>
        </w:rPr>
        <w:t>:</w:t>
      </w:r>
      <w:r>
        <w:rPr>
          <w:rFonts w:ascii="Times New Roman" w:hAnsi="Times New Roman"/>
        </w:rPr>
        <w:t>973–978.</w:t>
      </w:r>
    </w:p>
    <w:p>
      <w:pPr>
        <w:pStyle w:val="49"/>
        <w:snapToGrid w:val="0"/>
        <w:spacing w:after="60" w:line="276" w:lineRule="auto"/>
        <w:ind w:left="0" w:leftChars="0"/>
        <w:jc w:val="left"/>
        <w:rPr>
          <w:rFonts w:ascii="Times New Roman" w:hAnsi="Times New Roman"/>
          <w:szCs w:val="24"/>
        </w:rPr>
      </w:pPr>
      <w:r>
        <w:rPr>
          <w:rFonts w:ascii="Times New Roman" w:hAnsi="Times New Roman"/>
        </w:rPr>
        <w:t>Vleugels LFW, Ricois S, Voets</w:t>
      </w:r>
      <w:r>
        <w:rPr>
          <w:rFonts w:ascii="Times New Roman" w:hAnsi="Times New Roman"/>
        </w:rPr>
        <w:t xml:space="preserve"> </w:t>
      </w:r>
      <w:r>
        <w:rPr>
          <w:rFonts w:ascii="Times New Roman" w:hAnsi="Times New Roman"/>
        </w:rPr>
        <w:t xml:space="preserve">IK, </w:t>
      </w:r>
      <w:r>
        <w:rPr>
          <w:rFonts w:ascii="Times New Roman" w:hAnsi="Times New Roman"/>
          <w:szCs w:val="24"/>
        </w:rPr>
        <w:t>Tuinier</w:t>
      </w:r>
      <w:r>
        <w:rPr>
          <w:rFonts w:ascii="Times New Roman" w:hAnsi="Times New Roman"/>
          <w:szCs w:val="24"/>
        </w:rPr>
        <w:t xml:space="preserve"> </w:t>
      </w:r>
      <w:r>
        <w:rPr>
          <w:rFonts w:ascii="Times New Roman" w:hAnsi="Times New Roman"/>
          <w:szCs w:val="24"/>
        </w:rPr>
        <w:t>R (2017)</w:t>
      </w:r>
      <w:r>
        <w:rPr>
          <w:rFonts w:ascii="Times New Roman" w:hAnsi="Times New Roman"/>
        </w:rPr>
        <w:t xml:space="preserve"> Reversal of metachromasy revisited; displacement of Toluidine-blue from alginate by surfactants. </w:t>
      </w:r>
      <w:r>
        <w:rPr>
          <w:rFonts w:ascii="Times New Roman" w:hAnsi="Times New Roman"/>
          <w:i/>
        </w:rPr>
        <w:t>Colloids Surfaces A: Physicochem Eng Asp</w:t>
      </w:r>
      <w:r>
        <w:rPr>
          <w:rFonts w:ascii="Times New Roman" w:hAnsi="Times New Roman"/>
        </w:rPr>
        <w:t xml:space="preserve"> </w:t>
      </w:r>
      <w:r>
        <w:rPr>
          <w:rFonts w:ascii="Times New Roman" w:hAnsi="Times New Roman"/>
          <w:i/>
          <w:szCs w:val="24"/>
        </w:rPr>
        <w:t>529</w:t>
      </w:r>
      <w:r>
        <w:rPr>
          <w:rFonts w:ascii="Times New Roman" w:hAnsi="Times New Roman"/>
          <w:szCs w:val="24"/>
        </w:rPr>
        <w:t>:</w:t>
      </w:r>
      <w:r>
        <w:rPr>
          <w:rFonts w:ascii="Times New Roman" w:hAnsi="Times New Roman"/>
          <w:szCs w:val="24"/>
        </w:rPr>
        <w:t xml:space="preserve">454–461. </w:t>
      </w:r>
    </w:p>
    <w:p>
      <w:pPr>
        <w:pStyle w:val="49"/>
        <w:snapToGrid w:val="0"/>
        <w:spacing w:after="60" w:line="276" w:lineRule="auto"/>
        <w:ind w:left="0" w:leftChars="0"/>
        <w:jc w:val="left"/>
        <w:rPr>
          <w:rFonts w:ascii="Times New Roman" w:hAnsi="Times New Roman"/>
          <w:szCs w:val="24"/>
        </w:rPr>
      </w:pPr>
      <w:r>
        <w:rPr>
          <w:rFonts w:ascii="Times New Roman" w:hAnsi="Times New Roman"/>
          <w:szCs w:val="24"/>
        </w:rPr>
        <w:t>Wehr JB, Pax F, Blamey C,</w:t>
      </w:r>
      <w:r>
        <w:rPr>
          <w:rFonts w:ascii="Times New Roman" w:hAnsi="Times New Roman"/>
        </w:rPr>
        <w:t xml:space="preserve"> Menzies N</w:t>
      </w:r>
      <w:r>
        <w:rPr>
          <w:rFonts w:ascii="Times New Roman" w:hAnsi="Times New Roman"/>
          <w:szCs w:val="24"/>
        </w:rPr>
        <w:t xml:space="preserve">W (2010) Comparison between methods using copper, lanthanum, and colorimetry for the determination of the cation exchange capacity of plant cell walls. </w:t>
      </w:r>
      <w:r>
        <w:rPr>
          <w:rFonts w:ascii="Times New Roman" w:hAnsi="Times New Roman"/>
          <w:i/>
          <w:szCs w:val="24"/>
        </w:rPr>
        <w:t>J</w:t>
      </w:r>
      <w:r>
        <w:rPr>
          <w:rFonts w:ascii="Times New Roman" w:hAnsi="Times New Roman"/>
          <w:i/>
          <w:szCs w:val="24"/>
        </w:rPr>
        <w:t xml:space="preserve"> </w:t>
      </w:r>
      <w:r>
        <w:rPr>
          <w:rFonts w:ascii="Times New Roman" w:hAnsi="Times New Roman"/>
          <w:i/>
          <w:szCs w:val="24"/>
        </w:rPr>
        <w:t>Agric Food Chem</w:t>
      </w:r>
      <w:r>
        <w:rPr>
          <w:rFonts w:ascii="Times New Roman" w:hAnsi="Times New Roman"/>
          <w:szCs w:val="24"/>
        </w:rPr>
        <w:t xml:space="preserve"> </w:t>
      </w:r>
      <w:r>
        <w:rPr>
          <w:rFonts w:ascii="Times New Roman" w:hAnsi="Times New Roman"/>
          <w:i/>
          <w:szCs w:val="24"/>
        </w:rPr>
        <w:t>58</w:t>
      </w:r>
      <w:r>
        <w:rPr>
          <w:rFonts w:ascii="Times New Roman" w:hAnsi="Times New Roman"/>
          <w:szCs w:val="24"/>
        </w:rPr>
        <w:t>:</w:t>
      </w:r>
      <w:bookmarkStart w:id="0" w:name="_GoBack"/>
      <w:bookmarkEnd w:id="0"/>
      <w:r>
        <w:rPr>
          <w:rFonts w:ascii="Times New Roman" w:hAnsi="Times New Roman"/>
          <w:szCs w:val="24"/>
        </w:rPr>
        <w:t xml:space="preserve">4554–4559. </w:t>
      </w:r>
    </w:p>
    <w:p>
      <w:pPr>
        <w:pStyle w:val="38"/>
        <w:snapToGrid w:val="0"/>
        <w:spacing w:after="240" w:line="240" w:lineRule="auto"/>
        <w:jc w:val="left"/>
        <w:rPr>
          <w:rFonts w:ascii="Times New Roman" w:hAnsi="Times New Roman"/>
          <w:szCs w:val="24"/>
        </w:rPr>
      </w:pPr>
    </w:p>
    <w:sectPr>
      <w:headerReference r:id="rId3" w:type="default"/>
      <w:footerReference r:id="rId4" w:type="default"/>
      <w:footerReference r:id="rId5" w:type="even"/>
      <w:type w:val="continuous"/>
      <w:pgSz w:w="12240" w:h="15840"/>
      <w:pgMar w:top="720" w:right="1094" w:bottom="720" w:left="1094" w:header="0" w:footer="0" w:gutter="0"/>
      <w:cols w:space="475"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Century">
    <w:altName w:val="PingFang SC"/>
    <w:panose1 w:val="02040604050505020304"/>
    <w:charset w:val="00"/>
    <w:family w:val="roman"/>
    <w:pitch w:val="default"/>
    <w:sig w:usb0="00000287" w:usb1="00000000" w:usb2="00000000" w:usb3="00000000" w:csb0="2000009F" w:csb1="DFD70000"/>
  </w:font>
  <w:font w:name="ＭＳ 明朝">
    <w:panose1 w:val="02020609040205080304"/>
    <w:charset w:val="80"/>
    <w:family w:val="auto"/>
    <w:pitch w:val="default"/>
    <w:sig w:usb0="E00002FF" w:usb1="6AC7FDFB" w:usb2="00000012" w:usb3="00000000" w:csb0="4002009F" w:csb1="DFD70000"/>
  </w:font>
  <w:font w:name="Wingdings">
    <w:panose1 w:val="05000000000000000000"/>
    <w:charset w:val="00"/>
    <w:family w:val="auto"/>
    <w:pitch w:val="default"/>
    <w:sig w:usb0="00000000" w:usb1="00000000" w:usb2="00000000" w:usb3="00000000" w:csb0="80000000" w:csb1="00000000"/>
  </w:font>
  <w:font w:name="Arial">
    <w:panose1 w:val="020B0604020202090204"/>
    <w:charset w:val="00"/>
    <w:family w:val="swiss"/>
    <w:pitch w:val="default"/>
    <w:sig w:usb0="E0000AFF" w:usb1="00007843" w:usb2="00000001" w:usb3="00000000" w:csb0="400001BF" w:csb1="DFF70000"/>
  </w:font>
  <w:font w:name="ＭＳ ゴシック">
    <w:panose1 w:val="020B0609070205080204"/>
    <w:charset w:val="80"/>
    <w:family w:val="modern"/>
    <w:pitch w:val="default"/>
    <w:sig w:usb0="E00002FF" w:usb1="6AC7FDFB" w:usb2="00000012" w:usb3="00000000" w:csb0="4002009F" w:csb1="DFD70000"/>
  </w:font>
  <w:font w:name="Courier New">
    <w:panose1 w:val="02070309020205020404"/>
    <w:charset w:val="00"/>
    <w:family w:val="modern"/>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702030404030204"/>
    <w:charset w:val="00"/>
    <w:family w:val="swiss"/>
    <w:pitch w:val="default"/>
    <w:sig w:usb0="E10002FF" w:usb1="4000ACFF" w:usb2="00000009" w:usb3="00000000" w:csb0="2000019F" w:csb1="00000000"/>
  </w:font>
  <w:font w:name="PingFang SC">
    <w:panose1 w:val="020B0400000000000000"/>
    <w:charset w:val="86"/>
    <w:family w:val="auto"/>
    <w:pitch w:val="default"/>
    <w:sig w:usb0="A00002FF" w:usb1="7ACFFDFB" w:usb2="00000017" w:usb3="00000000" w:csb0="00040001" w:csb1="00000000"/>
  </w:font>
  <w:font w:name="Symbol">
    <w:panose1 w:val="05050102010706020507"/>
    <w:charset w:val="02"/>
    <w:family w:val="auto"/>
    <w:pitch w:val="default"/>
    <w:sig w:usb0="00000000" w:usb1="00000000" w:usb2="00000000" w:usb3="00000000" w:csb0="80000000" w:csb1="00000000"/>
  </w:font>
  <w:font w:name="Wingdings">
    <w:panose1 w:val="05000000000000000000"/>
    <w:charset w:val="02"/>
    <w:family w:val="auto"/>
    <w:pitch w:val="default"/>
    <w:sig w:usb0="00000000" w:usb1="00000000" w:usb2="00000000" w:usb3="00000000" w:csb0="80000000" w:csb1="00000000"/>
  </w:font>
  <w:font w:name="Times">
    <w:panose1 w:val="00000500000000020000"/>
    <w:charset w:val="4D"/>
    <w:family w:val="roman"/>
    <w:pitch w:val="default"/>
    <w:sig w:usb0="E00002FF" w:usb1="5000205A" w:usb2="00000000" w:usb3="00000000" w:csb0="2000019F" w:csb1="4F010000"/>
  </w:font>
  <w:font w:name="New York">
    <w:altName w:val="Thonburi"/>
    <w:panose1 w:val="00000000000000000000"/>
    <w:charset w:val="4D"/>
    <w:family w:val="roman"/>
    <w:pitch w:val="default"/>
    <w:sig w:usb0="00000000" w:usb1="00000000" w:usb2="00000000" w:usb3="00000000" w:csb0="00000001" w:csb1="00000000"/>
  </w:font>
  <w:font w:name="ＭＳ 明朝">
    <w:panose1 w:val="02020609040205080304"/>
    <w:charset w:val="4E"/>
    <w:family w:val="auto"/>
    <w:pitch w:val="default"/>
    <w:sig w:usb0="E00002FF" w:usb1="6AC7FDFB" w:usb2="00000012" w:usb3="00000000" w:csb0="4002009F" w:csb1="DFD70000"/>
  </w:font>
  <w:font w:name="ＭＳ ゴシック">
    <w:panose1 w:val="020B0609070205080204"/>
    <w:charset w:val="4E"/>
    <w:family w:val="auto"/>
    <w:pitch w:val="default"/>
    <w:sig w:usb0="E00002FF" w:usb1="6AC7FDFB" w:usb2="00000012" w:usb3="00000000" w:csb0="4002009F" w:csb1="DFD70000"/>
  </w:font>
  <w:font w:name="Tahoma">
    <w:panose1 w:val="020B0604030504040204"/>
    <w:charset w:val="00"/>
    <w:family w:val="auto"/>
    <w:pitch w:val="default"/>
    <w:sig w:usb0="E1002AFF" w:usb1="C000605B" w:usb2="00000029" w:usb3="00000000" w:csb0="200101FF" w:csb1="20280000"/>
  </w:font>
  <w:font w:name="Arno Pro">
    <w:altName w:val="PingFang SC"/>
    <w:panose1 w:val="00000000000000000000"/>
    <w:charset w:val="00"/>
    <w:family w:val="roman"/>
    <w:pitch w:val="default"/>
    <w:sig w:usb0="00000000" w:usb1="00000000" w:usb2="00000000" w:usb3="00000000" w:csb0="0000019F" w:csb1="00000000"/>
  </w:font>
  <w:font w:name="Cambria Math">
    <w:panose1 w:val="02040503050406030204"/>
    <w:charset w:val="00"/>
    <w:family w:val="auto"/>
    <w:pitch w:val="default"/>
    <w:sig w:usb0="E00002FF" w:usb1="420024FF" w:usb2="00000000" w:usb3="00000000" w:csb0="2000019F" w:csb1="00000000"/>
  </w:font>
  <w:font w:name="クレー">
    <w:panose1 w:val="02020700000000000000"/>
    <w:charset w:val="80"/>
    <w:family w:val="auto"/>
    <w:pitch w:val="default"/>
    <w:sig w:usb0="A00002FF" w:usb1="68C7FEFF" w:usb2="00000012" w:usb3="00000000" w:csb0="00020005" w:csb1="00000000"/>
  </w:font>
  <w:font w:name="Thonburi">
    <w:panose1 w:val="00000400000000000000"/>
    <w:charset w:val="00"/>
    <w:family w:val="auto"/>
    <w:pitch w:val="default"/>
    <w:sig w:usb0="01000000" w:usb1="00000000" w:usb2="00000000" w:usb3="00000000" w:csb0="20000193" w:csb1="4D000000"/>
  </w:font>
  <w:font w:name="Thonburi">
    <w:panose1 w:val="00000400000000000000"/>
    <w:charset w:val="4D"/>
    <w:family w:val="roman"/>
    <w:pitch w:val="default"/>
    <w:sig w:usb0="01000000" w:usb1="00000000" w:usb2="00000000" w:usb3="00000000" w:csb0="20000193" w:csb1="4D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13"/>
      </w:rPr>
    </w:pPr>
    <w:r>
      <w:rPr>
        <w:rStyle w:val="13"/>
      </w:rPr>
      <w:fldChar w:fldCharType="begin"/>
    </w:r>
    <w:r>
      <w:rPr>
        <w:rStyle w:val="13"/>
      </w:rPr>
      <w:instrText xml:space="preserve">PAGE  </w:instrText>
    </w:r>
    <w:r>
      <w:rPr>
        <w:rStyle w:val="13"/>
      </w:rPr>
      <w:fldChar w:fldCharType="separate"/>
    </w:r>
    <w:r>
      <w:rPr>
        <w:rStyle w:val="13"/>
      </w:rPr>
      <w:t>5</w:t>
    </w:r>
    <w:r>
      <w:rPr>
        <w:rStyle w:val="13"/>
      </w:rPr>
      <w:fldChar w:fldCharType="end"/>
    </w:r>
  </w:p>
  <w:p>
    <w:pPr>
      <w:pStyle w:val="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13"/>
      </w:rPr>
    </w:pPr>
    <w:r>
      <w:rPr>
        <w:rStyle w:val="13"/>
      </w:rPr>
      <w:fldChar w:fldCharType="begin"/>
    </w:r>
    <w:r>
      <w:rPr>
        <w:rStyle w:val="13"/>
      </w:rPr>
      <w:instrText xml:space="preserve">PAGE  </w:instrText>
    </w:r>
    <w:r>
      <w:rPr>
        <w:rStyle w:val="13"/>
      </w:rPr>
      <w:fldChar w:fldCharType="separate"/>
    </w:r>
    <w:r>
      <w:rPr>
        <w:rStyle w:val="13"/>
      </w:rPr>
      <w:t>1</w:t>
    </w:r>
    <w:r>
      <w:rPr>
        <w:rStyle w:val="13"/>
      </w:rPr>
      <w:fldChar w:fldCharType="end"/>
    </w:r>
  </w:p>
  <w:p>
    <w:pPr>
      <w:pStyle w:val="5"/>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bordersDoNotSurroundHeader w:val="1"/>
  <w:bordersDoNotSurroundFooter w:val="1"/>
  <w:documentProtection w:enforcement="0"/>
  <w:defaultTabStop w:val="181"/>
  <w:hyphenationZone w:val="0"/>
  <w:doNotHyphenateCaps/>
  <w:drawingGridHorizontalSpacing w:val="0"/>
  <w:drawingGridVerticalSpacing w:val="0"/>
  <w:displayHorizontalDrawingGridEvery w:val="0"/>
  <w:displayVerticalDrawingGridEvery w:val="0"/>
  <w:doNotUseMarginsForDrawingGridOrigin w:val="1"/>
  <w:drawingGridHorizontalOrigin w:val="0"/>
  <w:drawingGridVerticalOrigin w:val="0"/>
  <w:doNotShadeFormData w:val="1"/>
  <w:noPunctuationKerning w:val="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17F1"/>
    <w:rsid w:val="00001255"/>
    <w:rsid w:val="00006B02"/>
    <w:rsid w:val="00021715"/>
    <w:rsid w:val="00021C00"/>
    <w:rsid w:val="000261CC"/>
    <w:rsid w:val="00041C7B"/>
    <w:rsid w:val="000450E6"/>
    <w:rsid w:val="000500A5"/>
    <w:rsid w:val="0005221C"/>
    <w:rsid w:val="0005660F"/>
    <w:rsid w:val="00064CD2"/>
    <w:rsid w:val="00067EFC"/>
    <w:rsid w:val="000702AD"/>
    <w:rsid w:val="000716AE"/>
    <w:rsid w:val="00073050"/>
    <w:rsid w:val="000850BE"/>
    <w:rsid w:val="00086D2F"/>
    <w:rsid w:val="00097F67"/>
    <w:rsid w:val="000A327C"/>
    <w:rsid w:val="000B4305"/>
    <w:rsid w:val="000B5132"/>
    <w:rsid w:val="000B5610"/>
    <w:rsid w:val="000C05CC"/>
    <w:rsid w:val="000C5431"/>
    <w:rsid w:val="000D2360"/>
    <w:rsid w:val="000D7630"/>
    <w:rsid w:val="000E02ED"/>
    <w:rsid w:val="000E1D73"/>
    <w:rsid w:val="000E67A1"/>
    <w:rsid w:val="000F6285"/>
    <w:rsid w:val="001008CF"/>
    <w:rsid w:val="001047DC"/>
    <w:rsid w:val="00111E10"/>
    <w:rsid w:val="00115239"/>
    <w:rsid w:val="00123AB3"/>
    <w:rsid w:val="0013174F"/>
    <w:rsid w:val="00134E3E"/>
    <w:rsid w:val="0013712E"/>
    <w:rsid w:val="00152C78"/>
    <w:rsid w:val="001649EE"/>
    <w:rsid w:val="00167618"/>
    <w:rsid w:val="0017236E"/>
    <w:rsid w:val="00172F1A"/>
    <w:rsid w:val="00175554"/>
    <w:rsid w:val="00184933"/>
    <w:rsid w:val="0018548B"/>
    <w:rsid w:val="00186E94"/>
    <w:rsid w:val="00195306"/>
    <w:rsid w:val="001A5BE0"/>
    <w:rsid w:val="001A79C6"/>
    <w:rsid w:val="001A7A90"/>
    <w:rsid w:val="001B3A79"/>
    <w:rsid w:val="001B628F"/>
    <w:rsid w:val="001B6A3D"/>
    <w:rsid w:val="001D24CB"/>
    <w:rsid w:val="001D3820"/>
    <w:rsid w:val="001D6604"/>
    <w:rsid w:val="001E3230"/>
    <w:rsid w:val="001F01E7"/>
    <w:rsid w:val="001F1EF6"/>
    <w:rsid w:val="00201414"/>
    <w:rsid w:val="00212B1D"/>
    <w:rsid w:val="002134D5"/>
    <w:rsid w:val="002157FE"/>
    <w:rsid w:val="0021787F"/>
    <w:rsid w:val="0022070B"/>
    <w:rsid w:val="002235F4"/>
    <w:rsid w:val="00224042"/>
    <w:rsid w:val="00231A09"/>
    <w:rsid w:val="00246700"/>
    <w:rsid w:val="00254819"/>
    <w:rsid w:val="00260ABC"/>
    <w:rsid w:val="00260D5F"/>
    <w:rsid w:val="00261092"/>
    <w:rsid w:val="00261190"/>
    <w:rsid w:val="0027384B"/>
    <w:rsid w:val="0027483F"/>
    <w:rsid w:val="00274C1E"/>
    <w:rsid w:val="002764A1"/>
    <w:rsid w:val="00284715"/>
    <w:rsid w:val="00291F5F"/>
    <w:rsid w:val="002A5FFF"/>
    <w:rsid w:val="002A7493"/>
    <w:rsid w:val="002B0D2A"/>
    <w:rsid w:val="002B1A8A"/>
    <w:rsid w:val="002B38CF"/>
    <w:rsid w:val="002B7889"/>
    <w:rsid w:val="002C2E15"/>
    <w:rsid w:val="002C3431"/>
    <w:rsid w:val="002C73D9"/>
    <w:rsid w:val="002D4842"/>
    <w:rsid w:val="002D6598"/>
    <w:rsid w:val="002E3E1B"/>
    <w:rsid w:val="002E4F32"/>
    <w:rsid w:val="002E53FB"/>
    <w:rsid w:val="002F2B35"/>
    <w:rsid w:val="002F76F6"/>
    <w:rsid w:val="003000EC"/>
    <w:rsid w:val="0030693D"/>
    <w:rsid w:val="00307655"/>
    <w:rsid w:val="003162BF"/>
    <w:rsid w:val="00330E45"/>
    <w:rsid w:val="00332E59"/>
    <w:rsid w:val="0033306C"/>
    <w:rsid w:val="00345E70"/>
    <w:rsid w:val="00347F08"/>
    <w:rsid w:val="0035350F"/>
    <w:rsid w:val="00356148"/>
    <w:rsid w:val="00356581"/>
    <w:rsid w:val="00363695"/>
    <w:rsid w:val="00363AEB"/>
    <w:rsid w:val="003664E9"/>
    <w:rsid w:val="003679A1"/>
    <w:rsid w:val="00370209"/>
    <w:rsid w:val="00384183"/>
    <w:rsid w:val="003A03F2"/>
    <w:rsid w:val="003A209F"/>
    <w:rsid w:val="003A5E3E"/>
    <w:rsid w:val="003A6CA4"/>
    <w:rsid w:val="003B1E86"/>
    <w:rsid w:val="003B4AF3"/>
    <w:rsid w:val="003C2FA5"/>
    <w:rsid w:val="003C5B51"/>
    <w:rsid w:val="003E0B1C"/>
    <w:rsid w:val="003E0ECE"/>
    <w:rsid w:val="003E17F1"/>
    <w:rsid w:val="00404281"/>
    <w:rsid w:val="00406094"/>
    <w:rsid w:val="004069D2"/>
    <w:rsid w:val="0041522A"/>
    <w:rsid w:val="00417AD1"/>
    <w:rsid w:val="00421B41"/>
    <w:rsid w:val="00427123"/>
    <w:rsid w:val="00437F98"/>
    <w:rsid w:val="0044226E"/>
    <w:rsid w:val="004532C9"/>
    <w:rsid w:val="00457787"/>
    <w:rsid w:val="00465AEE"/>
    <w:rsid w:val="00465E93"/>
    <w:rsid w:val="00475FD2"/>
    <w:rsid w:val="00477FA9"/>
    <w:rsid w:val="00486711"/>
    <w:rsid w:val="00496AAA"/>
    <w:rsid w:val="0049761B"/>
    <w:rsid w:val="004B1331"/>
    <w:rsid w:val="004B3250"/>
    <w:rsid w:val="004B3EDF"/>
    <w:rsid w:val="004B74B0"/>
    <w:rsid w:val="004B79F6"/>
    <w:rsid w:val="004C2EDF"/>
    <w:rsid w:val="004D57FD"/>
    <w:rsid w:val="004E038C"/>
    <w:rsid w:val="004E5F24"/>
    <w:rsid w:val="004E7185"/>
    <w:rsid w:val="004F27AD"/>
    <w:rsid w:val="004F6E9A"/>
    <w:rsid w:val="00505D68"/>
    <w:rsid w:val="005062BD"/>
    <w:rsid w:val="005078FF"/>
    <w:rsid w:val="005155D4"/>
    <w:rsid w:val="0051716B"/>
    <w:rsid w:val="005205F6"/>
    <w:rsid w:val="005345AB"/>
    <w:rsid w:val="00536F6A"/>
    <w:rsid w:val="00541FA7"/>
    <w:rsid w:val="00543D38"/>
    <w:rsid w:val="00547ACA"/>
    <w:rsid w:val="00554CD1"/>
    <w:rsid w:val="005609C1"/>
    <w:rsid w:val="005611FC"/>
    <w:rsid w:val="005634CC"/>
    <w:rsid w:val="00563E6A"/>
    <w:rsid w:val="00572382"/>
    <w:rsid w:val="005773C2"/>
    <w:rsid w:val="00580D53"/>
    <w:rsid w:val="00582847"/>
    <w:rsid w:val="005865C5"/>
    <w:rsid w:val="00591A57"/>
    <w:rsid w:val="005A120D"/>
    <w:rsid w:val="005B5119"/>
    <w:rsid w:val="005B608D"/>
    <w:rsid w:val="005B6B62"/>
    <w:rsid w:val="005C6CE0"/>
    <w:rsid w:val="005D0C10"/>
    <w:rsid w:val="005D0E8F"/>
    <w:rsid w:val="005D1214"/>
    <w:rsid w:val="005E2156"/>
    <w:rsid w:val="005E23B2"/>
    <w:rsid w:val="005E292E"/>
    <w:rsid w:val="005E4F29"/>
    <w:rsid w:val="005F0340"/>
    <w:rsid w:val="005F0800"/>
    <w:rsid w:val="005F25DC"/>
    <w:rsid w:val="005F347E"/>
    <w:rsid w:val="005F44D2"/>
    <w:rsid w:val="00601828"/>
    <w:rsid w:val="0060347E"/>
    <w:rsid w:val="006068D7"/>
    <w:rsid w:val="00611A8D"/>
    <w:rsid w:val="00616D7A"/>
    <w:rsid w:val="0062572F"/>
    <w:rsid w:val="00642334"/>
    <w:rsid w:val="00643835"/>
    <w:rsid w:val="006455A5"/>
    <w:rsid w:val="006460D5"/>
    <w:rsid w:val="0064674A"/>
    <w:rsid w:val="00674575"/>
    <w:rsid w:val="00681E2E"/>
    <w:rsid w:val="00686AE6"/>
    <w:rsid w:val="00690C6D"/>
    <w:rsid w:val="006A2468"/>
    <w:rsid w:val="006A43AB"/>
    <w:rsid w:val="006A6C23"/>
    <w:rsid w:val="006B16EB"/>
    <w:rsid w:val="006B2109"/>
    <w:rsid w:val="006B2581"/>
    <w:rsid w:val="006C0ED0"/>
    <w:rsid w:val="006C11C6"/>
    <w:rsid w:val="006C2E23"/>
    <w:rsid w:val="006C6224"/>
    <w:rsid w:val="006F269D"/>
    <w:rsid w:val="006F325C"/>
    <w:rsid w:val="007071A1"/>
    <w:rsid w:val="00717F57"/>
    <w:rsid w:val="007209D8"/>
    <w:rsid w:val="0072141E"/>
    <w:rsid w:val="00722AA4"/>
    <w:rsid w:val="00725909"/>
    <w:rsid w:val="007262A1"/>
    <w:rsid w:val="00736FD8"/>
    <w:rsid w:val="00743042"/>
    <w:rsid w:val="0074797C"/>
    <w:rsid w:val="00750775"/>
    <w:rsid w:val="0076053B"/>
    <w:rsid w:val="007629D3"/>
    <w:rsid w:val="007716BE"/>
    <w:rsid w:val="0077320C"/>
    <w:rsid w:val="00780013"/>
    <w:rsid w:val="007807E4"/>
    <w:rsid w:val="007954A9"/>
    <w:rsid w:val="0079614F"/>
    <w:rsid w:val="007A19DE"/>
    <w:rsid w:val="007A687E"/>
    <w:rsid w:val="007A6AD3"/>
    <w:rsid w:val="007B00F5"/>
    <w:rsid w:val="007B53A8"/>
    <w:rsid w:val="007C2FF6"/>
    <w:rsid w:val="007C6BA4"/>
    <w:rsid w:val="007D5170"/>
    <w:rsid w:val="007D7CAB"/>
    <w:rsid w:val="007E2AC7"/>
    <w:rsid w:val="007F77E5"/>
    <w:rsid w:val="00802AC3"/>
    <w:rsid w:val="00802C78"/>
    <w:rsid w:val="008044F4"/>
    <w:rsid w:val="008047DE"/>
    <w:rsid w:val="008068BE"/>
    <w:rsid w:val="00812CB6"/>
    <w:rsid w:val="008205F2"/>
    <w:rsid w:val="00823132"/>
    <w:rsid w:val="00824A69"/>
    <w:rsid w:val="00831BC7"/>
    <w:rsid w:val="00840529"/>
    <w:rsid w:val="00852C0F"/>
    <w:rsid w:val="008655C0"/>
    <w:rsid w:val="00867B54"/>
    <w:rsid w:val="00871704"/>
    <w:rsid w:val="00872CF8"/>
    <w:rsid w:val="00874D7B"/>
    <w:rsid w:val="008764EA"/>
    <w:rsid w:val="00877650"/>
    <w:rsid w:val="00880E81"/>
    <w:rsid w:val="00881416"/>
    <w:rsid w:val="008845FC"/>
    <w:rsid w:val="00885D42"/>
    <w:rsid w:val="00885D87"/>
    <w:rsid w:val="00896A17"/>
    <w:rsid w:val="00897CEB"/>
    <w:rsid w:val="008A0766"/>
    <w:rsid w:val="008A2492"/>
    <w:rsid w:val="008A3F8C"/>
    <w:rsid w:val="008A5504"/>
    <w:rsid w:val="008A6A66"/>
    <w:rsid w:val="008C1234"/>
    <w:rsid w:val="008D127B"/>
    <w:rsid w:val="008D1D24"/>
    <w:rsid w:val="008D57AF"/>
    <w:rsid w:val="008D6D11"/>
    <w:rsid w:val="008E404E"/>
    <w:rsid w:val="008E653C"/>
    <w:rsid w:val="008E7AC8"/>
    <w:rsid w:val="008F093B"/>
    <w:rsid w:val="008F0E92"/>
    <w:rsid w:val="008F23D9"/>
    <w:rsid w:val="008F7D4E"/>
    <w:rsid w:val="00900BA2"/>
    <w:rsid w:val="00902136"/>
    <w:rsid w:val="009045E8"/>
    <w:rsid w:val="00912169"/>
    <w:rsid w:val="00917343"/>
    <w:rsid w:val="0092037A"/>
    <w:rsid w:val="009224E8"/>
    <w:rsid w:val="00922664"/>
    <w:rsid w:val="009246AD"/>
    <w:rsid w:val="00926D8B"/>
    <w:rsid w:val="00931007"/>
    <w:rsid w:val="0093224E"/>
    <w:rsid w:val="009337E2"/>
    <w:rsid w:val="009346B4"/>
    <w:rsid w:val="00937B5E"/>
    <w:rsid w:val="00941CE9"/>
    <w:rsid w:val="009441A1"/>
    <w:rsid w:val="00944DFB"/>
    <w:rsid w:val="00946B26"/>
    <w:rsid w:val="00947B8F"/>
    <w:rsid w:val="009505A1"/>
    <w:rsid w:val="009508B5"/>
    <w:rsid w:val="00957682"/>
    <w:rsid w:val="00962106"/>
    <w:rsid w:val="009624EA"/>
    <w:rsid w:val="00971524"/>
    <w:rsid w:val="00972E74"/>
    <w:rsid w:val="00973E9C"/>
    <w:rsid w:val="00976C16"/>
    <w:rsid w:val="00984A88"/>
    <w:rsid w:val="009855C6"/>
    <w:rsid w:val="0098703B"/>
    <w:rsid w:val="009874AC"/>
    <w:rsid w:val="009876DF"/>
    <w:rsid w:val="00987AD7"/>
    <w:rsid w:val="009A400B"/>
    <w:rsid w:val="009A64E9"/>
    <w:rsid w:val="009B35A9"/>
    <w:rsid w:val="009B6C58"/>
    <w:rsid w:val="009C0AED"/>
    <w:rsid w:val="009C47EE"/>
    <w:rsid w:val="009C75CF"/>
    <w:rsid w:val="009D0113"/>
    <w:rsid w:val="009D65C0"/>
    <w:rsid w:val="009E14CC"/>
    <w:rsid w:val="009F2E7E"/>
    <w:rsid w:val="009F4F20"/>
    <w:rsid w:val="009F7F81"/>
    <w:rsid w:val="00A02D62"/>
    <w:rsid w:val="00A14684"/>
    <w:rsid w:val="00A2046C"/>
    <w:rsid w:val="00A20EB5"/>
    <w:rsid w:val="00A239FD"/>
    <w:rsid w:val="00A31376"/>
    <w:rsid w:val="00A3202A"/>
    <w:rsid w:val="00A356BD"/>
    <w:rsid w:val="00A36296"/>
    <w:rsid w:val="00A4108A"/>
    <w:rsid w:val="00A45BE7"/>
    <w:rsid w:val="00A46378"/>
    <w:rsid w:val="00A4692D"/>
    <w:rsid w:val="00A54820"/>
    <w:rsid w:val="00A55926"/>
    <w:rsid w:val="00A57BA3"/>
    <w:rsid w:val="00A66892"/>
    <w:rsid w:val="00A764EF"/>
    <w:rsid w:val="00A80D54"/>
    <w:rsid w:val="00A81225"/>
    <w:rsid w:val="00A85512"/>
    <w:rsid w:val="00A90275"/>
    <w:rsid w:val="00A942B0"/>
    <w:rsid w:val="00A949F9"/>
    <w:rsid w:val="00AA1CCE"/>
    <w:rsid w:val="00AA2858"/>
    <w:rsid w:val="00AA44C9"/>
    <w:rsid w:val="00AB2565"/>
    <w:rsid w:val="00AB34C5"/>
    <w:rsid w:val="00AB564B"/>
    <w:rsid w:val="00AB7FE1"/>
    <w:rsid w:val="00AC21BA"/>
    <w:rsid w:val="00AD28B6"/>
    <w:rsid w:val="00AD6954"/>
    <w:rsid w:val="00AE02D2"/>
    <w:rsid w:val="00AE0BB5"/>
    <w:rsid w:val="00AE60CD"/>
    <w:rsid w:val="00AE740B"/>
    <w:rsid w:val="00B02809"/>
    <w:rsid w:val="00B03394"/>
    <w:rsid w:val="00B138EE"/>
    <w:rsid w:val="00B205E5"/>
    <w:rsid w:val="00B206BD"/>
    <w:rsid w:val="00B21ADE"/>
    <w:rsid w:val="00B21CB9"/>
    <w:rsid w:val="00B23CFD"/>
    <w:rsid w:val="00B2492A"/>
    <w:rsid w:val="00B32484"/>
    <w:rsid w:val="00B344C4"/>
    <w:rsid w:val="00B51A7E"/>
    <w:rsid w:val="00B51BCC"/>
    <w:rsid w:val="00B57BF0"/>
    <w:rsid w:val="00B64E31"/>
    <w:rsid w:val="00B66839"/>
    <w:rsid w:val="00B67E2D"/>
    <w:rsid w:val="00B73527"/>
    <w:rsid w:val="00B7618D"/>
    <w:rsid w:val="00B80CF0"/>
    <w:rsid w:val="00B9003C"/>
    <w:rsid w:val="00B9015F"/>
    <w:rsid w:val="00B929D5"/>
    <w:rsid w:val="00B93BE3"/>
    <w:rsid w:val="00B94B57"/>
    <w:rsid w:val="00B9528F"/>
    <w:rsid w:val="00B96E2D"/>
    <w:rsid w:val="00B97835"/>
    <w:rsid w:val="00BA5593"/>
    <w:rsid w:val="00BA590C"/>
    <w:rsid w:val="00BB07EA"/>
    <w:rsid w:val="00BB15AA"/>
    <w:rsid w:val="00BB39AE"/>
    <w:rsid w:val="00BB4252"/>
    <w:rsid w:val="00BB5CB0"/>
    <w:rsid w:val="00BC1220"/>
    <w:rsid w:val="00BC26AE"/>
    <w:rsid w:val="00BC54F1"/>
    <w:rsid w:val="00BC55CF"/>
    <w:rsid w:val="00BD216A"/>
    <w:rsid w:val="00BD27CD"/>
    <w:rsid w:val="00BD2C44"/>
    <w:rsid w:val="00BD4F9D"/>
    <w:rsid w:val="00BD6EF4"/>
    <w:rsid w:val="00BE232B"/>
    <w:rsid w:val="00BE78F7"/>
    <w:rsid w:val="00BF1B00"/>
    <w:rsid w:val="00BF2388"/>
    <w:rsid w:val="00BF2575"/>
    <w:rsid w:val="00BF3096"/>
    <w:rsid w:val="00C07306"/>
    <w:rsid w:val="00C10EE0"/>
    <w:rsid w:val="00C12556"/>
    <w:rsid w:val="00C4640E"/>
    <w:rsid w:val="00C56BC9"/>
    <w:rsid w:val="00C60B0A"/>
    <w:rsid w:val="00C6552A"/>
    <w:rsid w:val="00C70F52"/>
    <w:rsid w:val="00C7650A"/>
    <w:rsid w:val="00C81C14"/>
    <w:rsid w:val="00C823A8"/>
    <w:rsid w:val="00C84814"/>
    <w:rsid w:val="00C93F4E"/>
    <w:rsid w:val="00C957DB"/>
    <w:rsid w:val="00C9759A"/>
    <w:rsid w:val="00CA19B4"/>
    <w:rsid w:val="00CB28F3"/>
    <w:rsid w:val="00CB7A61"/>
    <w:rsid w:val="00CC782C"/>
    <w:rsid w:val="00CD0ECA"/>
    <w:rsid w:val="00CE3BFE"/>
    <w:rsid w:val="00CF2409"/>
    <w:rsid w:val="00CF5729"/>
    <w:rsid w:val="00D020AB"/>
    <w:rsid w:val="00D02C50"/>
    <w:rsid w:val="00D119F0"/>
    <w:rsid w:val="00D1261D"/>
    <w:rsid w:val="00D140B8"/>
    <w:rsid w:val="00D14923"/>
    <w:rsid w:val="00D17B4C"/>
    <w:rsid w:val="00D17E7F"/>
    <w:rsid w:val="00D32E24"/>
    <w:rsid w:val="00D33053"/>
    <w:rsid w:val="00D33173"/>
    <w:rsid w:val="00D3553F"/>
    <w:rsid w:val="00D50BC7"/>
    <w:rsid w:val="00D77701"/>
    <w:rsid w:val="00D84928"/>
    <w:rsid w:val="00D9028F"/>
    <w:rsid w:val="00D92FB2"/>
    <w:rsid w:val="00D93C03"/>
    <w:rsid w:val="00D96B11"/>
    <w:rsid w:val="00DB34D9"/>
    <w:rsid w:val="00DC59BE"/>
    <w:rsid w:val="00DD0C88"/>
    <w:rsid w:val="00DD0CAB"/>
    <w:rsid w:val="00DD5576"/>
    <w:rsid w:val="00DD6DBB"/>
    <w:rsid w:val="00DF2067"/>
    <w:rsid w:val="00DF502B"/>
    <w:rsid w:val="00DF655D"/>
    <w:rsid w:val="00DF7296"/>
    <w:rsid w:val="00E02587"/>
    <w:rsid w:val="00E04A5E"/>
    <w:rsid w:val="00E074F2"/>
    <w:rsid w:val="00E077D0"/>
    <w:rsid w:val="00E16B89"/>
    <w:rsid w:val="00E20789"/>
    <w:rsid w:val="00E21087"/>
    <w:rsid w:val="00E23FCF"/>
    <w:rsid w:val="00E36140"/>
    <w:rsid w:val="00E44702"/>
    <w:rsid w:val="00E45AB6"/>
    <w:rsid w:val="00E52AC2"/>
    <w:rsid w:val="00E579C2"/>
    <w:rsid w:val="00E6358D"/>
    <w:rsid w:val="00E6611D"/>
    <w:rsid w:val="00E71138"/>
    <w:rsid w:val="00E72696"/>
    <w:rsid w:val="00E777E6"/>
    <w:rsid w:val="00E8734A"/>
    <w:rsid w:val="00E90496"/>
    <w:rsid w:val="00E91482"/>
    <w:rsid w:val="00E96302"/>
    <w:rsid w:val="00EA41BA"/>
    <w:rsid w:val="00EB33AE"/>
    <w:rsid w:val="00EB34AD"/>
    <w:rsid w:val="00EC044C"/>
    <w:rsid w:val="00ED0860"/>
    <w:rsid w:val="00ED13DD"/>
    <w:rsid w:val="00ED5355"/>
    <w:rsid w:val="00F0183D"/>
    <w:rsid w:val="00F02A11"/>
    <w:rsid w:val="00F134F5"/>
    <w:rsid w:val="00F21DB6"/>
    <w:rsid w:val="00F23764"/>
    <w:rsid w:val="00F25F89"/>
    <w:rsid w:val="00F32D21"/>
    <w:rsid w:val="00F3441A"/>
    <w:rsid w:val="00F34490"/>
    <w:rsid w:val="00F46DDF"/>
    <w:rsid w:val="00F47B85"/>
    <w:rsid w:val="00F5645C"/>
    <w:rsid w:val="00F60B60"/>
    <w:rsid w:val="00F611E4"/>
    <w:rsid w:val="00F613B3"/>
    <w:rsid w:val="00F61E91"/>
    <w:rsid w:val="00F623FA"/>
    <w:rsid w:val="00F6365D"/>
    <w:rsid w:val="00F778FE"/>
    <w:rsid w:val="00F8262A"/>
    <w:rsid w:val="00F86542"/>
    <w:rsid w:val="00F9432E"/>
    <w:rsid w:val="00FA0EA0"/>
    <w:rsid w:val="00FA370B"/>
    <w:rsid w:val="00FA566A"/>
    <w:rsid w:val="00FA77D7"/>
    <w:rsid w:val="00FB0439"/>
    <w:rsid w:val="00FB6907"/>
    <w:rsid w:val="00FC4086"/>
    <w:rsid w:val="00FC6E35"/>
    <w:rsid w:val="00FC77B3"/>
    <w:rsid w:val="00FD7E65"/>
    <w:rsid w:val="00FE1632"/>
    <w:rsid w:val="00FE2F51"/>
    <w:rsid w:val="00FE395B"/>
    <w:rsid w:val="00FE4B1A"/>
    <w:rsid w:val="00FE6219"/>
    <w:rsid w:val="00FE6D11"/>
    <w:rsid w:val="00FF0703"/>
    <w:rsid w:val="00FF55C5"/>
    <w:rsid w:val="00FF6DE6"/>
    <w:rsid w:val="17FD7600"/>
    <w:rsid w:val="4FEF6139"/>
    <w:rsid w:val="617E1730"/>
    <w:rsid w:val="67FF6557"/>
    <w:rsid w:val="7A765E46"/>
    <w:rsid w:val="7CF9951E"/>
    <w:rsid w:val="7E2A704B"/>
    <w:rsid w:val="BBFF2942"/>
    <w:rsid w:val="CDDF1487"/>
    <w:rsid w:val="EFC6F5BE"/>
    <w:rsid w:val="F3EE33E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ja-JP"/>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New York" w:hAnsi="New York" w:eastAsiaTheme="minorEastAsia"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nhideWhenUsed="0" w:uiPriority="0" w:name="footnote text"/>
    <w:lsdException w:qFormat="1" w:uiPriority="0" w:name="annotation text"/>
    <w:lsdException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nhideWhenUsed="0" w:uiPriority="0" w:semiHidden="0" w:name="List 5"/>
    <w:lsdException w:uiPriority="0" w:name="List Bullet 2"/>
    <w:lsdException w:uiPriority="0" w:name="List Bullet 3"/>
    <w:lsdException w:unhideWhenUsed="0" w:uiPriority="0" w:semiHidden="0" w:name="List Bullet 4"/>
    <w:lsdException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iPriority="0" w:name="Body Text Indent 2"/>
    <w:lsdException w:uiPriority="0" w:name="Body Text Indent 3"/>
    <w:lsdException w:uiPriority="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jc w:val="both"/>
    </w:pPr>
    <w:rPr>
      <w:rFonts w:ascii="Times" w:hAnsi="Times" w:cs="Times New Roman" w:eastAsiaTheme="minorEastAsia"/>
      <w:sz w:val="24"/>
      <w:lang w:val="en-US" w:eastAsia="en-US" w:bidi="ar-SA"/>
    </w:rPr>
  </w:style>
  <w:style w:type="paragraph" w:styleId="2">
    <w:name w:val="heading 1"/>
    <w:basedOn w:val="1"/>
    <w:next w:val="1"/>
    <w:link w:val="48"/>
    <w:qFormat/>
    <w:uiPriority w:val="0"/>
    <w:pPr>
      <w:keepNext/>
      <w:outlineLvl w:val="0"/>
    </w:pPr>
    <w:rPr>
      <w:rFonts w:asciiTheme="majorHAnsi" w:hAnsiTheme="majorHAnsi" w:eastAsiaTheme="majorEastAsia" w:cstheme="majorBidi"/>
      <w:sz w:val="28"/>
      <w:szCs w:val="28"/>
    </w:rPr>
  </w:style>
  <w:style w:type="paragraph" w:styleId="3">
    <w:name w:val="heading 2"/>
    <w:basedOn w:val="1"/>
    <w:next w:val="1"/>
    <w:link w:val="47"/>
    <w:unhideWhenUsed/>
    <w:qFormat/>
    <w:uiPriority w:val="0"/>
    <w:pPr>
      <w:keepNext/>
      <w:outlineLvl w:val="1"/>
    </w:pPr>
    <w:rPr>
      <w:rFonts w:asciiTheme="majorHAnsi" w:hAnsiTheme="majorHAnsi" w:eastAsiaTheme="majorEastAsia" w:cstheme="majorBidi"/>
    </w:rPr>
  </w:style>
  <w:style w:type="character" w:default="1" w:styleId="12">
    <w:name w:val="Default Paragraph Font"/>
    <w:unhideWhenUsed/>
    <w:uiPriority w:val="1"/>
  </w:style>
  <w:style w:type="table" w:default="1" w:styleId="17">
    <w:name w:val="Normal Table"/>
    <w:unhideWhenUsed/>
    <w:uiPriority w:val="99"/>
    <w:tblPr>
      <w:tblLayout w:type="fixed"/>
      <w:tblCellMar>
        <w:top w:w="0" w:type="dxa"/>
        <w:left w:w="108" w:type="dxa"/>
        <w:bottom w:w="0" w:type="dxa"/>
        <w:right w:w="108" w:type="dxa"/>
      </w:tblCellMar>
    </w:tblPr>
  </w:style>
  <w:style w:type="paragraph" w:styleId="4">
    <w:name w:val="Body Text"/>
    <w:basedOn w:val="1"/>
    <w:uiPriority w:val="0"/>
    <w:pPr>
      <w:jc w:val="center"/>
    </w:pPr>
    <w:rPr>
      <w:b/>
      <w:sz w:val="40"/>
    </w:rPr>
  </w:style>
  <w:style w:type="paragraph" w:styleId="5">
    <w:name w:val="footer"/>
    <w:basedOn w:val="1"/>
    <w:uiPriority w:val="0"/>
    <w:pPr>
      <w:tabs>
        <w:tab w:val="center" w:pos="4320"/>
        <w:tab w:val="right" w:pos="8640"/>
      </w:tabs>
    </w:pPr>
  </w:style>
  <w:style w:type="paragraph" w:styleId="6">
    <w:name w:val="annotation text"/>
    <w:basedOn w:val="1"/>
    <w:link w:val="50"/>
    <w:unhideWhenUsed/>
    <w:qFormat/>
    <w:uiPriority w:val="0"/>
    <w:rPr>
      <w:sz w:val="20"/>
    </w:rPr>
  </w:style>
  <w:style w:type="paragraph" w:styleId="7">
    <w:name w:val="footnote text"/>
    <w:basedOn w:val="1"/>
    <w:next w:val="8"/>
    <w:semiHidden/>
    <w:uiPriority w:val="0"/>
  </w:style>
  <w:style w:type="paragraph" w:customStyle="1" w:styleId="8">
    <w:name w:val="TF_References_Section"/>
    <w:basedOn w:val="1"/>
    <w:uiPriority w:val="0"/>
    <w:pPr>
      <w:spacing w:line="480" w:lineRule="auto"/>
      <w:ind w:firstLine="187"/>
    </w:pPr>
  </w:style>
  <w:style w:type="paragraph" w:styleId="9">
    <w:name w:val="annotation subject"/>
    <w:basedOn w:val="6"/>
    <w:next w:val="6"/>
    <w:link w:val="51"/>
    <w:unhideWhenUsed/>
    <w:uiPriority w:val="0"/>
    <w:rPr>
      <w:b/>
      <w:bCs/>
    </w:rPr>
  </w:style>
  <w:style w:type="paragraph" w:styleId="10">
    <w:name w:val="Balloon Text"/>
    <w:basedOn w:val="1"/>
    <w:semiHidden/>
    <w:uiPriority w:val="0"/>
    <w:rPr>
      <w:rFonts w:ascii="Tahoma" w:hAnsi="Tahoma" w:cs="Tahoma"/>
      <w:sz w:val="16"/>
      <w:szCs w:val="16"/>
    </w:rPr>
  </w:style>
  <w:style w:type="paragraph" w:styleId="11">
    <w:name w:val="header"/>
    <w:basedOn w:val="1"/>
    <w:link w:val="52"/>
    <w:unhideWhenUsed/>
    <w:uiPriority w:val="0"/>
    <w:pPr>
      <w:tabs>
        <w:tab w:val="center" w:pos="4513"/>
        <w:tab w:val="right" w:pos="9026"/>
      </w:tabs>
      <w:spacing w:after="0"/>
    </w:pPr>
  </w:style>
  <w:style w:type="character" w:styleId="13">
    <w:name w:val="page number"/>
    <w:basedOn w:val="12"/>
    <w:uiPriority w:val="0"/>
  </w:style>
  <w:style w:type="character" w:styleId="14">
    <w:name w:val="Hyperlink"/>
    <w:uiPriority w:val="0"/>
    <w:rPr>
      <w:color w:val="0000FF"/>
      <w:u w:val="single"/>
    </w:rPr>
  </w:style>
  <w:style w:type="character" w:styleId="15">
    <w:name w:val="annotation reference"/>
    <w:basedOn w:val="12"/>
    <w:unhideWhenUsed/>
    <w:qFormat/>
    <w:uiPriority w:val="0"/>
    <w:rPr>
      <w:sz w:val="16"/>
      <w:szCs w:val="16"/>
    </w:rPr>
  </w:style>
  <w:style w:type="character" w:styleId="16">
    <w:name w:val="FollowedHyperlink"/>
    <w:uiPriority w:val="0"/>
    <w:rPr>
      <w:color w:val="800080"/>
      <w:u w:val="single"/>
    </w:rPr>
  </w:style>
  <w:style w:type="paragraph" w:customStyle="1" w:styleId="18">
    <w:name w:val="TA_Main_Text"/>
    <w:basedOn w:val="1"/>
    <w:uiPriority w:val="0"/>
    <w:pPr>
      <w:spacing w:after="0" w:line="480" w:lineRule="auto"/>
      <w:ind w:firstLine="202"/>
    </w:pPr>
  </w:style>
  <w:style w:type="paragraph" w:customStyle="1" w:styleId="19">
    <w:name w:val="BA_Title"/>
    <w:basedOn w:val="1"/>
    <w:next w:val="20"/>
    <w:uiPriority w:val="0"/>
    <w:pPr>
      <w:spacing w:before="720" w:after="360" w:line="480" w:lineRule="auto"/>
      <w:jc w:val="center"/>
    </w:pPr>
    <w:rPr>
      <w:rFonts w:ascii="Times New Roman" w:hAnsi="Times New Roman"/>
      <w:sz w:val="44"/>
    </w:rPr>
  </w:style>
  <w:style w:type="paragraph" w:customStyle="1" w:styleId="20">
    <w:name w:val="BB_Author_Name"/>
    <w:basedOn w:val="1"/>
    <w:next w:val="21"/>
    <w:uiPriority w:val="0"/>
    <w:pPr>
      <w:spacing w:after="240" w:line="480" w:lineRule="auto"/>
      <w:jc w:val="center"/>
    </w:pPr>
    <w:rPr>
      <w:i/>
    </w:rPr>
  </w:style>
  <w:style w:type="paragraph" w:customStyle="1" w:styleId="21">
    <w:name w:val="BC_Author_Address"/>
    <w:basedOn w:val="1"/>
    <w:next w:val="22"/>
    <w:uiPriority w:val="0"/>
    <w:pPr>
      <w:spacing w:after="240" w:line="480" w:lineRule="auto"/>
      <w:jc w:val="center"/>
    </w:pPr>
  </w:style>
  <w:style w:type="paragraph" w:customStyle="1" w:styleId="22">
    <w:name w:val="BI_Email_Address"/>
    <w:basedOn w:val="1"/>
    <w:next w:val="23"/>
    <w:uiPriority w:val="0"/>
    <w:pPr>
      <w:spacing w:line="480" w:lineRule="auto"/>
    </w:pPr>
  </w:style>
  <w:style w:type="paragraph" w:customStyle="1" w:styleId="23">
    <w:name w:val="AI_Received_Date"/>
    <w:basedOn w:val="1"/>
    <w:next w:val="24"/>
    <w:uiPriority w:val="0"/>
    <w:pPr>
      <w:spacing w:after="240" w:line="480" w:lineRule="auto"/>
    </w:pPr>
    <w:rPr>
      <w:b/>
    </w:rPr>
  </w:style>
  <w:style w:type="paragraph" w:customStyle="1" w:styleId="24">
    <w:name w:val="BD_Abstract"/>
    <w:basedOn w:val="1"/>
    <w:next w:val="18"/>
    <w:uiPriority w:val="0"/>
    <w:pPr>
      <w:spacing w:before="360" w:after="360" w:line="480" w:lineRule="auto"/>
    </w:pPr>
  </w:style>
  <w:style w:type="paragraph" w:customStyle="1" w:styleId="25">
    <w:name w:val="TD_Acknowledgments"/>
    <w:basedOn w:val="1"/>
    <w:next w:val="1"/>
    <w:uiPriority w:val="0"/>
    <w:pPr>
      <w:spacing w:before="200" w:line="480" w:lineRule="auto"/>
      <w:ind w:firstLine="202"/>
    </w:pPr>
  </w:style>
  <w:style w:type="paragraph" w:customStyle="1" w:styleId="26">
    <w:name w:val="TE_Supporting_Information"/>
    <w:basedOn w:val="1"/>
    <w:next w:val="1"/>
    <w:uiPriority w:val="0"/>
    <w:pPr>
      <w:spacing w:line="480" w:lineRule="auto"/>
      <w:ind w:firstLine="187"/>
    </w:pPr>
  </w:style>
  <w:style w:type="paragraph" w:customStyle="1" w:styleId="27">
    <w:name w:val="VC_Scheme_Title"/>
    <w:basedOn w:val="1"/>
    <w:next w:val="1"/>
    <w:uiPriority w:val="0"/>
    <w:pPr>
      <w:spacing w:line="480" w:lineRule="auto"/>
    </w:pPr>
  </w:style>
  <w:style w:type="paragraph" w:customStyle="1" w:styleId="28">
    <w:name w:val="VD_Table_Title"/>
    <w:basedOn w:val="1"/>
    <w:next w:val="1"/>
    <w:uiPriority w:val="0"/>
    <w:pPr>
      <w:spacing w:line="480" w:lineRule="auto"/>
    </w:pPr>
  </w:style>
  <w:style w:type="paragraph" w:customStyle="1" w:styleId="29">
    <w:name w:val="VA_Figure_Caption"/>
    <w:basedOn w:val="1"/>
    <w:next w:val="1"/>
    <w:uiPriority w:val="0"/>
    <w:pPr>
      <w:spacing w:line="480" w:lineRule="auto"/>
    </w:pPr>
  </w:style>
  <w:style w:type="paragraph" w:customStyle="1" w:styleId="30">
    <w:name w:val="VB_Chart_Title"/>
    <w:basedOn w:val="1"/>
    <w:next w:val="1"/>
    <w:uiPriority w:val="0"/>
    <w:pPr>
      <w:spacing w:line="480" w:lineRule="auto"/>
    </w:pPr>
  </w:style>
  <w:style w:type="paragraph" w:customStyle="1" w:styleId="31">
    <w:name w:val="FE_Table_Footnote"/>
    <w:basedOn w:val="1"/>
    <w:next w:val="1"/>
    <w:uiPriority w:val="0"/>
    <w:pPr>
      <w:ind w:firstLine="187"/>
    </w:pPr>
  </w:style>
  <w:style w:type="paragraph" w:customStyle="1" w:styleId="32">
    <w:name w:val="FC_Chart_Footnote"/>
    <w:basedOn w:val="1"/>
    <w:next w:val="1"/>
    <w:uiPriority w:val="0"/>
    <w:pPr>
      <w:ind w:firstLine="187"/>
    </w:pPr>
  </w:style>
  <w:style w:type="paragraph" w:customStyle="1" w:styleId="33">
    <w:name w:val="FD_Scheme_Footnote"/>
    <w:basedOn w:val="1"/>
    <w:next w:val="1"/>
    <w:uiPriority w:val="0"/>
    <w:pPr>
      <w:ind w:firstLine="187"/>
    </w:pPr>
  </w:style>
  <w:style w:type="paragraph" w:customStyle="1" w:styleId="34">
    <w:name w:val="TC_Table_Body"/>
    <w:basedOn w:val="1"/>
    <w:uiPriority w:val="0"/>
  </w:style>
  <w:style w:type="paragraph" w:customStyle="1" w:styleId="35">
    <w:name w:val="AF_Title_Running_Head"/>
    <w:basedOn w:val="1"/>
    <w:next w:val="18"/>
    <w:uiPriority w:val="0"/>
    <w:pPr>
      <w:spacing w:line="480" w:lineRule="auto"/>
    </w:pPr>
  </w:style>
  <w:style w:type="paragraph" w:customStyle="1" w:styleId="36">
    <w:name w:val="BE_Author_Biography"/>
    <w:basedOn w:val="1"/>
    <w:uiPriority w:val="0"/>
    <w:pPr>
      <w:spacing w:line="480" w:lineRule="auto"/>
    </w:pPr>
  </w:style>
  <w:style w:type="paragraph" w:customStyle="1" w:styleId="37">
    <w:name w:val="FA_Corresponding_Author_Footnote"/>
    <w:basedOn w:val="1"/>
    <w:next w:val="18"/>
    <w:uiPriority w:val="0"/>
    <w:pPr>
      <w:spacing w:line="480" w:lineRule="auto"/>
    </w:pPr>
  </w:style>
  <w:style w:type="paragraph" w:customStyle="1" w:styleId="38">
    <w:name w:val="SN_Synopsis_TOC"/>
    <w:basedOn w:val="1"/>
    <w:uiPriority w:val="0"/>
    <w:pPr>
      <w:spacing w:line="480" w:lineRule="auto"/>
    </w:pPr>
  </w:style>
  <w:style w:type="paragraph" w:customStyle="1" w:styleId="39">
    <w:name w:val="BG_Keywords"/>
    <w:basedOn w:val="1"/>
    <w:uiPriority w:val="0"/>
    <w:pPr>
      <w:spacing w:line="480" w:lineRule="auto"/>
    </w:pPr>
  </w:style>
  <w:style w:type="paragraph" w:customStyle="1" w:styleId="40">
    <w:name w:val="BH_Briefs"/>
    <w:basedOn w:val="1"/>
    <w:uiPriority w:val="0"/>
    <w:pPr>
      <w:spacing w:line="480" w:lineRule="auto"/>
    </w:pPr>
  </w:style>
  <w:style w:type="paragraph" w:customStyle="1" w:styleId="41">
    <w:name w:val="Style FA_Corresponding_Author_Footnote + 7 pt"/>
    <w:basedOn w:val="1"/>
    <w:next w:val="39"/>
    <w:link w:val="42"/>
    <w:qFormat/>
    <w:uiPriority w:val="0"/>
    <w:pPr>
      <w:spacing w:after="0"/>
      <w:jc w:val="left"/>
    </w:pPr>
    <w:rPr>
      <w:rFonts w:ascii="Arno Pro" w:hAnsi="Arno Pro"/>
      <w:kern w:val="20"/>
      <w:sz w:val="18"/>
    </w:rPr>
  </w:style>
  <w:style w:type="character" w:customStyle="1" w:styleId="42">
    <w:name w:val="Style FA_Corresponding_Author_Footnote + 7 pt Char"/>
    <w:link w:val="41"/>
    <w:qFormat/>
    <w:uiPriority w:val="0"/>
    <w:rPr>
      <w:rFonts w:ascii="Arno Pro" w:hAnsi="Arno Pro"/>
      <w:kern w:val="20"/>
      <w:sz w:val="18"/>
    </w:rPr>
  </w:style>
  <w:style w:type="paragraph" w:customStyle="1" w:styleId="43">
    <w:name w:val="FA_Author_Info_Subtitle"/>
    <w:basedOn w:val="1"/>
    <w:link w:val="44"/>
    <w:qFormat/>
    <w:uiPriority w:val="0"/>
    <w:pPr>
      <w:spacing w:before="120" w:after="60" w:line="480" w:lineRule="auto"/>
      <w:jc w:val="left"/>
    </w:pPr>
    <w:rPr>
      <w:b/>
    </w:rPr>
  </w:style>
  <w:style w:type="character" w:customStyle="1" w:styleId="44">
    <w:name w:val="FA_Author_Info_Subtitle Char"/>
    <w:link w:val="43"/>
    <w:qFormat/>
    <w:uiPriority w:val="0"/>
    <w:rPr>
      <w:rFonts w:ascii="Times" w:hAnsi="Times"/>
      <w:b/>
      <w:sz w:val="24"/>
    </w:rPr>
  </w:style>
  <w:style w:type="paragraph" w:customStyle="1" w:styleId="45">
    <w:name w:val="Default"/>
    <w:qFormat/>
    <w:uiPriority w:val="0"/>
    <w:pPr>
      <w:autoSpaceDE w:val="0"/>
      <w:autoSpaceDN w:val="0"/>
      <w:adjustRightInd w:val="0"/>
    </w:pPr>
    <w:rPr>
      <w:rFonts w:ascii="Symbol" w:hAnsi="Symbol" w:cs="Symbol" w:eastAsiaTheme="minorEastAsia"/>
      <w:color w:val="000000"/>
      <w:sz w:val="24"/>
      <w:szCs w:val="24"/>
      <w:lang w:val="en-US" w:eastAsia="en-US" w:bidi="ar-SA"/>
    </w:rPr>
  </w:style>
  <w:style w:type="character" w:customStyle="1" w:styleId="46">
    <w:name w:val="Placeholder Text"/>
    <w:basedOn w:val="12"/>
    <w:semiHidden/>
    <w:qFormat/>
    <w:uiPriority w:val="99"/>
    <w:rPr>
      <w:color w:val="808080"/>
    </w:rPr>
  </w:style>
  <w:style w:type="character" w:customStyle="1" w:styleId="47">
    <w:name w:val="見出し 2 (文字)"/>
    <w:basedOn w:val="12"/>
    <w:link w:val="3"/>
    <w:semiHidden/>
    <w:uiPriority w:val="0"/>
    <w:rPr>
      <w:rFonts w:asciiTheme="majorHAnsi" w:hAnsiTheme="majorHAnsi" w:eastAsiaTheme="majorEastAsia" w:cstheme="majorBidi"/>
      <w:sz w:val="24"/>
    </w:rPr>
  </w:style>
  <w:style w:type="character" w:customStyle="1" w:styleId="48">
    <w:name w:val="見出し 1 (文字)"/>
    <w:basedOn w:val="12"/>
    <w:link w:val="2"/>
    <w:uiPriority w:val="0"/>
    <w:rPr>
      <w:rFonts w:asciiTheme="majorHAnsi" w:hAnsiTheme="majorHAnsi" w:eastAsiaTheme="majorEastAsia" w:cstheme="majorBidi"/>
      <w:sz w:val="28"/>
      <w:szCs w:val="28"/>
    </w:rPr>
  </w:style>
  <w:style w:type="paragraph" w:customStyle="1" w:styleId="49">
    <w:name w:val="List Paragraph"/>
    <w:basedOn w:val="1"/>
    <w:qFormat/>
    <w:uiPriority w:val="34"/>
    <w:pPr>
      <w:ind w:left="960" w:leftChars="400"/>
    </w:pPr>
  </w:style>
  <w:style w:type="character" w:customStyle="1" w:styleId="50">
    <w:name w:val="コメント文字列 (文字)"/>
    <w:basedOn w:val="12"/>
    <w:link w:val="6"/>
    <w:semiHidden/>
    <w:qFormat/>
    <w:uiPriority w:val="0"/>
    <w:rPr>
      <w:rFonts w:ascii="Times" w:hAnsi="Times"/>
    </w:rPr>
  </w:style>
  <w:style w:type="character" w:customStyle="1" w:styleId="51">
    <w:name w:val="コメント内容 (文字)"/>
    <w:basedOn w:val="50"/>
    <w:link w:val="9"/>
    <w:semiHidden/>
    <w:uiPriority w:val="0"/>
    <w:rPr>
      <w:rFonts w:ascii="Times" w:hAnsi="Times"/>
      <w:b/>
      <w:bCs/>
    </w:rPr>
  </w:style>
  <w:style w:type="character" w:customStyle="1" w:styleId="52">
    <w:name w:val="ヘッダー (文字)"/>
    <w:basedOn w:val="12"/>
    <w:link w:val="11"/>
    <w:uiPriority w:val="0"/>
    <w:rPr>
      <w:rFonts w:ascii="Times" w:hAnsi="Times"/>
      <w:sz w:val="24"/>
    </w:rPr>
  </w:style>
  <w:style w:type="paragraph" w:customStyle="1" w:styleId="53">
    <w:name w:val="Revision"/>
    <w:hidden/>
    <w:semiHidden/>
    <w:uiPriority w:val="99"/>
    <w:rPr>
      <w:rFonts w:ascii="Times" w:hAnsi="Times" w:cs="Times New Roman" w:eastAsiaTheme="minorEastAsia"/>
      <w:sz w:val="24"/>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ACS</Company>
  <Pages>6</Pages>
  <Words>2563</Words>
  <Characters>14612</Characters>
  <Lines>121</Lines>
  <Paragraphs>34</Paragraphs>
  <TotalTime>0</TotalTime>
  <ScaleCrop>false</ScaleCrop>
  <LinksUpToDate>false</LinksUpToDate>
  <CharactersWithSpaces>17141</CharactersWithSpaces>
  <Application>WPS Office_1.1.0.1615_F1E327BC-269C-435d-A152-05C5408002CA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2020-08-27T01:28:00Z</dcterms:created>
  <dc:creator>荒木 潤</dc:creator>
  <cp:lastModifiedBy>jaraki</cp:lastModifiedBy>
  <cp:lastPrinted>2020-08-22T21:20:00Z</cp:lastPrinted>
  <dcterms:modified xsi:type="dcterms:W3CDTF">2021-02-11T00:16:59Z</dcterms:modified>
  <dc:title>Template for Electronic Submission to ACS Journals</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niqueFileID">
    <vt:lpwstr>Ktol6pAt0AHd</vt:lpwstr>
  </property>
  <property fmtid="{D5CDD505-2E9C-101B-9397-08002B2CF9AE}" pid="3" name="KSOProductBuildVer">
    <vt:lpwstr>1041-1.1.0.1615</vt:lpwstr>
  </property>
</Properties>
</file>