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9411C" w14:textId="0BE88998" w:rsidR="007166A7" w:rsidRPr="003912A4" w:rsidRDefault="00441457">
      <w:pPr>
        <w:tabs>
          <w:tab w:val="left" w:pos="4820"/>
        </w:tabs>
        <w:autoSpaceDE w:val="0"/>
        <w:rPr>
          <w:b/>
          <w:bCs/>
          <w:lang w:val="en-GB"/>
        </w:rPr>
      </w:pPr>
      <w:bookmarkStart w:id="0" w:name="_Hlk119476183"/>
      <w:r w:rsidRPr="003912A4">
        <w:rPr>
          <w:rFonts w:ascii="Times New Roman" w:hAnsi="Times New Roman"/>
          <w:b/>
          <w:bCs/>
          <w:lang w:val="en-GB"/>
        </w:rPr>
        <w:t xml:space="preserve">Additional </w:t>
      </w:r>
      <w:r w:rsidR="000B2194" w:rsidRPr="003912A4">
        <w:rPr>
          <w:rFonts w:ascii="Times New Roman" w:hAnsi="Times New Roman"/>
          <w:b/>
          <w:bCs/>
          <w:lang w:val="en-GB"/>
        </w:rPr>
        <w:t>F</w:t>
      </w:r>
      <w:r w:rsidRPr="003912A4">
        <w:rPr>
          <w:rFonts w:ascii="Times New Roman" w:hAnsi="Times New Roman"/>
          <w:b/>
          <w:bCs/>
          <w:lang w:val="en-GB"/>
        </w:rPr>
        <w:t xml:space="preserve">ile 3. Immunohistochemistry and </w:t>
      </w:r>
      <w:r w:rsidR="00787CC6" w:rsidRPr="003912A4">
        <w:rPr>
          <w:rFonts w:ascii="Times New Roman" w:hAnsi="Times New Roman"/>
          <w:b/>
          <w:bCs/>
          <w:lang w:val="en-GB"/>
        </w:rPr>
        <w:t>i</w:t>
      </w:r>
      <w:r w:rsidRPr="003912A4">
        <w:rPr>
          <w:rFonts w:ascii="Times New Roman" w:hAnsi="Times New Roman"/>
          <w:b/>
          <w:bCs/>
          <w:lang w:val="en-GB"/>
        </w:rPr>
        <w:t xml:space="preserve">mmunohistochemical scoring </w:t>
      </w:r>
      <w:r w:rsidR="00E35E86" w:rsidRPr="003912A4">
        <w:rPr>
          <w:rFonts w:ascii="Times New Roman" w:hAnsi="Times New Roman"/>
          <w:b/>
          <w:bCs/>
          <w:lang w:val="en-GB"/>
        </w:rPr>
        <w:t xml:space="preserve">of </w:t>
      </w:r>
      <w:r w:rsidRPr="003912A4">
        <w:rPr>
          <w:rFonts w:ascii="Times New Roman" w:hAnsi="Times New Roman"/>
          <w:b/>
          <w:bCs/>
          <w:lang w:val="en-GB"/>
        </w:rPr>
        <w:t xml:space="preserve">resections, biopsies, and </w:t>
      </w:r>
      <w:r w:rsidR="00D73ED7" w:rsidRPr="003912A4">
        <w:rPr>
          <w:rFonts w:ascii="Times New Roman" w:hAnsi="Times New Roman"/>
          <w:b/>
          <w:bCs/>
          <w:lang w:val="en-GB"/>
        </w:rPr>
        <w:t>lymph node (</w:t>
      </w:r>
      <w:r w:rsidRPr="003912A4">
        <w:rPr>
          <w:rFonts w:ascii="Times New Roman" w:hAnsi="Times New Roman"/>
          <w:b/>
          <w:bCs/>
          <w:lang w:val="en-GB"/>
        </w:rPr>
        <w:t>LN</w:t>
      </w:r>
      <w:r w:rsidR="00D73ED7" w:rsidRPr="003912A4">
        <w:rPr>
          <w:rFonts w:ascii="Times New Roman" w:hAnsi="Times New Roman"/>
          <w:b/>
          <w:bCs/>
          <w:lang w:val="en-GB"/>
        </w:rPr>
        <w:t>)</w:t>
      </w:r>
      <w:r w:rsidRPr="003912A4">
        <w:rPr>
          <w:rFonts w:ascii="Times New Roman" w:hAnsi="Times New Roman"/>
          <w:b/>
          <w:bCs/>
          <w:lang w:val="en-GB"/>
        </w:rPr>
        <w:t xml:space="preserve"> dissections</w:t>
      </w:r>
      <w:bookmarkEnd w:id="0"/>
    </w:p>
    <w:p w14:paraId="2553B7EC" w14:textId="17D79FE8" w:rsidR="007166A7" w:rsidRPr="003912A4" w:rsidRDefault="00441457" w:rsidP="006446F4">
      <w:pPr>
        <w:tabs>
          <w:tab w:val="left" w:pos="4820"/>
        </w:tabs>
        <w:autoSpaceDE w:val="0"/>
        <w:rPr>
          <w:lang w:val="en-GB"/>
        </w:rPr>
      </w:pPr>
      <w:r w:rsidRPr="003912A4">
        <w:rPr>
          <w:rFonts w:ascii="Times New Roman" w:hAnsi="Times New Roman"/>
          <w:lang w:val="en-GB"/>
        </w:rPr>
        <w:t xml:space="preserve">Immunohistochemical analysis was performed </w:t>
      </w:r>
      <w:r w:rsidRPr="003912A4">
        <w:rPr>
          <w:rFonts w:ascii="Times New Roman" w:eastAsia="BIZ UDPゴシック" w:hAnsi="Times New Roman"/>
          <w:lang w:val="en-GB"/>
        </w:rPr>
        <w:t xml:space="preserve">using the </w:t>
      </w:r>
      <w:r w:rsidRPr="003912A4">
        <w:rPr>
          <w:rFonts w:ascii="Times New Roman" w:hAnsi="Times New Roman"/>
          <w:lang w:val="en-GB"/>
        </w:rPr>
        <w:t xml:space="preserve">BOND III fully automated stainer </w:t>
      </w:r>
      <w:r w:rsidRPr="003912A4">
        <w:rPr>
          <w:rFonts w:ascii="Times New Roman" w:eastAsia="BIZ UDPゴシック" w:hAnsi="Times New Roman"/>
          <w:lang w:val="en-GB"/>
        </w:rPr>
        <w:t xml:space="preserve">(Leica Biosystems, Melbourne, Australia), </w:t>
      </w:r>
      <w:r w:rsidRPr="003912A4">
        <w:rPr>
          <w:rFonts w:ascii="Times New Roman" w:hAnsi="Times New Roman"/>
          <w:lang w:val="en-GB"/>
        </w:rPr>
        <w:t xml:space="preserve">following </w:t>
      </w:r>
      <w:r w:rsidRPr="003912A4">
        <w:rPr>
          <w:rFonts w:ascii="Times New Roman" w:eastAsia="BIZ UDPゴシック" w:hAnsi="Times New Roman"/>
          <w:lang w:val="en-GB"/>
        </w:rPr>
        <w:t xml:space="preserve">the </w:t>
      </w:r>
      <w:r w:rsidRPr="003912A4">
        <w:rPr>
          <w:rFonts w:ascii="Times New Roman" w:hAnsi="Times New Roman"/>
          <w:lang w:val="en-GB"/>
        </w:rPr>
        <w:t>manufacturer’s protocols. The slides were</w:t>
      </w:r>
      <w:r w:rsidRPr="003912A4">
        <w:rPr>
          <w:rFonts w:ascii="Times New Roman" w:eastAsia="BIZ UDPゴシック" w:hAnsi="Times New Roman"/>
          <w:lang w:val="en-GB"/>
        </w:rPr>
        <w:t xml:space="preserve"> visualised with </w:t>
      </w:r>
      <w:r w:rsidRPr="003912A4">
        <w:rPr>
          <w:rFonts w:ascii="Times New Roman" w:hAnsi="Times New Roman"/>
          <w:szCs w:val="21"/>
          <w:lang w:val="en-GB"/>
        </w:rPr>
        <w:t>BOND™ Polymer Refine Detection </w:t>
      </w:r>
      <w:r w:rsidRPr="003912A4">
        <w:rPr>
          <w:rFonts w:ascii="Times New Roman" w:hAnsi="Times New Roman"/>
          <w:lang w:val="en-GB"/>
        </w:rPr>
        <w:t>(</w:t>
      </w:r>
      <w:r w:rsidRPr="003912A4">
        <w:rPr>
          <w:rFonts w:ascii="Times New Roman" w:eastAsia="BIZ UDPゴシック" w:hAnsi="Times New Roman"/>
          <w:lang w:val="en-GB"/>
        </w:rPr>
        <w:t>Leica Biosystems, Melbourne, Australia</w:t>
      </w:r>
      <w:r w:rsidRPr="003912A4">
        <w:rPr>
          <w:rFonts w:ascii="Times New Roman" w:hAnsi="Times New Roman"/>
          <w:lang w:val="en-GB"/>
        </w:rPr>
        <w:t>). Primary antibod</w:t>
      </w:r>
      <w:r w:rsidR="006446F4" w:rsidRPr="003912A4">
        <w:rPr>
          <w:rFonts w:ascii="Times New Roman" w:hAnsi="Times New Roman"/>
          <w:lang w:val="en-GB"/>
        </w:rPr>
        <w:t>ies</w:t>
      </w:r>
      <w:r w:rsidRPr="003912A4">
        <w:rPr>
          <w:rFonts w:ascii="Times New Roman" w:hAnsi="Times New Roman"/>
          <w:lang w:val="en-GB"/>
        </w:rPr>
        <w:t xml:space="preserve"> against MMP2 (clone </w:t>
      </w:r>
      <w:r w:rsidRPr="003912A4">
        <w:rPr>
          <w:rStyle w:val="a3"/>
          <w:rFonts w:ascii="Times New Roman" w:hAnsi="Times New Roman"/>
          <w:b w:val="0"/>
          <w:bCs w:val="0"/>
          <w:lang w:val="en-GB"/>
        </w:rPr>
        <w:t>17B11</w:t>
      </w:r>
      <w:r w:rsidRPr="003912A4">
        <w:rPr>
          <w:rFonts w:ascii="Times New Roman" w:hAnsi="Times New Roman"/>
          <w:b/>
          <w:bCs/>
          <w:lang w:val="en-GB"/>
        </w:rPr>
        <w:t>, </w:t>
      </w:r>
      <w:proofErr w:type="spellStart"/>
      <w:r w:rsidRPr="003912A4">
        <w:rPr>
          <w:rStyle w:val="a3"/>
          <w:rFonts w:ascii="Times New Roman" w:hAnsi="Times New Roman"/>
          <w:b w:val="0"/>
          <w:bCs w:val="0"/>
          <w:lang w:val="en-GB"/>
        </w:rPr>
        <w:t>Novocastra</w:t>
      </w:r>
      <w:proofErr w:type="spellEnd"/>
      <w:r w:rsidRPr="003912A4">
        <w:rPr>
          <w:rFonts w:ascii="Times New Roman" w:hAnsi="Times New Roman"/>
          <w:lang w:val="en-GB"/>
        </w:rPr>
        <w:t>,</w:t>
      </w:r>
      <w:r w:rsidR="006446F4" w:rsidRPr="003912A4">
        <w:rPr>
          <w:rFonts w:ascii="Times New Roman" w:hAnsi="Times New Roman"/>
          <w:lang w:val="en-GB"/>
        </w:rPr>
        <w:t xml:space="preserve"> Newcastle upon Tyne,</w:t>
      </w:r>
      <w:r w:rsidRPr="003912A4">
        <w:rPr>
          <w:rFonts w:ascii="Times New Roman" w:hAnsi="Times New Roman"/>
          <w:lang w:val="en-GB"/>
        </w:rPr>
        <w:t xml:space="preserve"> UK; dilution 1:500), MMP3 (clone EP1186Y, Abcam, MA, US</w:t>
      </w:r>
      <w:r w:rsidR="00FE0607" w:rsidRPr="003912A4">
        <w:rPr>
          <w:rFonts w:ascii="Times New Roman" w:hAnsi="Times New Roman"/>
          <w:lang w:val="en-GB"/>
        </w:rPr>
        <w:t>A</w:t>
      </w:r>
      <w:r w:rsidRPr="003912A4">
        <w:rPr>
          <w:rFonts w:ascii="Times New Roman" w:hAnsi="Times New Roman"/>
          <w:lang w:val="en-GB"/>
        </w:rPr>
        <w:t xml:space="preserve">, dilution 1:100), MMP9 (clone EP1254, Abcam, dilution 1:500), and MMP14 (clone </w:t>
      </w:r>
      <w:r w:rsidRPr="003912A4">
        <w:rPr>
          <w:rStyle w:val="a3"/>
          <w:rFonts w:ascii="Times New Roman" w:hAnsi="Times New Roman"/>
          <w:b w:val="0"/>
          <w:bCs w:val="0"/>
          <w:lang w:val="en-GB"/>
        </w:rPr>
        <w:t>EP1264Y</w:t>
      </w:r>
      <w:r w:rsidRPr="003912A4">
        <w:rPr>
          <w:rFonts w:ascii="Times New Roman" w:hAnsi="Times New Roman"/>
          <w:b/>
          <w:bCs/>
          <w:lang w:val="en-GB"/>
        </w:rPr>
        <w:t xml:space="preserve">, </w:t>
      </w:r>
      <w:r w:rsidRPr="003912A4">
        <w:rPr>
          <w:rFonts w:ascii="Times New Roman" w:hAnsi="Times New Roman"/>
          <w:lang w:val="en-GB"/>
        </w:rPr>
        <w:t>Abcam, dilution 1:500) were used.</w:t>
      </w:r>
    </w:p>
    <w:p w14:paraId="17C3B007" w14:textId="77777777" w:rsidR="007166A7" w:rsidRPr="003912A4" w:rsidRDefault="007166A7">
      <w:pPr>
        <w:tabs>
          <w:tab w:val="left" w:pos="4820"/>
        </w:tabs>
        <w:autoSpaceDE w:val="0"/>
        <w:rPr>
          <w:lang w:val="en-GB"/>
        </w:rPr>
      </w:pPr>
    </w:p>
    <w:p w14:paraId="4944C779" w14:textId="4A3E7793" w:rsidR="007166A7" w:rsidRPr="003912A4" w:rsidRDefault="00441457" w:rsidP="00327B9A">
      <w:pPr>
        <w:tabs>
          <w:tab w:val="left" w:pos="4820"/>
        </w:tabs>
        <w:autoSpaceDE w:val="0"/>
        <w:rPr>
          <w:lang w:val="en-GB"/>
        </w:rPr>
      </w:pPr>
      <w:bookmarkStart w:id="1" w:name="_Hlk113380499"/>
      <w:r w:rsidRPr="003912A4">
        <w:rPr>
          <w:rFonts w:ascii="Times New Roman" w:hAnsi="Times New Roman"/>
          <w:lang w:val="en-GB"/>
        </w:rPr>
        <w:t>MMP expression in tumour biops</w:t>
      </w:r>
      <w:r w:rsidR="0074769F" w:rsidRPr="003912A4">
        <w:rPr>
          <w:rFonts w:ascii="Times New Roman" w:hAnsi="Times New Roman"/>
          <w:lang w:val="en-GB"/>
        </w:rPr>
        <w:t>ies</w:t>
      </w:r>
      <w:r w:rsidRPr="003912A4">
        <w:rPr>
          <w:rFonts w:ascii="Times New Roman" w:hAnsi="Times New Roman"/>
          <w:lang w:val="en-GB"/>
        </w:rPr>
        <w:t xml:space="preserve">, surgically resected specimens, and intranodal metastatic areas and in the </w:t>
      </w:r>
      <w:proofErr w:type="spellStart"/>
      <w:r w:rsidRPr="003912A4">
        <w:rPr>
          <w:rFonts w:ascii="Times New Roman" w:hAnsi="Times New Roman"/>
          <w:lang w:val="en-GB"/>
        </w:rPr>
        <w:t>extranodal</w:t>
      </w:r>
      <w:proofErr w:type="spellEnd"/>
      <w:r w:rsidRPr="003912A4">
        <w:rPr>
          <w:rFonts w:ascii="Times New Roman" w:hAnsi="Times New Roman"/>
          <w:lang w:val="en-GB"/>
        </w:rPr>
        <w:t xml:space="preserve"> </w:t>
      </w:r>
      <w:r w:rsidR="0074769F" w:rsidRPr="003912A4">
        <w:rPr>
          <w:rFonts w:ascii="Times New Roman" w:hAnsi="Times New Roman"/>
          <w:lang w:val="en-GB"/>
        </w:rPr>
        <w:t xml:space="preserve">extension </w:t>
      </w:r>
      <w:r w:rsidRPr="003912A4">
        <w:rPr>
          <w:rFonts w:ascii="Times New Roman" w:hAnsi="Times New Roman"/>
          <w:lang w:val="en-GB"/>
        </w:rPr>
        <w:t xml:space="preserve">area in dissected LN was evaluated. MMP distribution was scored based on the </w:t>
      </w:r>
      <w:r w:rsidRPr="003912A4">
        <w:rPr>
          <w:rFonts w:ascii="Times New Roman" w:eastAsia="BIZ UDPゴシック" w:hAnsi="Times New Roman"/>
          <w:lang w:val="en-GB"/>
        </w:rPr>
        <w:t>tumour</w:t>
      </w:r>
      <w:r w:rsidRPr="003912A4">
        <w:rPr>
          <w:rFonts w:ascii="Times New Roman" w:hAnsi="Times New Roman"/>
          <w:lang w:val="en-GB"/>
        </w:rPr>
        <w:t xml:space="preserve"> nest at the </w:t>
      </w:r>
      <w:r w:rsidR="00327B9A" w:rsidRPr="003912A4">
        <w:rPr>
          <w:rFonts w:ascii="Times New Roman" w:hAnsi="Times New Roman"/>
          <w:lang w:val="en-GB"/>
        </w:rPr>
        <w:t>tumour–stromal interface (</w:t>
      </w:r>
      <w:r w:rsidRPr="003912A4">
        <w:rPr>
          <w:rFonts w:ascii="Times New Roman" w:hAnsi="Times New Roman"/>
          <w:lang w:val="en-GB"/>
        </w:rPr>
        <w:t>TSI</w:t>
      </w:r>
      <w:r w:rsidR="00327B9A" w:rsidRPr="003912A4">
        <w:rPr>
          <w:rFonts w:ascii="Times New Roman" w:hAnsi="Times New Roman"/>
          <w:lang w:val="en-GB"/>
        </w:rPr>
        <w:t>)</w:t>
      </w:r>
      <w:r w:rsidRPr="003912A4">
        <w:rPr>
          <w:rFonts w:ascii="Times New Roman" w:hAnsi="Times New Roman"/>
          <w:lang w:val="en-GB"/>
        </w:rPr>
        <w:t xml:space="preserve">, all tumour nests in a selected specimen, and the </w:t>
      </w:r>
      <w:r w:rsidR="00327B9A" w:rsidRPr="003912A4">
        <w:rPr>
          <w:rFonts w:ascii="Times New Roman" w:hAnsi="Times New Roman"/>
          <w:lang w:val="en-GB"/>
        </w:rPr>
        <w:t>cancer-associated fibroblast</w:t>
      </w:r>
      <w:r w:rsidR="00240316">
        <w:rPr>
          <w:rFonts w:ascii="Times New Roman" w:hAnsi="Times New Roman"/>
          <w:lang w:val="en-GB"/>
        </w:rPr>
        <w:t>s</w:t>
      </w:r>
      <w:r w:rsidR="00327B9A" w:rsidRPr="003912A4">
        <w:rPr>
          <w:rFonts w:ascii="Times New Roman" w:hAnsi="Times New Roman"/>
          <w:lang w:val="en-GB"/>
        </w:rPr>
        <w:t xml:space="preserve"> (</w:t>
      </w:r>
      <w:r w:rsidRPr="003912A4">
        <w:rPr>
          <w:rFonts w:ascii="Times New Roman" w:hAnsi="Times New Roman"/>
          <w:lang w:val="en-GB"/>
        </w:rPr>
        <w:t>CAF</w:t>
      </w:r>
      <w:r w:rsidR="00240316">
        <w:rPr>
          <w:rFonts w:ascii="Times New Roman" w:hAnsi="Times New Roman"/>
          <w:lang w:val="en-GB"/>
        </w:rPr>
        <w:t>s</w:t>
      </w:r>
      <w:r w:rsidR="00327B9A" w:rsidRPr="003912A4">
        <w:rPr>
          <w:rFonts w:ascii="Times New Roman" w:hAnsi="Times New Roman"/>
          <w:lang w:val="en-GB"/>
        </w:rPr>
        <w:t>)</w:t>
      </w:r>
      <w:r w:rsidRPr="003912A4">
        <w:rPr>
          <w:rFonts w:ascii="Times New Roman" w:hAnsi="Times New Roman"/>
          <w:lang w:val="en-GB"/>
        </w:rPr>
        <w:t xml:space="preserve"> at the TSI. </w:t>
      </w:r>
      <w:bookmarkEnd w:id="1"/>
      <w:r w:rsidRPr="003912A4">
        <w:rPr>
          <w:rFonts w:ascii="Times New Roman" w:hAnsi="Times New Roman"/>
          <w:lang w:val="en-GB"/>
        </w:rPr>
        <w:t>The present study did not evaluate MMP expression in CAF</w:t>
      </w:r>
      <w:r w:rsidR="00240316">
        <w:rPr>
          <w:rFonts w:ascii="Times New Roman" w:hAnsi="Times New Roman"/>
          <w:lang w:val="en-GB"/>
        </w:rPr>
        <w:t>s</w:t>
      </w:r>
      <w:r w:rsidRPr="003912A4">
        <w:rPr>
          <w:rFonts w:ascii="Times New Roman" w:hAnsi="Times New Roman"/>
          <w:lang w:val="en-GB"/>
        </w:rPr>
        <w:t xml:space="preserve"> within the whole tumour in a selected specimen because performing an accurate assessment and comparison of MMP expression in CAF</w:t>
      </w:r>
      <w:r w:rsidR="00240316">
        <w:rPr>
          <w:rFonts w:ascii="Times New Roman" w:hAnsi="Times New Roman"/>
          <w:lang w:val="en-GB"/>
        </w:rPr>
        <w:t>s</w:t>
      </w:r>
      <w:r w:rsidRPr="003912A4">
        <w:rPr>
          <w:rFonts w:ascii="Times New Roman" w:hAnsi="Times New Roman"/>
          <w:lang w:val="en-GB"/>
        </w:rPr>
        <w:t xml:space="preserve"> between tumour nests was challenging. MMP expression was considered positive if it showed the same or stronger expression level as the vascular wall or smooth muscle that was the endogenous positive control.</w:t>
      </w:r>
    </w:p>
    <w:p w14:paraId="6EA53902" w14:textId="77777777" w:rsidR="007166A7" w:rsidRPr="003912A4" w:rsidRDefault="007166A7">
      <w:pPr>
        <w:tabs>
          <w:tab w:val="left" w:pos="4820"/>
        </w:tabs>
        <w:autoSpaceDE w:val="0"/>
        <w:rPr>
          <w:lang w:val="en-GB"/>
        </w:rPr>
      </w:pPr>
    </w:p>
    <w:p w14:paraId="5388E994" w14:textId="052BA159" w:rsidR="007166A7" w:rsidRPr="003912A4" w:rsidRDefault="00CB4D47">
      <w:pPr>
        <w:tabs>
          <w:tab w:val="left" w:pos="4820"/>
        </w:tabs>
        <w:autoSpaceDE w:val="0"/>
        <w:rPr>
          <w:lang w:val="en-GB"/>
        </w:rPr>
      </w:pPr>
      <w:r w:rsidRPr="003912A4">
        <w:rPr>
          <w:rFonts w:ascii="Times New Roman" w:hAnsi="Times New Roman"/>
          <w:lang w:val="en-GB"/>
        </w:rPr>
        <w:t xml:space="preserve">MMP expression </w:t>
      </w:r>
      <w:r w:rsidRPr="003912A4">
        <w:rPr>
          <w:rFonts w:ascii="Times New Roman" w:eastAsia="BIZ UDPゴシック" w:hAnsi="Times New Roman"/>
          <w:lang w:val="en-GB"/>
        </w:rPr>
        <w:t>in</w:t>
      </w:r>
      <w:r w:rsidRPr="003912A4">
        <w:rPr>
          <w:rFonts w:ascii="Times New Roman" w:hAnsi="Times New Roman"/>
          <w:lang w:val="en-GB"/>
        </w:rPr>
        <w:t xml:space="preserve"> CAF</w:t>
      </w:r>
      <w:r w:rsidR="00240316">
        <w:rPr>
          <w:rFonts w:ascii="Times New Roman" w:hAnsi="Times New Roman"/>
          <w:lang w:val="en-GB"/>
        </w:rPr>
        <w:t>s</w:t>
      </w:r>
      <w:r w:rsidRPr="003912A4">
        <w:rPr>
          <w:rFonts w:ascii="Times New Roman" w:hAnsi="Times New Roman"/>
          <w:lang w:val="en-GB"/>
        </w:rPr>
        <w:t xml:space="preserve"> at </w:t>
      </w:r>
      <w:r w:rsidR="00CF0D1D" w:rsidRPr="003912A4">
        <w:rPr>
          <w:rFonts w:ascii="Times New Roman" w:hAnsi="Times New Roman"/>
          <w:lang w:val="en-GB"/>
        </w:rPr>
        <w:t xml:space="preserve">the </w:t>
      </w:r>
      <w:r w:rsidRPr="003912A4">
        <w:rPr>
          <w:rFonts w:ascii="Times New Roman" w:hAnsi="Times New Roman"/>
          <w:lang w:val="en-GB"/>
        </w:rPr>
        <w:t xml:space="preserve">TSI was evaluated as follows: negative </w:t>
      </w:r>
      <w:r w:rsidRPr="003912A4">
        <w:rPr>
          <w:rFonts w:ascii="Times New Roman" w:eastAsia="BIZ UDPゴシック" w:hAnsi="Times New Roman"/>
          <w:lang w:val="en-GB"/>
        </w:rPr>
        <w:t xml:space="preserve">(&lt; </w:t>
      </w:r>
      <w:r w:rsidRPr="003912A4">
        <w:rPr>
          <w:rFonts w:ascii="Times New Roman" w:hAnsi="Times New Roman"/>
          <w:lang w:val="en-GB"/>
        </w:rPr>
        <w:t>50</w:t>
      </w:r>
      <w:r w:rsidRPr="003912A4">
        <w:rPr>
          <w:rFonts w:ascii="Times New Roman" w:eastAsia="BIZ UDPゴシック" w:hAnsi="Times New Roman"/>
          <w:lang w:val="en-GB"/>
        </w:rPr>
        <w:t>% of CAF</w:t>
      </w:r>
      <w:r w:rsidR="00240316">
        <w:rPr>
          <w:rFonts w:ascii="Times New Roman" w:eastAsia="BIZ UDPゴシック" w:hAnsi="Times New Roman"/>
          <w:lang w:val="en-GB"/>
        </w:rPr>
        <w:t>s</w:t>
      </w:r>
      <w:r w:rsidRPr="003912A4">
        <w:rPr>
          <w:rFonts w:ascii="Times New Roman" w:hAnsi="Times New Roman"/>
          <w:lang w:val="en-GB"/>
        </w:rPr>
        <w:t xml:space="preserve"> cytoplasmic staining</w:t>
      </w:r>
      <w:r w:rsidRPr="003912A4">
        <w:rPr>
          <w:rFonts w:ascii="Times New Roman" w:eastAsia="BIZ UDPゴシック" w:hAnsi="Times New Roman"/>
          <w:lang w:val="en-GB"/>
        </w:rPr>
        <w:t>)</w:t>
      </w:r>
      <w:r w:rsidRPr="003912A4">
        <w:rPr>
          <w:rFonts w:ascii="Times New Roman" w:hAnsi="Times New Roman"/>
          <w:lang w:val="en-GB"/>
        </w:rPr>
        <w:t xml:space="preserve"> or positive </w:t>
      </w:r>
      <w:r w:rsidRPr="003912A4">
        <w:rPr>
          <w:rFonts w:ascii="Times New Roman" w:eastAsia="BIZ UDPゴシック" w:hAnsi="Times New Roman"/>
          <w:lang w:val="en-GB"/>
        </w:rPr>
        <w:t>(</w:t>
      </w:r>
      <w:r w:rsidRPr="003912A4">
        <w:rPr>
          <w:rFonts w:ascii="Times New Roman" w:eastAsia="ＭＳ 明朝" w:hAnsi="Times New Roman"/>
          <w:lang w:val="en-GB"/>
        </w:rPr>
        <w:t xml:space="preserve">≥ </w:t>
      </w:r>
      <w:r w:rsidRPr="003912A4">
        <w:rPr>
          <w:rFonts w:ascii="Times New Roman" w:hAnsi="Times New Roman"/>
          <w:lang w:val="en-GB"/>
        </w:rPr>
        <w:t>50</w:t>
      </w:r>
      <w:r w:rsidRPr="003912A4">
        <w:rPr>
          <w:rFonts w:ascii="Times New Roman" w:eastAsia="BIZ UDPゴシック" w:hAnsi="Times New Roman"/>
          <w:lang w:val="en-GB"/>
        </w:rPr>
        <w:t>% of CAF</w:t>
      </w:r>
      <w:r w:rsidR="00240316">
        <w:rPr>
          <w:rFonts w:ascii="Times New Roman" w:eastAsia="BIZ UDPゴシック" w:hAnsi="Times New Roman"/>
          <w:lang w:val="en-GB"/>
        </w:rPr>
        <w:t>s</w:t>
      </w:r>
      <w:r w:rsidRPr="003912A4">
        <w:rPr>
          <w:rFonts w:ascii="Times New Roman" w:hAnsi="Times New Roman"/>
          <w:lang w:val="en-GB"/>
        </w:rPr>
        <w:t xml:space="preserve"> cytoplasmic staining</w:t>
      </w:r>
      <w:r w:rsidRPr="003912A4">
        <w:rPr>
          <w:rFonts w:ascii="Times New Roman" w:eastAsia="BIZ UDPゴシック" w:hAnsi="Times New Roman"/>
          <w:lang w:val="en-GB"/>
        </w:rPr>
        <w:t>) (Additional file 4)</w:t>
      </w:r>
      <w:r w:rsidRPr="003912A4">
        <w:rPr>
          <w:rFonts w:ascii="Times New Roman" w:hAnsi="Times New Roman"/>
          <w:lang w:val="en-GB"/>
        </w:rPr>
        <w:t>.</w:t>
      </w:r>
    </w:p>
    <w:p w14:paraId="4675A350" w14:textId="67355D1D" w:rsidR="007166A7" w:rsidRPr="003912A4" w:rsidRDefault="00CF0D1D">
      <w:pPr>
        <w:tabs>
          <w:tab w:val="left" w:pos="4820"/>
        </w:tabs>
        <w:autoSpaceDE w:val="0"/>
        <w:rPr>
          <w:lang w:val="en-GB"/>
        </w:rPr>
      </w:pPr>
      <w:r w:rsidRPr="003912A4">
        <w:rPr>
          <w:rFonts w:ascii="Times New Roman" w:eastAsia="BIZ UDPゴシック" w:hAnsi="Times New Roman"/>
          <w:lang w:val="en-GB"/>
        </w:rPr>
        <w:t xml:space="preserve">The expression of </w:t>
      </w:r>
      <w:r w:rsidR="00441457" w:rsidRPr="003912A4">
        <w:rPr>
          <w:rFonts w:ascii="Times New Roman" w:eastAsia="BIZ UDPゴシック" w:hAnsi="Times New Roman"/>
          <w:lang w:val="en-GB"/>
        </w:rPr>
        <w:t>MMP</w:t>
      </w:r>
      <w:r w:rsidR="00441457" w:rsidRPr="003912A4">
        <w:rPr>
          <w:rFonts w:ascii="Times New Roman" w:hAnsi="Times New Roman"/>
          <w:lang w:val="en-GB"/>
        </w:rPr>
        <w:t>2, 3, and 9</w:t>
      </w:r>
      <w:r w:rsidR="00441457" w:rsidRPr="003912A4">
        <w:rPr>
          <w:rFonts w:ascii="Times New Roman" w:eastAsia="BIZ UDPゴシック" w:hAnsi="Times New Roman"/>
          <w:lang w:val="en-GB"/>
        </w:rPr>
        <w:t xml:space="preserve"> in the tumour </w:t>
      </w:r>
      <w:r w:rsidR="00441457" w:rsidRPr="003912A4">
        <w:rPr>
          <w:rFonts w:ascii="Times New Roman" w:hAnsi="Times New Roman"/>
          <w:lang w:val="en-GB"/>
        </w:rPr>
        <w:t xml:space="preserve">nest </w:t>
      </w:r>
      <w:r w:rsidRPr="003912A4">
        <w:rPr>
          <w:rFonts w:ascii="Times New Roman" w:hAnsi="Times New Roman"/>
          <w:lang w:val="en-GB"/>
        </w:rPr>
        <w:t xml:space="preserve">was </w:t>
      </w:r>
      <w:r w:rsidR="00441457" w:rsidRPr="003912A4">
        <w:rPr>
          <w:rFonts w:ascii="Times New Roman" w:hAnsi="Times New Roman"/>
          <w:lang w:val="en-GB"/>
        </w:rPr>
        <w:t xml:space="preserve">evaluated as follows: low </w:t>
      </w:r>
      <w:r w:rsidR="00441457" w:rsidRPr="003912A4">
        <w:rPr>
          <w:rFonts w:ascii="Times New Roman" w:eastAsia="BIZ UDPゴシック" w:hAnsi="Times New Roman"/>
          <w:lang w:val="en-GB"/>
        </w:rPr>
        <w:t xml:space="preserve">(&lt; </w:t>
      </w:r>
      <w:r w:rsidR="00441457" w:rsidRPr="003912A4">
        <w:rPr>
          <w:rFonts w:ascii="Times New Roman" w:hAnsi="Times New Roman"/>
          <w:lang w:val="en-GB"/>
        </w:rPr>
        <w:t xml:space="preserve">50 </w:t>
      </w:r>
      <w:r w:rsidR="00441457" w:rsidRPr="003912A4">
        <w:rPr>
          <w:rFonts w:ascii="Times New Roman" w:eastAsia="BIZ UDPゴシック" w:hAnsi="Times New Roman"/>
          <w:lang w:val="en-GB"/>
        </w:rPr>
        <w:t>%</w:t>
      </w:r>
      <w:r w:rsidR="00441457" w:rsidRPr="003912A4">
        <w:rPr>
          <w:rFonts w:ascii="Times New Roman" w:hAnsi="Times New Roman"/>
          <w:lang w:val="en-GB"/>
        </w:rPr>
        <w:t xml:space="preserve"> of </w:t>
      </w:r>
      <w:r w:rsidR="00441457" w:rsidRPr="003912A4">
        <w:rPr>
          <w:rFonts w:ascii="Times New Roman" w:eastAsia="BIZ UDPゴシック" w:hAnsi="Times New Roman"/>
          <w:lang w:val="en-GB"/>
        </w:rPr>
        <w:t>tumour</w:t>
      </w:r>
      <w:r w:rsidR="00441457" w:rsidRPr="003912A4">
        <w:rPr>
          <w:rFonts w:ascii="Times New Roman" w:hAnsi="Times New Roman"/>
          <w:lang w:val="en-GB"/>
        </w:rPr>
        <w:t xml:space="preserve"> cytoplasmic staining</w:t>
      </w:r>
      <w:r w:rsidR="00441457" w:rsidRPr="003912A4">
        <w:rPr>
          <w:rFonts w:ascii="Times New Roman" w:eastAsia="BIZ UDPゴシック" w:hAnsi="Times New Roman"/>
          <w:lang w:val="en-GB"/>
        </w:rPr>
        <w:t>) or high (</w:t>
      </w:r>
      <w:r w:rsidR="00441457" w:rsidRPr="003912A4">
        <w:rPr>
          <w:rFonts w:ascii="Times New Roman" w:eastAsia="ＭＳ 明朝" w:hAnsi="Times New Roman"/>
          <w:lang w:val="en-GB"/>
        </w:rPr>
        <w:t xml:space="preserve">≥ </w:t>
      </w:r>
      <w:r w:rsidR="00441457" w:rsidRPr="003912A4">
        <w:rPr>
          <w:rFonts w:ascii="Times New Roman" w:eastAsia="BIZ UDPゴシック" w:hAnsi="Times New Roman"/>
          <w:lang w:val="en-GB"/>
        </w:rPr>
        <w:t>50% of tumour cytoplasmic staining)</w:t>
      </w:r>
      <w:r w:rsidR="00441457" w:rsidRPr="003912A4">
        <w:rPr>
          <w:rFonts w:ascii="Times New Roman" w:hAnsi="Times New Roman"/>
          <w:lang w:val="en-GB"/>
        </w:rPr>
        <w:t xml:space="preserve"> (</w:t>
      </w:r>
      <w:r w:rsidR="00CB4D47" w:rsidRPr="003912A4">
        <w:rPr>
          <w:rFonts w:ascii="Times New Roman" w:hAnsi="Times New Roman"/>
          <w:lang w:val="en-GB"/>
        </w:rPr>
        <w:t>A</w:t>
      </w:r>
      <w:r w:rsidR="00441457" w:rsidRPr="003912A4">
        <w:rPr>
          <w:rFonts w:ascii="Times New Roman" w:hAnsi="Times New Roman"/>
          <w:lang w:val="en-GB"/>
        </w:rPr>
        <w:t xml:space="preserve">dditional </w:t>
      </w:r>
      <w:r w:rsidR="00CB4D47" w:rsidRPr="003912A4">
        <w:rPr>
          <w:rFonts w:ascii="Times New Roman" w:hAnsi="Times New Roman"/>
          <w:lang w:val="en-GB"/>
        </w:rPr>
        <w:t>F</w:t>
      </w:r>
      <w:r w:rsidR="00441457" w:rsidRPr="003912A4">
        <w:rPr>
          <w:rFonts w:ascii="Times New Roman" w:hAnsi="Times New Roman"/>
          <w:lang w:val="en-GB"/>
        </w:rPr>
        <w:t>ile 4) [1-4].</w:t>
      </w:r>
      <w:bookmarkStart w:id="2" w:name="_Hlk112697226"/>
    </w:p>
    <w:p w14:paraId="2A071805" w14:textId="77777777" w:rsidR="007166A7" w:rsidRPr="003912A4" w:rsidRDefault="007166A7">
      <w:pPr>
        <w:tabs>
          <w:tab w:val="left" w:pos="4820"/>
        </w:tabs>
        <w:autoSpaceDE w:val="0"/>
        <w:rPr>
          <w:lang w:val="en-GB"/>
        </w:rPr>
      </w:pPr>
    </w:p>
    <w:p w14:paraId="6D313721" w14:textId="34AE0987" w:rsidR="007166A7" w:rsidRPr="003912A4" w:rsidRDefault="00441457">
      <w:pPr>
        <w:tabs>
          <w:tab w:val="left" w:pos="4820"/>
        </w:tabs>
        <w:autoSpaceDE w:val="0"/>
        <w:rPr>
          <w:lang w:val="en-GB"/>
        </w:rPr>
      </w:pPr>
      <w:r w:rsidRPr="003912A4">
        <w:rPr>
          <w:rFonts w:ascii="Times New Roman" w:hAnsi="Times New Roman"/>
          <w:lang w:val="en-GB"/>
        </w:rPr>
        <w:t>As MMP14 was expressed strongly on the membrane, the evaluation was performed using the 2015 United Kingdom-recommended guidelines for HER2 immunohistochemical assessment [5]. This was performed for all tumour nests and the TSI</w:t>
      </w:r>
      <w:bookmarkEnd w:id="2"/>
      <w:r w:rsidRPr="003912A4">
        <w:rPr>
          <w:rFonts w:ascii="Times New Roman" w:hAnsi="Times New Roman"/>
          <w:lang w:val="en-GB"/>
        </w:rPr>
        <w:t xml:space="preserve">. </w:t>
      </w:r>
      <w:bookmarkStart w:id="3" w:name="_Hlk119476732"/>
      <w:r w:rsidRPr="003912A4">
        <w:rPr>
          <w:rFonts w:ascii="Times New Roman" w:hAnsi="Times New Roman"/>
          <w:lang w:val="en-GB"/>
        </w:rPr>
        <w:t xml:space="preserve">The assessment of MMP14 </w:t>
      </w:r>
      <w:r w:rsidR="005709BF" w:rsidRPr="003912A4">
        <w:rPr>
          <w:rFonts w:ascii="Times New Roman" w:hAnsi="Times New Roman"/>
          <w:lang w:val="en-GB"/>
        </w:rPr>
        <w:t xml:space="preserve">expression </w:t>
      </w:r>
      <w:r w:rsidRPr="003912A4">
        <w:rPr>
          <w:rFonts w:ascii="Times New Roman" w:hAnsi="Times New Roman"/>
          <w:lang w:val="en-GB"/>
        </w:rPr>
        <w:t>establishes ranges from 0 to 3+. However, in the present study, sample scoring</w:t>
      </w:r>
      <w:r w:rsidR="005709BF" w:rsidRPr="003912A4">
        <w:rPr>
          <w:rFonts w:ascii="Times New Roman" w:hAnsi="Times New Roman"/>
          <w:lang w:val="en-GB"/>
        </w:rPr>
        <w:t>s</w:t>
      </w:r>
      <w:r w:rsidRPr="003912A4">
        <w:rPr>
          <w:rFonts w:ascii="Times New Roman" w:hAnsi="Times New Roman"/>
          <w:lang w:val="en-GB"/>
        </w:rPr>
        <w:t xml:space="preserve"> of 2+ to 3+ </w:t>
      </w:r>
      <w:r w:rsidR="005709BF" w:rsidRPr="003912A4">
        <w:rPr>
          <w:rFonts w:ascii="Times New Roman" w:hAnsi="Times New Roman"/>
          <w:lang w:val="en-GB"/>
        </w:rPr>
        <w:t xml:space="preserve">were </w:t>
      </w:r>
      <w:r w:rsidRPr="003912A4">
        <w:rPr>
          <w:rFonts w:ascii="Times New Roman" w:hAnsi="Times New Roman"/>
          <w:lang w:val="en-GB"/>
        </w:rPr>
        <w:t xml:space="preserve">regarded as </w:t>
      </w:r>
      <w:r w:rsidR="005709BF" w:rsidRPr="003912A4">
        <w:rPr>
          <w:rFonts w:ascii="Times New Roman" w:hAnsi="Times New Roman"/>
          <w:lang w:val="en-GB"/>
        </w:rPr>
        <w:t>‘</w:t>
      </w:r>
      <w:r w:rsidRPr="003912A4">
        <w:rPr>
          <w:rFonts w:ascii="Times New Roman" w:eastAsia="BIZ UDPゴシック" w:hAnsi="Times New Roman"/>
          <w:lang w:val="en-GB"/>
        </w:rPr>
        <w:t>high</w:t>
      </w:r>
      <w:r w:rsidR="005709BF" w:rsidRPr="003912A4">
        <w:rPr>
          <w:rFonts w:ascii="Times New Roman" w:eastAsia="BIZ UDPゴシック" w:hAnsi="Times New Roman"/>
          <w:lang w:val="en-GB"/>
        </w:rPr>
        <w:t>’</w:t>
      </w:r>
      <w:r w:rsidRPr="003912A4">
        <w:rPr>
          <w:rFonts w:ascii="Times New Roman" w:hAnsi="Times New Roman"/>
          <w:lang w:val="en-GB"/>
        </w:rPr>
        <w:t xml:space="preserve">, and those from 0 to 1+ were considered </w:t>
      </w:r>
      <w:r w:rsidR="005709BF" w:rsidRPr="003912A4">
        <w:rPr>
          <w:rFonts w:ascii="Times New Roman" w:eastAsia="BIZ UDPゴシック" w:hAnsi="Times New Roman"/>
          <w:lang w:val="en-GB"/>
        </w:rPr>
        <w:t>‘</w:t>
      </w:r>
      <w:r w:rsidRPr="003912A4">
        <w:rPr>
          <w:rFonts w:ascii="Times New Roman" w:eastAsia="BIZ UDPゴシック" w:hAnsi="Times New Roman"/>
          <w:lang w:val="en-GB"/>
        </w:rPr>
        <w:t>low</w:t>
      </w:r>
      <w:r w:rsidR="005709BF" w:rsidRPr="003912A4">
        <w:rPr>
          <w:rFonts w:ascii="Times New Roman" w:eastAsia="BIZ UDPゴシック" w:hAnsi="Times New Roman"/>
          <w:lang w:val="en-GB"/>
        </w:rPr>
        <w:t>’</w:t>
      </w:r>
      <w:r w:rsidRPr="003912A4">
        <w:rPr>
          <w:rFonts w:ascii="Times New Roman" w:hAnsi="Times New Roman"/>
          <w:lang w:val="en-GB"/>
        </w:rPr>
        <w:t>. Furthermore, the total MMP14 expression in tumours and CAF</w:t>
      </w:r>
      <w:r w:rsidR="00240316">
        <w:rPr>
          <w:rFonts w:ascii="Times New Roman" w:hAnsi="Times New Roman"/>
          <w:lang w:val="en-GB"/>
        </w:rPr>
        <w:t>s</w:t>
      </w:r>
      <w:r w:rsidRPr="003912A4">
        <w:rPr>
          <w:rFonts w:ascii="Times New Roman" w:hAnsi="Times New Roman"/>
          <w:lang w:val="en-GB"/>
        </w:rPr>
        <w:t xml:space="preserve"> was examined as follows: high-risk (cases that were CAF</w:t>
      </w:r>
      <w:r w:rsidR="00240316">
        <w:rPr>
          <w:rFonts w:ascii="Times New Roman" w:hAnsi="Times New Roman"/>
          <w:lang w:val="en-GB"/>
        </w:rPr>
        <w:t>s</w:t>
      </w:r>
      <w:r w:rsidR="005709BF" w:rsidRPr="003912A4">
        <w:rPr>
          <w:rFonts w:ascii="Times New Roman" w:hAnsi="Times New Roman"/>
          <w:lang w:val="en-GB"/>
        </w:rPr>
        <w:t>-</w:t>
      </w:r>
      <w:r w:rsidRPr="003912A4">
        <w:rPr>
          <w:rFonts w:ascii="Times New Roman" w:hAnsi="Times New Roman"/>
          <w:lang w:val="en-GB"/>
        </w:rPr>
        <w:t xml:space="preserve">positive and whose tumour scores were high) and low-risk (cases that were not high-risk). This approach was named the </w:t>
      </w:r>
      <w:r w:rsidR="005709BF" w:rsidRPr="003912A4">
        <w:rPr>
          <w:rFonts w:ascii="Times New Roman" w:hAnsi="Times New Roman"/>
          <w:lang w:val="en-GB"/>
        </w:rPr>
        <w:t>‘</w:t>
      </w:r>
      <w:r w:rsidRPr="003912A4">
        <w:rPr>
          <w:rFonts w:ascii="Times New Roman" w:hAnsi="Times New Roman"/>
          <w:lang w:val="en-GB"/>
        </w:rPr>
        <w:t>MMP14 co-scoring system</w:t>
      </w:r>
      <w:r w:rsidR="005709BF" w:rsidRPr="003912A4">
        <w:rPr>
          <w:rFonts w:ascii="Times New Roman" w:hAnsi="Times New Roman"/>
          <w:lang w:val="en-GB"/>
        </w:rPr>
        <w:t>’</w:t>
      </w:r>
      <w:r w:rsidRPr="003912A4">
        <w:rPr>
          <w:rFonts w:ascii="Times New Roman" w:hAnsi="Times New Roman"/>
          <w:lang w:val="en-GB"/>
        </w:rPr>
        <w:t>.</w:t>
      </w:r>
    </w:p>
    <w:p w14:paraId="141CD97D" w14:textId="5A7AA162" w:rsidR="007166A7" w:rsidRPr="003912A4" w:rsidRDefault="007166A7">
      <w:pPr>
        <w:tabs>
          <w:tab w:val="left" w:pos="4820"/>
        </w:tabs>
        <w:autoSpaceDE w:val="0"/>
        <w:rPr>
          <w:rFonts w:ascii="Times New Roman" w:hAnsi="Times New Roman"/>
          <w:lang w:val="en-GB"/>
        </w:rPr>
      </w:pPr>
    </w:p>
    <w:bookmarkEnd w:id="3"/>
    <w:p w14:paraId="6A45A6C1" w14:textId="79F758D9" w:rsidR="00B103B6" w:rsidRPr="003912A4" w:rsidRDefault="005709BF">
      <w:pPr>
        <w:tabs>
          <w:tab w:val="left" w:pos="4820"/>
        </w:tabs>
        <w:autoSpaceDE w:val="0"/>
        <w:rPr>
          <w:rFonts w:ascii="Times New Roman" w:hAnsi="Times New Roman"/>
          <w:lang w:val="en-GB"/>
        </w:rPr>
      </w:pPr>
      <w:r w:rsidRPr="003912A4">
        <w:rPr>
          <w:rFonts w:ascii="Times New Roman" w:hAnsi="Times New Roman"/>
          <w:lang w:val="en-GB"/>
        </w:rPr>
        <w:t>The e</w:t>
      </w:r>
      <w:r w:rsidR="00AA694E" w:rsidRPr="003912A4">
        <w:rPr>
          <w:rFonts w:ascii="Times New Roman" w:hAnsi="Times New Roman"/>
          <w:lang w:val="en-GB"/>
        </w:rPr>
        <w:t xml:space="preserve">xpression of MMP2, 3, 9, and 14 was considered </w:t>
      </w:r>
      <w:r w:rsidRPr="003912A4">
        <w:rPr>
          <w:rFonts w:ascii="Times New Roman" w:hAnsi="Times New Roman"/>
          <w:lang w:val="en-GB"/>
        </w:rPr>
        <w:t xml:space="preserve">to be increasing </w:t>
      </w:r>
      <w:r w:rsidR="00AA694E" w:rsidRPr="003912A4">
        <w:rPr>
          <w:rFonts w:ascii="Times New Roman" w:hAnsi="Times New Roman"/>
          <w:lang w:val="en-GB"/>
        </w:rPr>
        <w:t xml:space="preserve">when the expression level of MMPs changed from </w:t>
      </w:r>
      <w:r w:rsidRPr="003912A4">
        <w:rPr>
          <w:rFonts w:ascii="Times New Roman" w:hAnsi="Times New Roman"/>
          <w:lang w:val="en-GB"/>
        </w:rPr>
        <w:t>‘</w:t>
      </w:r>
      <w:r w:rsidR="00AA694E" w:rsidRPr="003912A4">
        <w:rPr>
          <w:rFonts w:ascii="Times New Roman" w:eastAsia="BIZ UDPゴシック" w:hAnsi="Times New Roman"/>
          <w:lang w:val="en-GB"/>
        </w:rPr>
        <w:t>low</w:t>
      </w:r>
      <w:r w:rsidRPr="003912A4">
        <w:rPr>
          <w:rFonts w:ascii="Times New Roman" w:eastAsia="BIZ UDPゴシック" w:hAnsi="Times New Roman"/>
          <w:lang w:val="en-GB"/>
        </w:rPr>
        <w:t>’</w:t>
      </w:r>
      <w:r w:rsidR="00AA694E" w:rsidRPr="003912A4">
        <w:rPr>
          <w:rFonts w:ascii="Times New Roman" w:hAnsi="Times New Roman"/>
          <w:lang w:val="en-GB"/>
        </w:rPr>
        <w:t xml:space="preserve"> to </w:t>
      </w:r>
      <w:r w:rsidRPr="003912A4">
        <w:rPr>
          <w:rFonts w:ascii="Times New Roman" w:eastAsia="BIZ UDPゴシック" w:hAnsi="Times New Roman"/>
          <w:lang w:val="en-GB"/>
        </w:rPr>
        <w:t>‘</w:t>
      </w:r>
      <w:r w:rsidR="00AA694E" w:rsidRPr="003912A4">
        <w:rPr>
          <w:rFonts w:ascii="Times New Roman" w:eastAsia="BIZ UDPゴシック" w:hAnsi="Times New Roman"/>
          <w:lang w:val="en-GB"/>
        </w:rPr>
        <w:t>high</w:t>
      </w:r>
      <w:r w:rsidRPr="003912A4">
        <w:rPr>
          <w:rFonts w:ascii="Times New Roman" w:eastAsia="BIZ UDPゴシック" w:hAnsi="Times New Roman"/>
          <w:lang w:val="en-GB"/>
        </w:rPr>
        <w:t>’</w:t>
      </w:r>
      <w:r w:rsidR="00AA694E" w:rsidRPr="003912A4">
        <w:rPr>
          <w:rFonts w:ascii="Times New Roman" w:hAnsi="Times New Roman"/>
          <w:lang w:val="en-GB"/>
        </w:rPr>
        <w:t>.</w:t>
      </w:r>
    </w:p>
    <w:p w14:paraId="06B8EBB8" w14:textId="77777777" w:rsidR="00AA694E" w:rsidRPr="003912A4" w:rsidRDefault="00AA694E">
      <w:pPr>
        <w:tabs>
          <w:tab w:val="left" w:pos="4820"/>
        </w:tabs>
        <w:autoSpaceDE w:val="0"/>
        <w:rPr>
          <w:rFonts w:ascii="Times New Roman" w:eastAsia="BIZ UDPゴシック" w:hAnsi="Times New Roman"/>
          <w:lang w:val="en-GB"/>
        </w:rPr>
      </w:pPr>
    </w:p>
    <w:p w14:paraId="31D0447D" w14:textId="21188235" w:rsidR="007166A7" w:rsidRPr="003912A4" w:rsidRDefault="00441457">
      <w:pPr>
        <w:tabs>
          <w:tab w:val="left" w:pos="4820"/>
        </w:tabs>
        <w:autoSpaceDE w:val="0"/>
        <w:rPr>
          <w:lang w:val="en-GB"/>
        </w:rPr>
      </w:pPr>
      <w:r w:rsidRPr="003912A4">
        <w:rPr>
          <w:rFonts w:ascii="Times New Roman" w:hAnsi="Times New Roman"/>
          <w:lang w:val="en-GB"/>
        </w:rPr>
        <w:t xml:space="preserve">Slides were scored by two pathologists (YN and MI) </w:t>
      </w:r>
      <w:r w:rsidR="002476AB" w:rsidRPr="003912A4">
        <w:rPr>
          <w:rFonts w:ascii="Times New Roman" w:hAnsi="Times New Roman"/>
          <w:lang w:val="en-GB"/>
        </w:rPr>
        <w:t xml:space="preserve">using </w:t>
      </w:r>
      <w:r w:rsidRPr="003912A4">
        <w:rPr>
          <w:rFonts w:ascii="Times New Roman" w:hAnsi="Times New Roman"/>
          <w:lang w:val="en-GB"/>
        </w:rPr>
        <w:t>a dual</w:t>
      </w:r>
      <w:r w:rsidRPr="003912A4">
        <w:rPr>
          <w:rFonts w:ascii="Times New Roman" w:eastAsia="BIZ UDPゴシック" w:hAnsi="Times New Roman"/>
          <w:lang w:val="en-GB"/>
        </w:rPr>
        <w:t>-</w:t>
      </w:r>
      <w:r w:rsidRPr="003912A4">
        <w:rPr>
          <w:rFonts w:ascii="Times New Roman" w:hAnsi="Times New Roman"/>
          <w:lang w:val="en-GB"/>
        </w:rPr>
        <w:t xml:space="preserve">headed microscope; the scoring was </w:t>
      </w:r>
      <w:r w:rsidRPr="003912A4">
        <w:rPr>
          <w:rFonts w:ascii="Times New Roman" w:hAnsi="Times New Roman"/>
          <w:lang w:val="en-GB"/>
        </w:rPr>
        <w:lastRenderedPageBreak/>
        <w:t>performed in a blinded manner</w:t>
      </w:r>
      <w:r w:rsidRPr="003912A4">
        <w:rPr>
          <w:rFonts w:ascii="Times New Roman" w:eastAsia="BIZ UDPゴシック" w:hAnsi="Times New Roman"/>
          <w:lang w:val="en-GB"/>
        </w:rPr>
        <w:t>.</w:t>
      </w:r>
    </w:p>
    <w:p w14:paraId="1DE02C1B" w14:textId="77777777" w:rsidR="007166A7" w:rsidRPr="003912A4" w:rsidRDefault="007166A7">
      <w:pPr>
        <w:rPr>
          <w:rFonts w:ascii="Times New Roman" w:hAnsi="Times New Roman"/>
          <w:lang w:val="en-GB"/>
        </w:rPr>
      </w:pPr>
    </w:p>
    <w:p w14:paraId="3C08C03B" w14:textId="77777777" w:rsidR="007166A7" w:rsidRPr="00250243" w:rsidRDefault="00441457">
      <w:pPr>
        <w:rPr>
          <w:rFonts w:ascii="Times New Roman" w:hAnsi="Times New Roman"/>
          <w:b/>
          <w:bCs/>
          <w:lang w:val="en-GB"/>
        </w:rPr>
      </w:pPr>
      <w:r w:rsidRPr="00250243">
        <w:rPr>
          <w:rFonts w:ascii="Times New Roman" w:hAnsi="Times New Roman"/>
          <w:b/>
          <w:bCs/>
          <w:lang w:val="en-GB"/>
        </w:rPr>
        <w:t>References</w:t>
      </w:r>
    </w:p>
    <w:p w14:paraId="36C368A8" w14:textId="77777777" w:rsidR="007166A7" w:rsidRPr="003912A4" w:rsidRDefault="00441457">
      <w:pPr>
        <w:tabs>
          <w:tab w:val="left" w:pos="4820"/>
        </w:tabs>
        <w:rPr>
          <w:rFonts w:ascii="Times New Roman" w:hAnsi="Times New Roman"/>
          <w:lang w:val="en-GB"/>
        </w:rPr>
      </w:pPr>
      <w:r w:rsidRPr="003912A4">
        <w:rPr>
          <w:rFonts w:ascii="Times New Roman" w:hAnsi="Times New Roman"/>
          <w:lang w:val="en-GB"/>
        </w:rPr>
        <w:t>1. Hase K, Shatney C, Johnson D, Trollope M, Vierra M. Prognostic value of tumor ‘budding’ in patients with colorectal cancer. Dis Colon Rectum 1993;36:627–35.</w:t>
      </w:r>
    </w:p>
    <w:p w14:paraId="0192CAFA" w14:textId="77777777" w:rsidR="007166A7" w:rsidRPr="003912A4" w:rsidRDefault="00441457">
      <w:pPr>
        <w:tabs>
          <w:tab w:val="left" w:pos="4820"/>
        </w:tabs>
        <w:rPr>
          <w:rFonts w:ascii="Times New Roman" w:hAnsi="Times New Roman"/>
          <w:lang w:val="en-GB"/>
        </w:rPr>
      </w:pPr>
      <w:r w:rsidRPr="003912A4">
        <w:rPr>
          <w:rFonts w:ascii="Times New Roman" w:hAnsi="Times New Roman"/>
          <w:lang w:val="en-GB"/>
        </w:rPr>
        <w:t>2.</w:t>
      </w:r>
      <w:bookmarkStart w:id="4" w:name="_Hlk115160942"/>
      <w:bookmarkStart w:id="5" w:name="_Hlk115160514"/>
      <w:r w:rsidRPr="003912A4">
        <w:rPr>
          <w:rFonts w:ascii="Times New Roman" w:hAnsi="Times New Roman"/>
          <w:lang w:val="en-GB"/>
        </w:rPr>
        <w:t> Heikkinen I</w:t>
      </w:r>
      <w:bookmarkEnd w:id="4"/>
      <w:r w:rsidRPr="003912A4">
        <w:rPr>
          <w:rFonts w:ascii="Times New Roman" w:hAnsi="Times New Roman"/>
          <w:lang w:val="en-GB"/>
        </w:rPr>
        <w:t>,</w:t>
      </w:r>
      <w:bookmarkEnd w:id="5"/>
      <w:r w:rsidRPr="003912A4">
        <w:rPr>
          <w:rFonts w:ascii="Times New Roman" w:hAnsi="Times New Roman"/>
          <w:lang w:val="en-GB"/>
        </w:rPr>
        <w:t xml:space="preserve"> Bello IO, Wahab A, Hagström J, Haglund C, Coletta RD, et al. Assessment of </w:t>
      </w:r>
      <w:proofErr w:type="spellStart"/>
      <w:r w:rsidRPr="003912A4">
        <w:rPr>
          <w:rFonts w:ascii="Times New Roman" w:hAnsi="Times New Roman"/>
          <w:lang w:val="en-GB"/>
        </w:rPr>
        <w:t>tumor</w:t>
      </w:r>
      <w:proofErr w:type="spellEnd"/>
      <w:r w:rsidRPr="003912A4">
        <w:rPr>
          <w:rFonts w:ascii="Times New Roman" w:hAnsi="Times New Roman"/>
          <w:lang w:val="en-GB"/>
        </w:rPr>
        <w:t>-infiltrating lymphocytes predicts the behavior of early-stage oral tongue cancer. Am J Surg Pathol 2019;43:1392–96.</w:t>
      </w:r>
    </w:p>
    <w:p w14:paraId="77819968" w14:textId="77777777" w:rsidR="007166A7" w:rsidRPr="003912A4" w:rsidRDefault="00441457">
      <w:pPr>
        <w:tabs>
          <w:tab w:val="left" w:pos="4820"/>
        </w:tabs>
        <w:rPr>
          <w:rFonts w:ascii="Times New Roman" w:hAnsi="Times New Roman"/>
          <w:lang w:val="en-GB"/>
        </w:rPr>
      </w:pPr>
      <w:r w:rsidRPr="003912A4">
        <w:rPr>
          <w:rFonts w:ascii="Times New Roman" w:hAnsi="Times New Roman"/>
          <w:lang w:val="en-GB"/>
        </w:rPr>
        <w:t>3. Bryne M. Is the invasive front of an oral carcinoma the most important area for prognostication? Oral Dis 1998;4:70–7.</w:t>
      </w:r>
    </w:p>
    <w:p w14:paraId="41E71AA7" w14:textId="77777777" w:rsidR="007166A7" w:rsidRPr="003912A4" w:rsidRDefault="00441457">
      <w:pPr>
        <w:tabs>
          <w:tab w:val="left" w:pos="4820"/>
        </w:tabs>
        <w:rPr>
          <w:rFonts w:ascii="Times New Roman" w:hAnsi="Times New Roman"/>
          <w:lang w:val="en-GB"/>
        </w:rPr>
      </w:pPr>
      <w:r w:rsidRPr="003912A4">
        <w:rPr>
          <w:rFonts w:ascii="Times New Roman" w:hAnsi="Times New Roman"/>
          <w:lang w:val="en-GB"/>
        </w:rPr>
        <w:t>4.</w:t>
      </w:r>
      <w:bookmarkStart w:id="6" w:name="_Hlk115160969"/>
      <w:r w:rsidRPr="003912A4">
        <w:rPr>
          <w:rFonts w:ascii="Times New Roman" w:hAnsi="Times New Roman"/>
          <w:lang w:val="en-GB"/>
        </w:rPr>
        <w:t xml:space="preserve"> Mughees M,</w:t>
      </w:r>
      <w:bookmarkEnd w:id="6"/>
      <w:r w:rsidRPr="003912A4">
        <w:rPr>
          <w:rFonts w:ascii="Times New Roman" w:hAnsi="Times New Roman"/>
          <w:lang w:val="en-GB"/>
        </w:rPr>
        <w:t> SenGupta A, Khowal S, Wajid S. Mechanism of tumour microenvironment in the progression and development of oral cancer. Mol Biol Rep 2021;48:1773–86.</w:t>
      </w:r>
    </w:p>
    <w:p w14:paraId="59F63F06" w14:textId="77777777" w:rsidR="007166A7" w:rsidRPr="003912A4" w:rsidRDefault="00441457">
      <w:pPr>
        <w:tabs>
          <w:tab w:val="left" w:pos="4820"/>
        </w:tabs>
        <w:rPr>
          <w:rFonts w:ascii="Times New Roman" w:hAnsi="Times New Roman"/>
          <w:lang w:val="en-GB"/>
        </w:rPr>
      </w:pPr>
      <w:r w:rsidRPr="003912A4">
        <w:rPr>
          <w:rFonts w:ascii="Times New Roman" w:hAnsi="Times New Roman"/>
          <w:lang w:val="en-GB"/>
        </w:rPr>
        <w:t>5.</w:t>
      </w:r>
      <w:bookmarkStart w:id="7" w:name="_Hlk115161291"/>
      <w:r w:rsidRPr="003912A4">
        <w:rPr>
          <w:rFonts w:ascii="Times New Roman" w:hAnsi="Times New Roman"/>
          <w:lang w:val="en-GB"/>
        </w:rPr>
        <w:t> Rakha EA</w:t>
      </w:r>
      <w:bookmarkEnd w:id="7"/>
      <w:r w:rsidRPr="003912A4">
        <w:rPr>
          <w:rFonts w:ascii="Times New Roman" w:hAnsi="Times New Roman"/>
          <w:lang w:val="en-GB"/>
        </w:rPr>
        <w:t>, Pinder SE, Bartlett JM, Ibrahim M, Starczynski J, Carder PJ, et al. Updated UK recommendations for HER2 assessment in breast cancer. J Clin Pathol 2015;68:93–9.</w:t>
      </w:r>
    </w:p>
    <w:p w14:paraId="56DCB886" w14:textId="77777777" w:rsidR="007166A7" w:rsidRPr="003912A4" w:rsidRDefault="007166A7">
      <w:pPr>
        <w:rPr>
          <w:rFonts w:ascii="Times New Roman" w:hAnsi="Times New Roman"/>
          <w:lang w:val="en-GB"/>
        </w:rPr>
      </w:pPr>
    </w:p>
    <w:sectPr w:rsidR="007166A7" w:rsidRPr="003912A4">
      <w:pgSz w:w="11906" w:h="16838"/>
      <w:pgMar w:top="1985" w:right="1701" w:bottom="1701" w:left="1701" w:header="720" w:footer="720"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8713D" w14:textId="77777777" w:rsidR="00B10C82" w:rsidRDefault="00B10C82">
      <w:r>
        <w:separator/>
      </w:r>
    </w:p>
  </w:endnote>
  <w:endnote w:type="continuationSeparator" w:id="0">
    <w:p w14:paraId="56CA362D" w14:textId="77777777" w:rsidR="00B10C82" w:rsidRDefault="00B1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9A8EE" w14:textId="77777777" w:rsidR="00B10C82" w:rsidRDefault="00B10C82">
      <w:r>
        <w:rPr>
          <w:color w:val="000000"/>
        </w:rPr>
        <w:separator/>
      </w:r>
    </w:p>
  </w:footnote>
  <w:footnote w:type="continuationSeparator" w:id="0">
    <w:p w14:paraId="583F129B" w14:textId="77777777" w:rsidR="00B10C82" w:rsidRDefault="00B10C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6A7"/>
    <w:rsid w:val="000832C5"/>
    <w:rsid w:val="000851AC"/>
    <w:rsid w:val="000B2194"/>
    <w:rsid w:val="00171ED3"/>
    <w:rsid w:val="001910B6"/>
    <w:rsid w:val="001914A9"/>
    <w:rsid w:val="001D2C79"/>
    <w:rsid w:val="00240316"/>
    <w:rsid w:val="002476AB"/>
    <w:rsid w:val="00250243"/>
    <w:rsid w:val="00327B9A"/>
    <w:rsid w:val="003912A4"/>
    <w:rsid w:val="003B65C2"/>
    <w:rsid w:val="00441457"/>
    <w:rsid w:val="00490DC4"/>
    <w:rsid w:val="0051041E"/>
    <w:rsid w:val="005709BF"/>
    <w:rsid w:val="006446F4"/>
    <w:rsid w:val="006F15C6"/>
    <w:rsid w:val="007166A7"/>
    <w:rsid w:val="0074769F"/>
    <w:rsid w:val="00787CC6"/>
    <w:rsid w:val="007E3487"/>
    <w:rsid w:val="00806B20"/>
    <w:rsid w:val="00852A25"/>
    <w:rsid w:val="00871B13"/>
    <w:rsid w:val="009625CE"/>
    <w:rsid w:val="00AA694E"/>
    <w:rsid w:val="00B103B6"/>
    <w:rsid w:val="00B10C82"/>
    <w:rsid w:val="00CA69C9"/>
    <w:rsid w:val="00CB4D47"/>
    <w:rsid w:val="00CF0D1D"/>
    <w:rsid w:val="00D73ED7"/>
    <w:rsid w:val="00D93CBD"/>
    <w:rsid w:val="00E35E86"/>
    <w:rsid w:val="00E63A33"/>
    <w:rsid w:val="00F62C75"/>
    <w:rsid w:val="00FD0896"/>
    <w:rsid w:val="00FE060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275C22"/>
  <w15:docId w15:val="{817BC24F-C298-46EA-9910-4C94F932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kern w:val="3"/>
        <w:sz w:val="21"/>
        <w:szCs w:val="22"/>
        <w:lang w:val="en-US" w:eastAsia="ja-JP"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rPr>
      <w:b/>
      <w:bCs/>
    </w:rPr>
  </w:style>
  <w:style w:type="paragraph" w:styleId="a4">
    <w:name w:val="header"/>
    <w:basedOn w:val="a"/>
    <w:pPr>
      <w:tabs>
        <w:tab w:val="center" w:pos="4252"/>
        <w:tab w:val="right" w:pos="8504"/>
      </w:tabs>
      <w:snapToGrid w:val="0"/>
    </w:pPr>
  </w:style>
  <w:style w:type="character" w:customStyle="1" w:styleId="a5">
    <w:name w:val="ヘッダー (文字)"/>
    <w:basedOn w:val="a0"/>
  </w:style>
  <w:style w:type="paragraph" w:styleId="a6">
    <w:name w:val="footer"/>
    <w:basedOn w:val="a"/>
    <w:pPr>
      <w:tabs>
        <w:tab w:val="center" w:pos="4252"/>
        <w:tab w:val="right" w:pos="8504"/>
      </w:tabs>
      <w:snapToGrid w:val="0"/>
    </w:pPr>
  </w:style>
  <w:style w:type="character" w:customStyle="1" w:styleId="a7">
    <w:name w:val="フッター (文字)"/>
    <w:basedOn w:val="a0"/>
  </w:style>
  <w:style w:type="character" w:styleId="a8">
    <w:name w:val="annotation reference"/>
    <w:basedOn w:val="a0"/>
    <w:uiPriority w:val="99"/>
    <w:semiHidden/>
    <w:unhideWhenUsed/>
    <w:rsid w:val="001D2C79"/>
    <w:rPr>
      <w:sz w:val="16"/>
      <w:szCs w:val="16"/>
    </w:rPr>
  </w:style>
  <w:style w:type="paragraph" w:styleId="a9">
    <w:name w:val="annotation text"/>
    <w:basedOn w:val="a"/>
    <w:link w:val="aa"/>
    <w:uiPriority w:val="99"/>
    <w:semiHidden/>
    <w:unhideWhenUsed/>
    <w:rsid w:val="001D2C79"/>
    <w:rPr>
      <w:sz w:val="20"/>
      <w:szCs w:val="20"/>
    </w:rPr>
  </w:style>
  <w:style w:type="character" w:customStyle="1" w:styleId="aa">
    <w:name w:val="コメント文字列 (文字)"/>
    <w:basedOn w:val="a0"/>
    <w:link w:val="a9"/>
    <w:uiPriority w:val="99"/>
    <w:semiHidden/>
    <w:rsid w:val="001D2C79"/>
    <w:rPr>
      <w:sz w:val="20"/>
      <w:szCs w:val="20"/>
    </w:rPr>
  </w:style>
  <w:style w:type="paragraph" w:styleId="ab">
    <w:name w:val="annotation subject"/>
    <w:basedOn w:val="a9"/>
    <w:next w:val="a9"/>
    <w:link w:val="ac"/>
    <w:uiPriority w:val="99"/>
    <w:semiHidden/>
    <w:unhideWhenUsed/>
    <w:rsid w:val="001D2C79"/>
    <w:rPr>
      <w:b/>
      <w:bCs/>
    </w:rPr>
  </w:style>
  <w:style w:type="character" w:customStyle="1" w:styleId="ac">
    <w:name w:val="コメント内容 (文字)"/>
    <w:basedOn w:val="aa"/>
    <w:link w:val="ab"/>
    <w:uiPriority w:val="99"/>
    <w:semiHidden/>
    <w:rsid w:val="001D2C79"/>
    <w:rPr>
      <w:b/>
      <w:bCs/>
      <w:sz w:val="20"/>
      <w:szCs w:val="20"/>
    </w:rPr>
  </w:style>
  <w:style w:type="paragraph" w:styleId="ad">
    <w:name w:val="Balloon Text"/>
    <w:basedOn w:val="a"/>
    <w:link w:val="ae"/>
    <w:uiPriority w:val="99"/>
    <w:semiHidden/>
    <w:unhideWhenUsed/>
    <w:rsid w:val="001D2C79"/>
    <w:rPr>
      <w:rFonts w:ascii="Segoe UI" w:hAnsi="Segoe UI" w:cs="Segoe UI"/>
      <w:sz w:val="18"/>
      <w:szCs w:val="18"/>
    </w:rPr>
  </w:style>
  <w:style w:type="character" w:customStyle="1" w:styleId="ae">
    <w:name w:val="吹き出し (文字)"/>
    <w:basedOn w:val="a0"/>
    <w:link w:val="ad"/>
    <w:uiPriority w:val="99"/>
    <w:semiHidden/>
    <w:rsid w:val="001D2C79"/>
    <w:rPr>
      <w:rFonts w:ascii="Segoe UI" w:hAnsi="Segoe UI" w:cs="Segoe UI"/>
      <w:sz w:val="18"/>
      <w:szCs w:val="18"/>
    </w:rPr>
  </w:style>
  <w:style w:type="character" w:styleId="af">
    <w:name w:val="Hyperlink"/>
    <w:uiPriority w:val="99"/>
    <w:unhideWhenUsed/>
    <w:rsid w:val="006446F4"/>
    <w:rPr>
      <w:color w:val="0000FF"/>
      <w:u w:val="single"/>
    </w:rPr>
  </w:style>
  <w:style w:type="character" w:styleId="af0">
    <w:name w:val="line number"/>
    <w:basedOn w:val="a0"/>
    <w:uiPriority w:val="99"/>
    <w:semiHidden/>
    <w:unhideWhenUsed/>
    <w:rsid w:val="006446F4"/>
  </w:style>
  <w:style w:type="paragraph" w:styleId="af1">
    <w:name w:val="Revision"/>
    <w:hidden/>
    <w:uiPriority w:val="99"/>
    <w:semiHidden/>
    <w:rsid w:val="00250243"/>
    <w:pPr>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百合</dc:creator>
  <dc:description/>
  <cp:lastModifiedBy>野田 百合</cp:lastModifiedBy>
  <cp:revision>32</cp:revision>
  <dcterms:created xsi:type="dcterms:W3CDTF">2022-11-17T01:05:00Z</dcterms:created>
  <dcterms:modified xsi:type="dcterms:W3CDTF">2022-12-03T03:04:00Z</dcterms:modified>
</cp:coreProperties>
</file>