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488D1" w14:textId="77777777" w:rsidR="00D31DB7" w:rsidRPr="00E169B9" w:rsidRDefault="00E169B9">
      <w:pPr>
        <w:rPr>
          <w:rFonts w:ascii="Times New Roman" w:hAnsi="Times New Roman" w:cs="Times New Roman"/>
          <w:b/>
          <w:sz w:val="24"/>
        </w:rPr>
      </w:pPr>
      <w:r w:rsidRPr="00E169B9">
        <w:rPr>
          <w:rFonts w:ascii="Times New Roman" w:hAnsi="Times New Roman" w:cs="Times New Roman"/>
          <w:b/>
          <w:sz w:val="24"/>
        </w:rPr>
        <w:t xml:space="preserve">Supplementary information </w:t>
      </w:r>
    </w:p>
    <w:p w14:paraId="7071A96B" w14:textId="77777777" w:rsidR="00E169B9" w:rsidRPr="002A301A" w:rsidRDefault="00E169B9" w:rsidP="00E169B9">
      <w:pPr>
        <w:autoSpaceDE w:val="0"/>
        <w:autoSpaceDN w:val="0"/>
        <w:adjustRightInd w:val="0"/>
        <w:spacing w:beforeLines="50" w:before="156" w:afterLines="50" w:after="156"/>
        <w:jc w:val="center"/>
        <w:rPr>
          <w:rFonts w:ascii="Times New Roman" w:hAnsi="Times New Roman" w:cs="Times New Roman"/>
          <w:b/>
          <w:kern w:val="0"/>
          <w:sz w:val="32"/>
          <w:szCs w:val="24"/>
        </w:rPr>
      </w:pPr>
      <w:r w:rsidRPr="009C1FF8">
        <w:rPr>
          <w:rFonts w:ascii="Times New Roman" w:hAnsi="Times New Roman" w:cs="Times New Roman"/>
          <w:b/>
          <w:kern w:val="0"/>
          <w:sz w:val="32"/>
          <w:szCs w:val="24"/>
        </w:rPr>
        <w:t>Photonic higher-order topological insulator with enlarged non-trivial bandgap</w:t>
      </w:r>
      <w:r>
        <w:rPr>
          <w:rFonts w:ascii="Times New Roman" w:hAnsi="Times New Roman" w:cs="Times New Roman" w:hint="eastAsia"/>
          <w:b/>
          <w:kern w:val="0"/>
          <w:sz w:val="32"/>
          <w:szCs w:val="24"/>
        </w:rPr>
        <w:t>s</w:t>
      </w:r>
    </w:p>
    <w:p w14:paraId="537D5280" w14:textId="1249B526" w:rsidR="00E169B9" w:rsidRPr="00853679" w:rsidRDefault="00E169B9" w:rsidP="00E169B9">
      <w:pPr>
        <w:autoSpaceDE w:val="0"/>
        <w:autoSpaceDN w:val="0"/>
        <w:adjustRightInd w:val="0"/>
        <w:jc w:val="center"/>
        <w:rPr>
          <w:rFonts w:ascii="Times New Roman" w:hAnsi="Times New Roman" w:cs="Times New Roman"/>
          <w:kern w:val="0"/>
          <w:sz w:val="24"/>
          <w:szCs w:val="24"/>
          <w:vertAlign w:val="superscript"/>
        </w:rPr>
      </w:pPr>
      <w:r w:rsidRPr="00853679">
        <w:rPr>
          <w:rFonts w:ascii="Times New Roman" w:hAnsi="Times New Roman" w:cs="Times New Roman"/>
          <w:kern w:val="0"/>
          <w:sz w:val="24"/>
          <w:szCs w:val="24"/>
        </w:rPr>
        <w:t>Yuexin Zhang</w:t>
      </w:r>
      <w:r w:rsidR="00047007">
        <w:rPr>
          <w:rFonts w:ascii="Times New Roman" w:hAnsi="Times New Roman" w:cs="Times New Roman" w:hint="eastAsia"/>
          <w:kern w:val="0"/>
          <w:sz w:val="24"/>
          <w:szCs w:val="24"/>
        </w:rPr>
        <w:t>,</w:t>
      </w:r>
      <w:r w:rsidR="00047007">
        <w:rPr>
          <w:rFonts w:ascii="Times New Roman" w:hAnsi="Times New Roman" w:cs="Times New Roman"/>
          <w:kern w:val="0"/>
          <w:sz w:val="24"/>
          <w:szCs w:val="24"/>
        </w:rPr>
        <w:t xml:space="preserve"> Xiaoyu Dai, </w:t>
      </w:r>
      <w:r w:rsidRPr="00853679">
        <w:rPr>
          <w:rFonts w:ascii="Times New Roman" w:hAnsi="Times New Roman" w:cs="Times New Roman"/>
          <w:kern w:val="0"/>
          <w:sz w:val="24"/>
          <w:szCs w:val="24"/>
        </w:rPr>
        <w:t>and Yuanjiang Xiang</w:t>
      </w:r>
      <w:r w:rsidRPr="00853679">
        <w:rPr>
          <w:rFonts w:ascii="Times New Roman" w:hAnsi="Times New Roman" w:cs="Times New Roman"/>
          <w:kern w:val="0"/>
          <w:sz w:val="24"/>
          <w:szCs w:val="24"/>
          <w:vertAlign w:val="superscript"/>
        </w:rPr>
        <w:t>*</w:t>
      </w:r>
    </w:p>
    <w:p w14:paraId="09D2D03F" w14:textId="30B739B0" w:rsidR="00E169B9" w:rsidRPr="009C1FF8" w:rsidRDefault="00E169B9" w:rsidP="00E169B9">
      <w:pPr>
        <w:autoSpaceDE w:val="0"/>
        <w:autoSpaceDN w:val="0"/>
        <w:adjustRightInd w:val="0"/>
        <w:jc w:val="center"/>
        <w:rPr>
          <w:rFonts w:ascii="Times New Roman" w:hAnsi="Times New Roman" w:cs="Times New Roman"/>
          <w:i/>
          <w:kern w:val="0"/>
          <w:szCs w:val="21"/>
        </w:rPr>
      </w:pPr>
      <w:r w:rsidRPr="009C1FF8">
        <w:rPr>
          <w:rFonts w:ascii="Times New Roman" w:hAnsi="Times New Roman" w:cs="Times New Roman"/>
          <w:i/>
          <w:kern w:val="0"/>
          <w:szCs w:val="21"/>
        </w:rPr>
        <w:t>School of Physics and Electronics, Hunan University, Changsha 410082, China</w:t>
      </w:r>
    </w:p>
    <w:p w14:paraId="778BA8E5" w14:textId="77777777" w:rsidR="00E169B9" w:rsidRDefault="00000000" w:rsidP="00E169B9">
      <w:pPr>
        <w:autoSpaceDE w:val="0"/>
        <w:autoSpaceDN w:val="0"/>
        <w:adjustRightInd w:val="0"/>
        <w:jc w:val="center"/>
        <w:rPr>
          <w:rStyle w:val="a7"/>
          <w:rFonts w:ascii="Times New Roman" w:hAnsi="Times New Roman" w:cs="Times New Roman"/>
          <w:i/>
          <w:kern w:val="0"/>
          <w:sz w:val="22"/>
          <w:szCs w:val="24"/>
        </w:rPr>
      </w:pPr>
      <w:hyperlink r:id="rId6" w:history="1">
        <w:r w:rsidR="00E169B9" w:rsidRPr="00946829">
          <w:rPr>
            <w:rStyle w:val="a7"/>
            <w:rFonts w:ascii="Times New Roman" w:hAnsi="Times New Roman" w:cs="Times New Roman"/>
            <w:i/>
            <w:kern w:val="0"/>
            <w:sz w:val="24"/>
            <w:szCs w:val="24"/>
            <w:vertAlign w:val="superscript"/>
          </w:rPr>
          <w:t>*</w:t>
        </w:r>
        <w:r w:rsidR="00E169B9" w:rsidRPr="00946829">
          <w:rPr>
            <w:rStyle w:val="a7"/>
            <w:rFonts w:ascii="Times New Roman" w:hAnsi="Times New Roman" w:cs="Times New Roman"/>
            <w:i/>
            <w:kern w:val="0"/>
            <w:sz w:val="22"/>
            <w:szCs w:val="24"/>
          </w:rPr>
          <w:t>xiangyuanjiang@126.com</w:t>
        </w:r>
      </w:hyperlink>
    </w:p>
    <w:p w14:paraId="43DB593E" w14:textId="77777777" w:rsidR="00E169B9" w:rsidRDefault="00E169B9" w:rsidP="00E169B9">
      <w:pPr>
        <w:autoSpaceDE w:val="0"/>
        <w:autoSpaceDN w:val="0"/>
        <w:adjustRightInd w:val="0"/>
        <w:rPr>
          <w:rStyle w:val="a7"/>
          <w:rFonts w:ascii="Times New Roman" w:hAnsi="Times New Roman" w:cs="Times New Roman"/>
          <w:kern w:val="0"/>
          <w:sz w:val="22"/>
          <w:szCs w:val="24"/>
        </w:rPr>
      </w:pPr>
    </w:p>
    <w:p w14:paraId="50FB89B2" w14:textId="77777777" w:rsidR="00E169B9" w:rsidRDefault="00E169B9" w:rsidP="00E169B9">
      <w:pPr>
        <w:autoSpaceDE w:val="0"/>
        <w:autoSpaceDN w:val="0"/>
        <w:adjustRightInd w:val="0"/>
        <w:spacing w:beforeLines="50" w:before="156" w:afterLines="50" w:after="156"/>
        <w:rPr>
          <w:rFonts w:ascii="Times New Roman" w:hAnsi="Times New Roman" w:cs="Times New Roman"/>
          <w:kern w:val="0"/>
          <w:sz w:val="24"/>
          <w:szCs w:val="24"/>
        </w:rPr>
      </w:pPr>
      <w:r>
        <w:rPr>
          <w:rFonts w:ascii="Times New Roman" w:hAnsi="Times New Roman" w:cs="Times New Roman"/>
          <w:b/>
          <w:kern w:val="0"/>
          <w:sz w:val="24"/>
          <w:szCs w:val="24"/>
        </w:rPr>
        <w:t xml:space="preserve">Simulations of hinge and surface waves in </w:t>
      </w:r>
      <w:r w:rsidRPr="00E169B9">
        <w:rPr>
          <w:rFonts w:ascii="Times New Roman" w:hAnsi="Times New Roman" w:cs="Times New Roman"/>
          <w:b/>
          <w:kern w:val="0"/>
          <w:sz w:val="24"/>
          <w:szCs w:val="24"/>
        </w:rPr>
        <w:t>parallelogram-shaped</w:t>
      </w:r>
      <w:r>
        <w:rPr>
          <w:rFonts w:ascii="Times New Roman" w:hAnsi="Times New Roman" w:cs="Times New Roman"/>
          <w:b/>
          <w:kern w:val="0"/>
          <w:sz w:val="24"/>
          <w:szCs w:val="24"/>
        </w:rPr>
        <w:t xml:space="preserve"> architectures</w:t>
      </w:r>
    </w:p>
    <w:p w14:paraId="5CDE5A43" w14:textId="77777777" w:rsidR="00E169B9" w:rsidRPr="00DF497D" w:rsidRDefault="00E169B9" w:rsidP="00E169B9">
      <w:pPr>
        <w:autoSpaceDE w:val="0"/>
        <w:autoSpaceDN w:val="0"/>
        <w:adjustRightInd w:val="0"/>
        <w:ind w:firstLineChars="200" w:firstLine="480"/>
        <w:rPr>
          <w:rFonts w:ascii="Times New Roman" w:hAnsi="Times New Roman" w:cs="Times New Roman"/>
          <w:kern w:val="0"/>
          <w:sz w:val="24"/>
          <w:szCs w:val="24"/>
        </w:rPr>
      </w:pPr>
      <w:r>
        <w:rPr>
          <w:rFonts w:ascii="Times New Roman" w:hAnsi="Times New Roman" w:cs="Times New Roman"/>
          <w:kern w:val="0"/>
          <w:sz w:val="24"/>
          <w:szCs w:val="24"/>
        </w:rPr>
        <w:t>Here w</w:t>
      </w:r>
      <w:r w:rsidRPr="006B37FE">
        <w:rPr>
          <w:rFonts w:ascii="Times New Roman" w:hAnsi="Times New Roman" w:cs="Times New Roman"/>
          <w:kern w:val="0"/>
          <w:sz w:val="24"/>
          <w:szCs w:val="24"/>
        </w:rPr>
        <w:t>e discuss another</w:t>
      </w:r>
      <w:r>
        <w:rPr>
          <w:rFonts w:ascii="Times New Roman" w:hAnsi="Times New Roman" w:cs="Times New Roman"/>
          <w:kern w:val="0"/>
          <w:sz w:val="24"/>
          <w:szCs w:val="24"/>
        </w:rPr>
        <w:t xml:space="preserve"> geometrical framework that</w:t>
      </w:r>
      <w:r w:rsidRPr="006B37FE">
        <w:rPr>
          <w:rFonts w:ascii="Times New Roman" w:hAnsi="Times New Roman" w:cs="Times New Roman"/>
          <w:kern w:val="0"/>
          <w:sz w:val="24"/>
          <w:szCs w:val="24"/>
        </w:rPr>
        <w:t xml:space="preserve"> hosts localized hinge and surface states in a multilayer parallelogram-shaped with two pairs of obtuse-angled corners and acute-angled ones. As displayed in Fig. </w:t>
      </w:r>
      <w:r>
        <w:rPr>
          <w:rFonts w:ascii="Times New Roman" w:hAnsi="Times New Roman" w:cs="Times New Roman"/>
          <w:kern w:val="0"/>
          <w:sz w:val="24"/>
          <w:szCs w:val="24"/>
        </w:rPr>
        <w:t>S1</w:t>
      </w:r>
      <w:r w:rsidRPr="006B37FE">
        <w:rPr>
          <w:rFonts w:ascii="Times New Roman" w:hAnsi="Times New Roman" w:cs="Times New Roman"/>
          <w:kern w:val="0"/>
          <w:sz w:val="24"/>
          <w:szCs w:val="24"/>
        </w:rPr>
        <w:t>(b), the monolayer meta-cell in the XY-plane consists of a 5×5 photonic PhCs covered by two d</w:t>
      </w:r>
      <w:r>
        <w:rPr>
          <w:rFonts w:ascii="Times New Roman" w:hAnsi="Times New Roman" w:cs="Times New Roman"/>
          <w:kern w:val="0"/>
          <w:sz w:val="24"/>
          <w:szCs w:val="24"/>
        </w:rPr>
        <w:t>rilled parallelogram PEC plates</w:t>
      </w:r>
      <w:r w:rsidRPr="006B37FE">
        <w:rPr>
          <w:rFonts w:ascii="Times New Roman" w:hAnsi="Times New Roman" w:cs="Times New Roman"/>
          <w:kern w:val="0"/>
          <w:sz w:val="24"/>
          <w:szCs w:val="24"/>
        </w:rPr>
        <w:t xml:space="preserve">. Fig. </w:t>
      </w:r>
      <w:r>
        <w:rPr>
          <w:rFonts w:ascii="Times New Roman" w:hAnsi="Times New Roman" w:cs="Times New Roman"/>
          <w:kern w:val="0"/>
          <w:sz w:val="24"/>
          <w:szCs w:val="24"/>
        </w:rPr>
        <w:t>S1</w:t>
      </w:r>
      <w:r w:rsidRPr="006B37FE">
        <w:rPr>
          <w:rFonts w:ascii="Times New Roman" w:hAnsi="Times New Roman" w:cs="Times New Roman"/>
          <w:kern w:val="0"/>
          <w:sz w:val="24"/>
          <w:szCs w:val="24"/>
        </w:rPr>
        <w:t xml:space="preserve">(a) and </w:t>
      </w:r>
      <w:r>
        <w:rPr>
          <w:rFonts w:ascii="Times New Roman" w:hAnsi="Times New Roman" w:cs="Times New Roman"/>
          <w:kern w:val="0"/>
          <w:sz w:val="24"/>
          <w:szCs w:val="24"/>
        </w:rPr>
        <w:t>S1</w:t>
      </w:r>
      <w:r w:rsidRPr="006B37FE">
        <w:rPr>
          <w:rFonts w:ascii="Times New Roman" w:hAnsi="Times New Roman" w:cs="Times New Roman"/>
          <w:kern w:val="0"/>
          <w:sz w:val="24"/>
          <w:szCs w:val="24"/>
        </w:rPr>
        <w:t xml:space="preserve">(b) give the bulk spectrum of the 2D meta-lattice along the </w:t>
      </w:r>
      <w:r w:rsidRPr="006B37FE">
        <w:rPr>
          <w:rFonts w:ascii="Times New Roman" w:hAnsi="Times New Roman" w:cs="Times New Roman"/>
          <w:i/>
          <w:kern w:val="0"/>
          <w:sz w:val="24"/>
          <w:szCs w:val="24"/>
        </w:rPr>
        <w:t>k</w:t>
      </w:r>
      <w:r w:rsidRPr="006B37FE">
        <w:rPr>
          <w:rFonts w:ascii="Times New Roman" w:hAnsi="Times New Roman" w:cs="Times New Roman"/>
          <w:i/>
          <w:kern w:val="0"/>
          <w:sz w:val="24"/>
          <w:szCs w:val="24"/>
          <w:vertAlign w:val="subscript"/>
        </w:rPr>
        <w:t>z</w:t>
      </w:r>
      <w:r w:rsidRPr="006B37FE">
        <w:rPr>
          <w:rFonts w:ascii="Times New Roman" w:hAnsi="Times New Roman" w:cs="Times New Roman"/>
          <w:kern w:val="0"/>
          <w:sz w:val="24"/>
          <w:szCs w:val="24"/>
        </w:rPr>
        <w:t xml:space="preserve"> direction and the eigenmode solution</w:t>
      </w:r>
      <w:r>
        <w:rPr>
          <w:rFonts w:ascii="Times New Roman" w:hAnsi="Times New Roman" w:cs="Times New Roman"/>
          <w:kern w:val="0"/>
          <w:sz w:val="24"/>
          <w:szCs w:val="24"/>
        </w:rPr>
        <w:t>s</w:t>
      </w:r>
      <w:r w:rsidRPr="006B37FE">
        <w:rPr>
          <w:rFonts w:ascii="Times New Roman" w:hAnsi="Times New Roman" w:cs="Times New Roman"/>
          <w:kern w:val="0"/>
          <w:sz w:val="24"/>
          <w:szCs w:val="24"/>
        </w:rPr>
        <w:t>, respectively. Similar to the computation result in the hexagonal sample, the well-distinguished hinge and surface states sustai</w:t>
      </w:r>
      <w:r>
        <w:rPr>
          <w:rFonts w:ascii="Times New Roman" w:hAnsi="Times New Roman" w:cs="Times New Roman"/>
          <w:kern w:val="0"/>
          <w:sz w:val="24"/>
          <w:szCs w:val="24"/>
        </w:rPr>
        <w:t xml:space="preserve">n among the large bulk bandgap. In contrast, </w:t>
      </w:r>
      <w:r w:rsidRPr="006B37FE">
        <w:rPr>
          <w:rFonts w:ascii="Times New Roman" w:hAnsi="Times New Roman" w:cs="Times New Roman"/>
          <w:kern w:val="0"/>
          <w:sz w:val="24"/>
          <w:szCs w:val="24"/>
        </w:rPr>
        <w:t xml:space="preserve">two surface state spectrums wrap the lower hinge modes. In particular, we set two scattering boundary conditions on the two edges, and the other two edges are imposed with PEC plates to strengthen the hinge mode reflections. When EM waves reach the two open boundaries, they will directly exit the sample rather than coupling with the PhC array again. Therefore, we could find only two pairs of three upper and lower hinge modes in Fig. </w:t>
      </w:r>
      <w:r w:rsidR="003A5094">
        <w:rPr>
          <w:rFonts w:ascii="Times New Roman" w:hAnsi="Times New Roman" w:cs="Times New Roman"/>
          <w:kern w:val="0"/>
          <w:sz w:val="24"/>
          <w:szCs w:val="24"/>
        </w:rPr>
        <w:t>S1</w:t>
      </w:r>
      <w:r w:rsidRPr="006B37FE">
        <w:rPr>
          <w:rFonts w:ascii="Times New Roman" w:hAnsi="Times New Roman" w:cs="Times New Roman"/>
          <w:kern w:val="0"/>
          <w:sz w:val="24"/>
          <w:szCs w:val="24"/>
        </w:rPr>
        <w:t>(b). We intercept the |</w:t>
      </w:r>
      <w:r w:rsidRPr="006B37FE">
        <w:rPr>
          <w:rFonts w:ascii="Times New Roman" w:hAnsi="Times New Roman" w:cs="Times New Roman"/>
          <w:i/>
          <w:kern w:val="0"/>
          <w:sz w:val="24"/>
          <w:szCs w:val="24"/>
        </w:rPr>
        <w:t>E</w:t>
      </w:r>
      <w:r w:rsidRPr="006B37FE">
        <w:rPr>
          <w:rFonts w:ascii="Times New Roman" w:hAnsi="Times New Roman" w:cs="Times New Roman"/>
          <w:i/>
          <w:kern w:val="0"/>
          <w:sz w:val="24"/>
          <w:szCs w:val="24"/>
          <w:vertAlign w:val="subscript"/>
        </w:rPr>
        <w:t>z</w:t>
      </w:r>
      <w:r w:rsidRPr="006B37FE">
        <w:rPr>
          <w:rFonts w:ascii="Times New Roman" w:hAnsi="Times New Roman" w:cs="Times New Roman"/>
          <w:kern w:val="0"/>
          <w:sz w:val="24"/>
          <w:szCs w:val="24"/>
        </w:rPr>
        <w:t xml:space="preserve">| field distributions of the hinge (9.35, 9.25, 9.21 GHz) and surface states (9.59, 9.45, 9.55 GHz) at </w:t>
      </w:r>
      <w:r w:rsidRPr="006B37FE">
        <w:rPr>
          <w:rFonts w:ascii="Times New Roman" w:hAnsi="Times New Roman" w:cs="Times New Roman"/>
          <w:i/>
          <w:kern w:val="0"/>
          <w:sz w:val="24"/>
          <w:szCs w:val="24"/>
        </w:rPr>
        <w:t>k</w:t>
      </w:r>
      <w:r w:rsidRPr="006B37FE">
        <w:rPr>
          <w:rFonts w:ascii="Times New Roman" w:hAnsi="Times New Roman" w:cs="Times New Roman"/>
          <w:i/>
          <w:kern w:val="0"/>
          <w:sz w:val="24"/>
          <w:szCs w:val="24"/>
          <w:vertAlign w:val="subscript"/>
        </w:rPr>
        <w:t>z</w:t>
      </w:r>
      <w:r w:rsidRPr="006B37FE">
        <w:rPr>
          <w:rFonts w:ascii="Times New Roman" w:hAnsi="Times New Roman" w:cs="Times New Roman"/>
          <w:kern w:val="0"/>
          <w:sz w:val="24"/>
          <w:szCs w:val="24"/>
        </w:rPr>
        <w:t xml:space="preserve"> = 0.2, 0.6, and 0.9 p/h in the lower panel of Fig. </w:t>
      </w:r>
      <w:r>
        <w:rPr>
          <w:rFonts w:ascii="Times New Roman" w:hAnsi="Times New Roman" w:cs="Times New Roman"/>
          <w:kern w:val="0"/>
          <w:sz w:val="24"/>
          <w:szCs w:val="24"/>
        </w:rPr>
        <w:t>S1</w:t>
      </w:r>
      <w:r w:rsidRPr="006B37FE">
        <w:rPr>
          <w:rFonts w:ascii="Times New Roman" w:hAnsi="Times New Roman" w:cs="Times New Roman"/>
          <w:kern w:val="0"/>
          <w:sz w:val="24"/>
          <w:szCs w:val="24"/>
        </w:rPr>
        <w:t xml:space="preserve"> (c). Both strongly localized hinge and surface state field distributions are found at these frequencies.</w:t>
      </w:r>
    </w:p>
    <w:p w14:paraId="5939AC0F" w14:textId="77777777" w:rsidR="00E169B9" w:rsidRDefault="00E169B9" w:rsidP="00E169B9">
      <w:pPr>
        <w:autoSpaceDE w:val="0"/>
        <w:autoSpaceDN w:val="0"/>
        <w:adjustRightInd w:val="0"/>
        <w:ind w:firstLineChars="200" w:firstLine="480"/>
        <w:rPr>
          <w:rFonts w:ascii="Times New Roman" w:hAnsi="Times New Roman" w:cs="Times New Roman"/>
          <w:kern w:val="0"/>
          <w:sz w:val="24"/>
          <w:szCs w:val="24"/>
        </w:rPr>
      </w:pPr>
      <w:r w:rsidRPr="006B37FE">
        <w:rPr>
          <w:rFonts w:ascii="Times New Roman" w:hAnsi="Times New Roman" w:cs="Times New Roman"/>
          <w:kern w:val="0"/>
          <w:sz w:val="24"/>
          <w:szCs w:val="24"/>
        </w:rPr>
        <w:t xml:space="preserve">Finally, we establish a sample with ten layers of parallelogram-shaped PhC meta-cell, as illustrated in Fig. </w:t>
      </w:r>
      <w:r>
        <w:rPr>
          <w:rFonts w:ascii="Times New Roman" w:hAnsi="Times New Roman" w:cs="Times New Roman"/>
          <w:kern w:val="0"/>
          <w:sz w:val="24"/>
          <w:szCs w:val="24"/>
        </w:rPr>
        <w:t>S2</w:t>
      </w:r>
      <w:r w:rsidRPr="006B37FE">
        <w:rPr>
          <w:rFonts w:ascii="Times New Roman" w:hAnsi="Times New Roman" w:cs="Times New Roman"/>
          <w:kern w:val="0"/>
          <w:sz w:val="24"/>
          <w:szCs w:val="24"/>
        </w:rPr>
        <w:t>(a). The two side surfaces are still selected as non-PEC co</w:t>
      </w:r>
      <w:r>
        <w:rPr>
          <w:rFonts w:ascii="Times New Roman" w:hAnsi="Times New Roman" w:cs="Times New Roman"/>
          <w:kern w:val="0"/>
          <w:sz w:val="24"/>
          <w:szCs w:val="24"/>
        </w:rPr>
        <w:t>nditions to block the reflection</w:t>
      </w:r>
      <w:r w:rsidRPr="006B37FE">
        <w:rPr>
          <w:rFonts w:ascii="Times New Roman" w:hAnsi="Times New Roman" w:cs="Times New Roman"/>
          <w:kern w:val="0"/>
          <w:sz w:val="24"/>
          <w:szCs w:val="24"/>
        </w:rPr>
        <w:t xml:space="preserve"> of EM waves. A point source is placed near the middle of the hinge to excite EM waves. For the hinge (surface) states, we choose the excitation frequency of 9.8 (10.2) GHz as we implement in the hexagonal-shaped work. Fig. </w:t>
      </w:r>
      <w:r>
        <w:rPr>
          <w:rFonts w:ascii="Times New Roman" w:hAnsi="Times New Roman" w:cs="Times New Roman"/>
          <w:kern w:val="0"/>
          <w:sz w:val="24"/>
          <w:szCs w:val="24"/>
        </w:rPr>
        <w:t>S2</w:t>
      </w:r>
      <w:r w:rsidRPr="006B37FE">
        <w:rPr>
          <w:rFonts w:ascii="Times New Roman" w:hAnsi="Times New Roman" w:cs="Times New Roman"/>
          <w:kern w:val="0"/>
          <w:sz w:val="24"/>
          <w:szCs w:val="24"/>
        </w:rPr>
        <w:t xml:space="preserve">(b) presents the hinge and surface modes distributions at layers 1, 4, 7, and 10 (counting from the top layer of the sample), respectively. It is witnessed in Fig. </w:t>
      </w:r>
      <w:r>
        <w:rPr>
          <w:rFonts w:ascii="Times New Roman" w:hAnsi="Times New Roman" w:cs="Times New Roman"/>
          <w:kern w:val="0"/>
          <w:sz w:val="24"/>
          <w:szCs w:val="24"/>
        </w:rPr>
        <w:t>S2</w:t>
      </w:r>
      <w:r w:rsidRPr="006B37FE">
        <w:rPr>
          <w:rFonts w:ascii="Times New Roman" w:hAnsi="Times New Roman" w:cs="Times New Roman"/>
          <w:kern w:val="0"/>
          <w:sz w:val="24"/>
          <w:szCs w:val="24"/>
        </w:rPr>
        <w:t>(b) that the hinge states are well-gathered on the hinge of the PEC enclosed boundary, and the same case for the tightly limited surface waves, suggesting the performance of our framework.</w:t>
      </w:r>
    </w:p>
    <w:p w14:paraId="148A8E9F" w14:textId="77777777" w:rsidR="00E169B9" w:rsidRPr="00853679" w:rsidRDefault="00001122" w:rsidP="00E169B9">
      <w:pPr>
        <w:autoSpaceDE w:val="0"/>
        <w:autoSpaceDN w:val="0"/>
        <w:adjustRightInd w:val="0"/>
        <w:spacing w:beforeLines="50" w:before="156"/>
        <w:jc w:val="center"/>
        <w:rPr>
          <w:rFonts w:ascii="Times New Roman" w:hAnsi="Times New Roman" w:cs="Times New Roman"/>
          <w:kern w:val="0"/>
          <w:sz w:val="24"/>
          <w:szCs w:val="24"/>
        </w:rPr>
      </w:pPr>
      <w:r w:rsidRPr="00001122">
        <w:rPr>
          <w:rFonts w:ascii="Times New Roman" w:hAnsi="Times New Roman" w:cs="Times New Roman"/>
          <w:noProof/>
          <w:kern w:val="0"/>
          <w:sz w:val="24"/>
          <w:szCs w:val="24"/>
        </w:rPr>
        <w:lastRenderedPageBreak/>
        <w:drawing>
          <wp:inline distT="0" distB="0" distL="0" distR="0" wp14:anchorId="03E2EEBB" wp14:editId="33ED2452">
            <wp:extent cx="4433687" cy="3615624"/>
            <wp:effectExtent l="0" t="0" r="5080" b="4445"/>
            <wp:docPr id="1" name="图片 1" descr="E:\发表论文\6th paper C6 corner-valley\Figures\Figure7\fi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发表论文\6th paper C6 corner-valley\Figures\Figure7\fig.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34991" cy="3616687"/>
                    </a:xfrm>
                    <a:prstGeom prst="rect">
                      <a:avLst/>
                    </a:prstGeom>
                    <a:noFill/>
                    <a:ln>
                      <a:noFill/>
                    </a:ln>
                  </pic:spPr>
                </pic:pic>
              </a:graphicData>
            </a:graphic>
          </wp:inline>
        </w:drawing>
      </w:r>
    </w:p>
    <w:p w14:paraId="228E3511" w14:textId="77777777" w:rsidR="00E169B9" w:rsidRPr="005A66EA" w:rsidRDefault="00E169B9" w:rsidP="005A66EA">
      <w:pPr>
        <w:autoSpaceDE w:val="0"/>
        <w:autoSpaceDN w:val="0"/>
        <w:adjustRightInd w:val="0"/>
        <w:spacing w:beforeLines="50" w:before="156" w:afterLines="50" w:after="156" w:line="240" w:lineRule="exact"/>
        <w:rPr>
          <w:rFonts w:ascii="Times New Roman" w:hAnsi="Times New Roman" w:cs="Times New Roman"/>
          <w:kern w:val="0"/>
          <w:szCs w:val="24"/>
        </w:rPr>
      </w:pPr>
      <w:r w:rsidRPr="00110CB2">
        <w:rPr>
          <w:rFonts w:ascii="Times New Roman" w:hAnsi="Times New Roman" w:cs="Times New Roman"/>
          <w:b/>
          <w:kern w:val="0"/>
          <w:szCs w:val="24"/>
        </w:rPr>
        <w:t xml:space="preserve">Figure </w:t>
      </w:r>
      <w:r>
        <w:rPr>
          <w:rFonts w:ascii="Times New Roman" w:hAnsi="Times New Roman" w:cs="Times New Roman"/>
          <w:b/>
          <w:kern w:val="0"/>
          <w:szCs w:val="24"/>
        </w:rPr>
        <w:t>S1</w:t>
      </w:r>
      <w:r w:rsidRPr="00110CB2">
        <w:rPr>
          <w:rFonts w:ascii="Times New Roman" w:hAnsi="Times New Roman" w:cs="Times New Roman"/>
          <w:b/>
          <w:kern w:val="0"/>
          <w:szCs w:val="24"/>
        </w:rPr>
        <w:t>.</w:t>
      </w:r>
      <w:r w:rsidRPr="00110CB2">
        <w:rPr>
          <w:rFonts w:ascii="Times New Roman" w:hAnsi="Times New Roman" w:cs="Times New Roman"/>
          <w:kern w:val="0"/>
          <w:szCs w:val="24"/>
        </w:rPr>
        <w:t xml:space="preserve"> </w:t>
      </w:r>
      <w:r w:rsidRPr="006B37FE">
        <w:rPr>
          <w:rFonts w:ascii="Times New Roman" w:hAnsi="Times New Roman" w:cs="Times New Roman"/>
          <w:kern w:val="0"/>
          <w:szCs w:val="21"/>
        </w:rPr>
        <w:t>Constructions of the parallelogram photonic PhC array. (a) The spectrum of the parallelogram-shaped meta-sample, the hinge (red hollow circles), surface (hollow blue circles), and bulk (hollow gray circles) modes are well-separated. (b) Solution numbers of the parallelogram PhC array.</w:t>
      </w:r>
      <w:r w:rsidRPr="006B37FE">
        <w:rPr>
          <w:rFonts w:ascii="AdvOT483a8203" w:hAnsi="AdvOT483a8203" w:cs="AdvOT483a8203"/>
          <w:kern w:val="0"/>
          <w:szCs w:val="21"/>
        </w:rPr>
        <w:t xml:space="preserve"> (c) Upper panel: </w:t>
      </w:r>
      <w:r w:rsidRPr="006B37FE">
        <w:rPr>
          <w:rFonts w:ascii="AdvOT483a8203" w:hAnsi="AdvOT483a8203" w:cs="AdvOT483a8203"/>
          <w:color w:val="231F20"/>
          <w:kern w:val="0"/>
          <w:szCs w:val="21"/>
        </w:rPr>
        <w:t xml:space="preserve">3D view of the parallelogram PhC array. </w:t>
      </w:r>
      <w:r w:rsidRPr="006B37FE">
        <w:rPr>
          <w:rFonts w:ascii="AdvOT483a8203" w:hAnsi="AdvOT483a8203" w:cs="AdvOT483a8203"/>
          <w:kern w:val="0"/>
          <w:szCs w:val="21"/>
        </w:rPr>
        <w:t>Lower panel: The simulated |</w:t>
      </w:r>
      <w:r w:rsidRPr="006B37FE">
        <w:rPr>
          <w:rFonts w:ascii="AdvOT483a8203" w:hAnsi="AdvOT483a8203" w:cs="AdvOT483a8203"/>
          <w:i/>
          <w:kern w:val="0"/>
          <w:szCs w:val="21"/>
        </w:rPr>
        <w:t>E</w:t>
      </w:r>
      <w:r w:rsidRPr="006B37FE">
        <w:rPr>
          <w:rFonts w:ascii="AdvOT483a8203" w:hAnsi="AdvOT483a8203" w:cs="AdvOT483a8203"/>
          <w:i/>
          <w:kern w:val="0"/>
          <w:szCs w:val="21"/>
          <w:vertAlign w:val="subscript"/>
        </w:rPr>
        <w:t>z</w:t>
      </w:r>
      <w:r w:rsidRPr="006B37FE">
        <w:rPr>
          <w:rFonts w:ascii="AdvOT483a8203" w:hAnsi="AdvOT483a8203" w:cs="AdvOT483a8203"/>
          <w:kern w:val="0"/>
          <w:szCs w:val="21"/>
        </w:rPr>
        <w:t xml:space="preserve">| field distributions of hinge and surface states at </w:t>
      </w:r>
      <w:r w:rsidRPr="006B37FE">
        <w:rPr>
          <w:rFonts w:ascii="Times New Roman" w:hAnsi="Times New Roman" w:cs="Times New Roman"/>
          <w:i/>
          <w:kern w:val="0"/>
          <w:szCs w:val="21"/>
        </w:rPr>
        <w:t>k</w:t>
      </w:r>
      <w:r w:rsidRPr="006B37FE">
        <w:rPr>
          <w:rFonts w:ascii="Times New Roman" w:hAnsi="Times New Roman" w:cs="Times New Roman"/>
          <w:i/>
          <w:kern w:val="0"/>
          <w:szCs w:val="21"/>
          <w:vertAlign w:val="subscript"/>
        </w:rPr>
        <w:t>z</w:t>
      </w:r>
      <w:r w:rsidRPr="006B37FE">
        <w:rPr>
          <w:rFonts w:ascii="Times New Roman" w:hAnsi="Times New Roman" w:cs="Times New Roman"/>
          <w:kern w:val="0"/>
          <w:szCs w:val="21"/>
        </w:rPr>
        <w:t xml:space="preserve"> = 0.2, 0.6, and 0.9 </w:t>
      </w:r>
      <w:r w:rsidRPr="006B37FE">
        <w:rPr>
          <w:rFonts w:ascii="Symbol" w:hAnsi="Symbol" w:cs="Times New Roman"/>
          <w:i/>
          <w:kern w:val="0"/>
          <w:szCs w:val="21"/>
        </w:rPr>
        <w:t></w:t>
      </w:r>
      <w:r w:rsidRPr="006B37FE">
        <w:rPr>
          <w:rFonts w:ascii="Symbol" w:hAnsi="Symbol" w:cs="Times New Roman"/>
          <w:kern w:val="0"/>
          <w:szCs w:val="21"/>
        </w:rPr>
        <w:t></w:t>
      </w:r>
      <w:r w:rsidRPr="006B37FE">
        <w:rPr>
          <w:rFonts w:ascii="Times New Roman" w:hAnsi="Times New Roman" w:cs="Times New Roman"/>
          <w:i/>
          <w:kern w:val="0"/>
          <w:szCs w:val="21"/>
        </w:rPr>
        <w:t>h</w:t>
      </w:r>
      <w:r w:rsidRPr="006B37FE">
        <w:rPr>
          <w:rFonts w:ascii="Times New Roman" w:hAnsi="Times New Roman" w:cs="Times New Roman"/>
          <w:kern w:val="0"/>
          <w:szCs w:val="21"/>
        </w:rPr>
        <w:t>,</w:t>
      </w:r>
      <w:r w:rsidR="00001122">
        <w:rPr>
          <w:rFonts w:ascii="Times New Roman" w:hAnsi="Times New Roman" w:cs="Times New Roman"/>
          <w:kern w:val="0"/>
          <w:szCs w:val="21"/>
        </w:rPr>
        <w:t xml:space="preserve"> </w:t>
      </w:r>
      <w:r w:rsidRPr="006B37FE">
        <w:rPr>
          <w:rFonts w:ascii="Times New Roman" w:hAnsi="Times New Roman" w:cs="Times New Roman"/>
          <w:kern w:val="0"/>
          <w:szCs w:val="21"/>
        </w:rPr>
        <w:t>respectively.</w:t>
      </w:r>
      <w:r w:rsidRPr="00BB385B">
        <w:rPr>
          <w:rFonts w:ascii="AdvOT483a8203" w:hAnsi="AdvOT483a8203" w:cs="AdvOT483a8203"/>
          <w:color w:val="231F20"/>
          <w:kern w:val="0"/>
          <w:sz w:val="19"/>
          <w:szCs w:val="19"/>
        </w:rPr>
        <w:t xml:space="preserve"> </w:t>
      </w:r>
    </w:p>
    <w:p w14:paraId="449695B5" w14:textId="77777777" w:rsidR="00E169B9" w:rsidRPr="00853679" w:rsidRDefault="00001122" w:rsidP="00E169B9">
      <w:pPr>
        <w:autoSpaceDE w:val="0"/>
        <w:autoSpaceDN w:val="0"/>
        <w:adjustRightInd w:val="0"/>
        <w:spacing w:beforeLines="50" w:before="156"/>
        <w:jc w:val="center"/>
        <w:rPr>
          <w:rFonts w:ascii="Times New Roman" w:hAnsi="Times New Roman" w:cs="Times New Roman"/>
          <w:kern w:val="0"/>
          <w:sz w:val="24"/>
          <w:szCs w:val="24"/>
        </w:rPr>
      </w:pPr>
      <w:r w:rsidRPr="00001122">
        <w:rPr>
          <w:rFonts w:ascii="Times New Roman" w:hAnsi="Times New Roman" w:cs="Times New Roman"/>
          <w:noProof/>
          <w:kern w:val="0"/>
          <w:sz w:val="24"/>
          <w:szCs w:val="24"/>
        </w:rPr>
        <w:drawing>
          <wp:inline distT="0" distB="0" distL="0" distR="0" wp14:anchorId="2B9733F5" wp14:editId="62B1137F">
            <wp:extent cx="5274310" cy="1270139"/>
            <wp:effectExtent l="0" t="0" r="2540" b="6350"/>
            <wp:docPr id="2" name="图片 2" descr="E:\发表论文\6th paper C6 corner-valley\Figures\Figure8\fi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发表论文\6th paper C6 corner-valley\Figures\Figure8\fig.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1270139"/>
                    </a:xfrm>
                    <a:prstGeom prst="rect">
                      <a:avLst/>
                    </a:prstGeom>
                    <a:noFill/>
                    <a:ln>
                      <a:noFill/>
                    </a:ln>
                  </pic:spPr>
                </pic:pic>
              </a:graphicData>
            </a:graphic>
          </wp:inline>
        </w:drawing>
      </w:r>
    </w:p>
    <w:p w14:paraId="5FFA13FF" w14:textId="77777777" w:rsidR="00E169B9" w:rsidRPr="00A865C8" w:rsidRDefault="00E169B9" w:rsidP="00E169B9">
      <w:pPr>
        <w:autoSpaceDE w:val="0"/>
        <w:autoSpaceDN w:val="0"/>
        <w:adjustRightInd w:val="0"/>
        <w:spacing w:beforeLines="50" w:before="156" w:afterLines="50" w:after="156" w:line="240" w:lineRule="exact"/>
        <w:rPr>
          <w:rFonts w:ascii="Times New Roman" w:hAnsi="Times New Roman" w:cs="Times New Roman"/>
          <w:kern w:val="0"/>
          <w:szCs w:val="24"/>
        </w:rPr>
      </w:pPr>
      <w:r w:rsidRPr="008C1F81">
        <w:rPr>
          <w:rFonts w:ascii="Times New Roman" w:hAnsi="Times New Roman" w:cs="Times New Roman"/>
          <w:b/>
          <w:kern w:val="0"/>
          <w:szCs w:val="24"/>
        </w:rPr>
        <w:t xml:space="preserve">Figure </w:t>
      </w:r>
      <w:r>
        <w:rPr>
          <w:rFonts w:ascii="Times New Roman" w:hAnsi="Times New Roman" w:cs="Times New Roman"/>
          <w:b/>
          <w:kern w:val="0"/>
          <w:szCs w:val="24"/>
        </w:rPr>
        <w:t>S2</w:t>
      </w:r>
      <w:r w:rsidRPr="008C1F81">
        <w:rPr>
          <w:rFonts w:ascii="Times New Roman" w:hAnsi="Times New Roman" w:cs="Times New Roman"/>
          <w:b/>
          <w:kern w:val="0"/>
          <w:szCs w:val="24"/>
        </w:rPr>
        <w:t>.</w:t>
      </w:r>
      <w:r w:rsidRPr="008C1F81">
        <w:rPr>
          <w:rFonts w:ascii="Times New Roman" w:hAnsi="Times New Roman" w:cs="Times New Roman"/>
          <w:kern w:val="0"/>
          <w:szCs w:val="24"/>
        </w:rPr>
        <w:t xml:space="preserve"> </w:t>
      </w:r>
      <w:r>
        <w:rPr>
          <w:rFonts w:ascii="Times New Roman" w:hAnsi="Times New Roman" w:cs="Times New Roman"/>
          <w:kern w:val="0"/>
          <w:szCs w:val="24"/>
        </w:rPr>
        <w:t xml:space="preserve">Simulations on real space stacking </w:t>
      </w:r>
      <w:r w:rsidRPr="00110CB2">
        <w:rPr>
          <w:rFonts w:ascii="Times New Roman" w:hAnsi="Times New Roman" w:cs="Times New Roman"/>
          <w:kern w:val="0"/>
          <w:szCs w:val="24"/>
        </w:rPr>
        <w:t>parallelogram</w:t>
      </w:r>
      <w:r>
        <w:rPr>
          <w:rFonts w:ascii="Times New Roman" w:hAnsi="Times New Roman" w:cs="Times New Roman"/>
          <w:kern w:val="0"/>
          <w:szCs w:val="24"/>
        </w:rPr>
        <w:t>-shaped PhC arrays and corresponding |</w:t>
      </w:r>
      <w:r w:rsidRPr="00C6007A">
        <w:rPr>
          <w:rFonts w:ascii="Times New Roman" w:hAnsi="Times New Roman" w:cs="Times New Roman"/>
          <w:i/>
          <w:kern w:val="0"/>
          <w:szCs w:val="24"/>
        </w:rPr>
        <w:t>E</w:t>
      </w:r>
      <w:r w:rsidRPr="00C6007A">
        <w:rPr>
          <w:rFonts w:ascii="Times New Roman" w:hAnsi="Times New Roman" w:cs="Times New Roman"/>
          <w:i/>
          <w:kern w:val="0"/>
          <w:szCs w:val="24"/>
          <w:vertAlign w:val="subscript"/>
        </w:rPr>
        <w:t>z</w:t>
      </w:r>
      <w:r>
        <w:rPr>
          <w:rFonts w:ascii="Times New Roman" w:hAnsi="Times New Roman" w:cs="Times New Roman"/>
          <w:kern w:val="0"/>
          <w:szCs w:val="24"/>
        </w:rPr>
        <w:t>| field distributions. (a) The framework of our 10-layer</w:t>
      </w:r>
      <w:r w:rsidRPr="00C6007A">
        <w:t xml:space="preserve"> </w:t>
      </w:r>
      <w:r>
        <w:rPr>
          <w:rFonts w:ascii="Times New Roman" w:hAnsi="Times New Roman" w:cs="Times New Roman"/>
          <w:kern w:val="0"/>
          <w:szCs w:val="24"/>
        </w:rPr>
        <w:t>multilayer PhC arrays. The exaction source (solid yellow circle) is put on the middle hinge of the sample. (b) |</w:t>
      </w:r>
      <w:r w:rsidRPr="00C6007A">
        <w:rPr>
          <w:rFonts w:ascii="Times New Roman" w:hAnsi="Times New Roman" w:cs="Times New Roman"/>
          <w:i/>
          <w:kern w:val="0"/>
          <w:szCs w:val="24"/>
        </w:rPr>
        <w:t>E</w:t>
      </w:r>
      <w:r w:rsidRPr="00C6007A">
        <w:rPr>
          <w:rFonts w:ascii="Times New Roman" w:hAnsi="Times New Roman" w:cs="Times New Roman"/>
          <w:i/>
          <w:kern w:val="0"/>
          <w:szCs w:val="24"/>
          <w:vertAlign w:val="subscript"/>
        </w:rPr>
        <w:t>z</w:t>
      </w:r>
      <w:r>
        <w:rPr>
          <w:rFonts w:ascii="Times New Roman" w:hAnsi="Times New Roman" w:cs="Times New Roman"/>
          <w:kern w:val="0"/>
          <w:szCs w:val="24"/>
        </w:rPr>
        <w:t xml:space="preserve">| field distribution slices for hinge and surface states at layers 1, 4, 7, and 10, respectively. </w:t>
      </w:r>
    </w:p>
    <w:p w14:paraId="17DE1646" w14:textId="77777777" w:rsidR="00E169B9" w:rsidRPr="00E169B9" w:rsidRDefault="00E169B9" w:rsidP="00E169B9">
      <w:pPr>
        <w:autoSpaceDE w:val="0"/>
        <w:autoSpaceDN w:val="0"/>
        <w:adjustRightInd w:val="0"/>
        <w:rPr>
          <w:rFonts w:ascii="Times New Roman" w:hAnsi="Times New Roman" w:cs="Times New Roman"/>
          <w:kern w:val="0"/>
          <w:sz w:val="22"/>
          <w:szCs w:val="24"/>
        </w:rPr>
      </w:pPr>
    </w:p>
    <w:p w14:paraId="3E093FD7" w14:textId="77777777" w:rsidR="00E169B9" w:rsidRPr="00E169B9" w:rsidRDefault="00E169B9"/>
    <w:sectPr w:rsidR="00E169B9" w:rsidRPr="00E169B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E96F6" w14:textId="77777777" w:rsidR="00943B05" w:rsidRDefault="00943B05" w:rsidP="00E169B9">
      <w:r>
        <w:separator/>
      </w:r>
    </w:p>
  </w:endnote>
  <w:endnote w:type="continuationSeparator" w:id="0">
    <w:p w14:paraId="2D9F4B7C" w14:textId="77777777" w:rsidR="00943B05" w:rsidRDefault="00943B05" w:rsidP="00E16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dvOT483a8203">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18332" w14:textId="77777777" w:rsidR="00943B05" w:rsidRDefault="00943B05" w:rsidP="00E169B9">
      <w:r>
        <w:separator/>
      </w:r>
    </w:p>
  </w:footnote>
  <w:footnote w:type="continuationSeparator" w:id="0">
    <w:p w14:paraId="30BD2347" w14:textId="77777777" w:rsidR="00943B05" w:rsidRDefault="00943B05" w:rsidP="00E169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50A1"/>
    <w:rsid w:val="00001122"/>
    <w:rsid w:val="00047007"/>
    <w:rsid w:val="003A5094"/>
    <w:rsid w:val="004150A1"/>
    <w:rsid w:val="005A66EA"/>
    <w:rsid w:val="007E6663"/>
    <w:rsid w:val="00943B05"/>
    <w:rsid w:val="00A87011"/>
    <w:rsid w:val="00AF3FF0"/>
    <w:rsid w:val="00D31DB7"/>
    <w:rsid w:val="00E169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F8B889"/>
  <w14:defaultImageDpi w14:val="150"/>
  <w15:chartTrackingRefBased/>
  <w15:docId w15:val="{495D89EE-2241-40E2-A864-AF77C41B6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69B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169B9"/>
    <w:rPr>
      <w:sz w:val="18"/>
      <w:szCs w:val="18"/>
    </w:rPr>
  </w:style>
  <w:style w:type="paragraph" w:styleId="a5">
    <w:name w:val="footer"/>
    <w:basedOn w:val="a"/>
    <w:link w:val="a6"/>
    <w:uiPriority w:val="99"/>
    <w:unhideWhenUsed/>
    <w:rsid w:val="00E169B9"/>
    <w:pPr>
      <w:tabs>
        <w:tab w:val="center" w:pos="4153"/>
        <w:tab w:val="right" w:pos="8306"/>
      </w:tabs>
      <w:snapToGrid w:val="0"/>
      <w:jc w:val="left"/>
    </w:pPr>
    <w:rPr>
      <w:sz w:val="18"/>
      <w:szCs w:val="18"/>
    </w:rPr>
  </w:style>
  <w:style w:type="character" w:customStyle="1" w:styleId="a6">
    <w:name w:val="页脚 字符"/>
    <w:basedOn w:val="a0"/>
    <w:link w:val="a5"/>
    <w:uiPriority w:val="99"/>
    <w:rsid w:val="00E169B9"/>
    <w:rPr>
      <w:sz w:val="18"/>
      <w:szCs w:val="18"/>
    </w:rPr>
  </w:style>
  <w:style w:type="character" w:styleId="a7">
    <w:name w:val="Hyperlink"/>
    <w:basedOn w:val="a0"/>
    <w:uiPriority w:val="99"/>
    <w:unhideWhenUsed/>
    <w:rsid w:val="00E169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xiangyuanjiang@126.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503</Words>
  <Characters>2873</Characters>
  <Application>Microsoft Office Word</Application>
  <DocSecurity>0</DocSecurity>
  <Lines>23</Lines>
  <Paragraphs>6</Paragraphs>
  <ScaleCrop>false</ScaleCrop>
  <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Yuet-Sing Chang</dc:creator>
  <cp:keywords/>
  <dc:description/>
  <cp:lastModifiedBy>Dell</cp:lastModifiedBy>
  <cp:revision>6</cp:revision>
  <dcterms:created xsi:type="dcterms:W3CDTF">2022-11-29T08:53:00Z</dcterms:created>
  <dcterms:modified xsi:type="dcterms:W3CDTF">2022-12-02T15:08:00Z</dcterms:modified>
</cp:coreProperties>
</file>