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6158" w:rsidRDefault="003F6158" w:rsidP="003F6158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sz w:val="24"/>
          <w:szCs w:val="24"/>
        </w:rPr>
      </w:pPr>
      <w:r w:rsidRPr="009D0810">
        <w:rPr>
          <w:rFonts w:ascii="Times New Roman" w:hAnsi="Times New Roman"/>
          <w:b/>
          <w:color w:val="000000" w:themeColor="text1"/>
          <w:kern w:val="24"/>
          <w:sz w:val="24"/>
          <w:szCs w:val="24"/>
        </w:rPr>
        <w:t xml:space="preserve">Table </w:t>
      </w:r>
      <w:r>
        <w:rPr>
          <w:rFonts w:ascii="Times New Roman" w:hAnsi="Times New Roman"/>
          <w:b/>
          <w:color w:val="000000" w:themeColor="text1"/>
          <w:kern w:val="24"/>
          <w:sz w:val="24"/>
          <w:szCs w:val="24"/>
        </w:rPr>
        <w:t>S</w:t>
      </w:r>
      <w:r w:rsidRPr="009D0810">
        <w:rPr>
          <w:rFonts w:ascii="Times New Roman" w:hAnsi="Times New Roman"/>
          <w:b/>
          <w:color w:val="000000" w:themeColor="text1"/>
          <w:kern w:val="24"/>
          <w:sz w:val="24"/>
          <w:szCs w:val="24"/>
        </w:rPr>
        <w:t>2. KEGG analysis for the AL</w:t>
      </w:r>
      <w:r w:rsidRPr="009D0810">
        <w:rPr>
          <w:rFonts w:ascii="Times New Roman" w:hAnsi="Times New Roman"/>
          <w:b/>
          <w:sz w:val="24"/>
          <w:szCs w:val="24"/>
        </w:rPr>
        <w:t>.</w:t>
      </w:r>
      <w:r w:rsidRPr="009D0810">
        <w:rPr>
          <w:rFonts w:ascii="Times New Roman" w:hAnsi="Times New Roman"/>
          <w:sz w:val="24"/>
          <w:szCs w:val="24"/>
        </w:rPr>
        <w:t xml:space="preserve"> </w:t>
      </w:r>
    </w:p>
    <w:p w:rsidR="003F6158" w:rsidRPr="009D0810" w:rsidRDefault="003F6158" w:rsidP="003F6158">
      <w:pPr>
        <w:pStyle w:val="NormalWeb"/>
        <w:spacing w:before="0" w:beforeAutospacing="0" w:after="0" w:afterAutospacing="0"/>
        <w:jc w:val="both"/>
        <w:rPr>
          <w:rFonts w:ascii="Times New Roman" w:hAnsi="Times New Roman"/>
          <w:color w:val="000000" w:themeColor="text1"/>
          <w:kern w:val="24"/>
          <w:sz w:val="24"/>
          <w:szCs w:val="24"/>
        </w:rPr>
      </w:pPr>
      <w:r w:rsidRPr="009D0810">
        <w:rPr>
          <w:rFonts w:ascii="Times New Roman" w:hAnsi="Times New Roman"/>
          <w:color w:val="000000" w:themeColor="text1"/>
          <w:kern w:val="24"/>
          <w:sz w:val="24"/>
          <w:szCs w:val="24"/>
        </w:rPr>
        <w:t xml:space="preserve">The overrepresented pathways are shown by p-values &lt;0.05 </w:t>
      </w:r>
    </w:p>
    <w:tbl>
      <w:tblPr>
        <w:tblpPr w:leftFromText="180" w:rightFromText="180" w:vertAnchor="page" w:horzAnchor="margin" w:tblpY="2601"/>
        <w:tblW w:w="6460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4060"/>
        <w:gridCol w:w="1200"/>
        <w:gridCol w:w="1200"/>
      </w:tblGrid>
      <w:tr w:rsidR="003F6158" w:rsidRPr="00104E43" w:rsidTr="008B1018">
        <w:trPr>
          <w:trHeight w:val="241"/>
        </w:trPr>
        <w:tc>
          <w:tcPr>
            <w:tcW w:w="406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KEGG pathway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No.</w:t>
            </w:r>
          </w:p>
        </w:tc>
        <w:tc>
          <w:tcPr>
            <w:tcW w:w="1200" w:type="dxa"/>
            <w:tcBorders>
              <w:top w:val="single" w:sz="4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p-value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Biosynthesis of secondary metabolites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osa01110</w:t>
            </w:r>
          </w:p>
        </w:tc>
        <w:tc>
          <w:tcPr>
            <w:tcW w:w="1200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3.93E-05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Metabolic pathways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osa01100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5.59E-05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Glycolysis / Gluconeogenesis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osa00010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2.70E-03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Ubiquinone biosynthesis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osa00130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2.75E-03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Carbon fixation in photosynthetic organisms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osa00710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4.59E-03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Protein processing in endoplasmic reticulum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osa04141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5.95E-03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RNA degradation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osa03018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9.37E-03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Phosphatidylinositol signaling system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osa04070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1.14E-02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Pyruvate metabolism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osa00620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1.37E-02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Glutathione metabolism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osa00480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2.62E-02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Fatty acid biosynthesis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osa00061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4.21E-03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Steroid biosynthesis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osa00100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1.09E-02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Carotenoid biosynthesis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osa00906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1.42E-02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Glycerolipid metabolism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osa00561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1.78E-02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RNA transport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osa03013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3.51E-02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Mismatch repair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osa03430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8.10E-06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DNA replication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osa03030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1.75E-05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Ascorbate and aldarate metabolism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osa00053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2.15E-03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Amino sugar and nucleotide sugar metabolism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osa00520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2.33E-03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Oxidative phosphorylation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osa00190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2.09E-02</w:t>
            </w:r>
          </w:p>
        </w:tc>
      </w:tr>
      <w:tr w:rsidR="003F6158" w:rsidRPr="00104E43" w:rsidTr="008B1018">
        <w:trPr>
          <w:trHeight w:val="262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N-Glycan biosynthesis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osa00510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2.14E-02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Ribosome biogenesis in eukaryotes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osa03008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2.26E-02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Plant-pathogen interaction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osa04626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2.59E-02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Phenylpropanoid biosynthesis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osa00940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3.35E-02</w:t>
            </w:r>
          </w:p>
        </w:tc>
      </w:tr>
      <w:tr w:rsidR="003F6158" w:rsidRPr="00104E43" w:rsidTr="008B1018">
        <w:trPr>
          <w:trHeight w:val="228"/>
        </w:trPr>
        <w:tc>
          <w:tcPr>
            <w:tcW w:w="40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Sulfur metabolism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osa00920</w:t>
            </w:r>
          </w:p>
        </w:tc>
        <w:tc>
          <w:tcPr>
            <w:tcW w:w="12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3.39E-02</w:t>
            </w:r>
          </w:p>
        </w:tc>
      </w:tr>
      <w:tr w:rsidR="003F6158" w:rsidRPr="00104E43" w:rsidTr="008B1018">
        <w:trPr>
          <w:trHeight w:val="241"/>
        </w:trPr>
        <w:tc>
          <w:tcPr>
            <w:tcW w:w="406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Plant hormone signal transduction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104E43" w:rsidRDefault="003F6158" w:rsidP="008B10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104E43">
              <w:rPr>
                <w:rFonts w:ascii="Times New Roman" w:hAnsi="Times New Roman" w:cs="Times New Roman"/>
                <w:sz w:val="20"/>
                <w:szCs w:val="20"/>
              </w:rPr>
              <w:t>osa04075</w:t>
            </w:r>
          </w:p>
        </w:tc>
        <w:tc>
          <w:tcPr>
            <w:tcW w:w="1200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:rsidR="003F6158" w:rsidRPr="002042D5" w:rsidRDefault="003F6158" w:rsidP="008B1018">
            <w:pPr>
              <w:jc w:val="center"/>
              <w:rPr>
                <w:rFonts w:ascii="Times" w:hAnsi="Times" w:cs="Times New Roman"/>
                <w:sz w:val="20"/>
                <w:szCs w:val="20"/>
              </w:rPr>
            </w:pPr>
            <w:r w:rsidRPr="002042D5">
              <w:rPr>
                <w:rFonts w:ascii="Times" w:eastAsia="Times New Roman" w:hAnsi="Times" w:cs="Times New Roman"/>
                <w:sz w:val="20"/>
                <w:szCs w:val="20"/>
              </w:rPr>
              <w:t>4.59E-02</w:t>
            </w:r>
          </w:p>
        </w:tc>
      </w:tr>
    </w:tbl>
    <w:p w:rsidR="00E573A6" w:rsidRPr="003F6158" w:rsidRDefault="003F6158">
      <w:pPr>
        <w:rPr>
          <w:rFonts w:ascii="Times New Roman" w:hAnsi="Times New Roman" w:cs="Times New Roman"/>
          <w:color w:val="000000" w:themeColor="text1"/>
          <w:kern w:val="24"/>
        </w:rPr>
      </w:pPr>
      <w:r>
        <w:rPr>
          <w:rFonts w:ascii="Times New Roman" w:hAnsi="Times New Roman"/>
          <w:color w:val="000000" w:themeColor="text1"/>
          <w:kern w:val="24"/>
        </w:rPr>
        <w:t xml:space="preserve"> </w:t>
      </w:r>
      <w:bookmarkStart w:id="0" w:name="_GoBack"/>
      <w:bookmarkEnd w:id="0"/>
    </w:p>
    <w:sectPr w:rsidR="00E573A6" w:rsidRPr="003F615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F6158"/>
    <w:rsid w:val="003F6158"/>
    <w:rsid w:val="00E573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158"/>
    <w:pPr>
      <w:spacing w:after="0" w:line="240" w:lineRule="auto"/>
    </w:pPr>
    <w:rPr>
      <w:rFonts w:eastAsiaTheme="minorEastAsia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F6158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F6158"/>
    <w:pPr>
      <w:spacing w:after="0" w:line="240" w:lineRule="auto"/>
    </w:pPr>
    <w:rPr>
      <w:rFonts w:eastAsiaTheme="minorEastAsia"/>
      <w:sz w:val="24"/>
      <w:szCs w:val="24"/>
      <w:lang w:val="en-GB" w:eastAsia="zh-TW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3F6158"/>
    <w:pPr>
      <w:spacing w:before="100" w:beforeAutospacing="1" w:after="100" w:afterAutospacing="1"/>
    </w:pPr>
    <w:rPr>
      <w:rFonts w:ascii="Times" w:hAnsi="Times" w:cs="Times New Roman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196</Words>
  <Characters>1123</Characters>
  <Application>Microsoft Office Word</Application>
  <DocSecurity>0</DocSecurity>
  <Lines>9</Lines>
  <Paragraphs>2</Paragraphs>
  <ScaleCrop>false</ScaleCrop>
  <Company>Springer-SBM</Company>
  <LinksUpToDate>false</LinksUpToDate>
  <CharactersWithSpaces>1317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Rizwan Khan</dc:creator>
  <cp:lastModifiedBy>Rizwan Khan</cp:lastModifiedBy>
  <cp:revision>1</cp:revision>
  <dcterms:created xsi:type="dcterms:W3CDTF">2020-04-23T06:27:00Z</dcterms:created>
  <dcterms:modified xsi:type="dcterms:W3CDTF">2020-04-23T06:27:00Z</dcterms:modified>
</cp:coreProperties>
</file>