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A1766C" w14:textId="0246B41D" w:rsidR="00DF5573" w:rsidRDefault="00665B80" w:rsidP="000729E3">
      <w:pPr>
        <w:rPr>
          <w:rFonts w:ascii="Times New Roman" w:hAnsi="Times New Roman" w:cs="Times New Roman"/>
          <w:b/>
          <w:bCs/>
          <w:sz w:val="24"/>
          <w:szCs w:val="24"/>
        </w:rPr>
      </w:pPr>
      <w:bookmarkStart w:id="0" w:name="_Hlk118542739"/>
      <w:bookmarkStart w:id="1" w:name="_GoBack"/>
      <w:bookmarkEnd w:id="1"/>
      <w:r w:rsidRPr="00665B80">
        <w:rPr>
          <w:rFonts w:ascii="Times New Roman" w:hAnsi="Times New Roman" w:cs="Times New Roman"/>
          <w:b/>
          <w:bCs/>
          <w:sz w:val="24"/>
          <w:szCs w:val="24"/>
        </w:rPr>
        <w:t>Supplementary</w:t>
      </w:r>
      <w:r>
        <w:rPr>
          <w:rFonts w:ascii="Times New Roman" w:hAnsi="Times New Roman" w:cs="Times New Roman"/>
          <w:b/>
          <w:bCs/>
          <w:sz w:val="24"/>
          <w:szCs w:val="24"/>
        </w:rPr>
        <w:t xml:space="preserve"> m</w:t>
      </w:r>
      <w:r w:rsidR="00DF5573" w:rsidRPr="00DF5573">
        <w:rPr>
          <w:rFonts w:ascii="Times New Roman" w:hAnsi="Times New Roman" w:cs="Times New Roman"/>
          <w:b/>
          <w:bCs/>
          <w:sz w:val="24"/>
          <w:szCs w:val="24"/>
        </w:rPr>
        <w:t xml:space="preserve">aterials and </w:t>
      </w:r>
      <w:r>
        <w:rPr>
          <w:rFonts w:ascii="Times New Roman" w:hAnsi="Times New Roman" w:cs="Times New Roman"/>
          <w:b/>
          <w:bCs/>
          <w:sz w:val="24"/>
          <w:szCs w:val="24"/>
        </w:rPr>
        <w:t>m</w:t>
      </w:r>
      <w:r w:rsidR="00DF5573" w:rsidRPr="00DF5573">
        <w:rPr>
          <w:rFonts w:ascii="Times New Roman" w:hAnsi="Times New Roman" w:cs="Times New Roman"/>
          <w:b/>
          <w:bCs/>
          <w:sz w:val="24"/>
          <w:szCs w:val="24"/>
        </w:rPr>
        <w:t xml:space="preserve">ethods </w:t>
      </w:r>
    </w:p>
    <w:bookmarkEnd w:id="0"/>
    <w:p w14:paraId="10A608E7" w14:textId="4CB0393C" w:rsidR="00DF5573" w:rsidRDefault="00DF5573" w:rsidP="00DF5573">
      <w:pPr>
        <w:ind w:firstLine="720"/>
        <w:rPr>
          <w:rFonts w:ascii="Times New Roman" w:hAnsi="Times New Roman" w:cs="Times New Roman"/>
          <w:b/>
          <w:bCs/>
          <w:sz w:val="24"/>
          <w:szCs w:val="24"/>
        </w:rPr>
      </w:pPr>
    </w:p>
    <w:p w14:paraId="1F908DA6" w14:textId="5564C762" w:rsidR="00DF5573" w:rsidRDefault="00DF5573" w:rsidP="000729E3">
      <w:pPr>
        <w:rPr>
          <w:rFonts w:ascii="Times New Roman" w:hAnsi="Times New Roman" w:cs="Times New Roman"/>
          <w:b/>
          <w:bCs/>
          <w:sz w:val="24"/>
          <w:szCs w:val="24"/>
        </w:rPr>
      </w:pPr>
      <w:r w:rsidRPr="00DF5573">
        <w:rPr>
          <w:rFonts w:ascii="Times New Roman" w:hAnsi="Times New Roman" w:cs="Times New Roman"/>
          <w:b/>
          <w:bCs/>
          <w:sz w:val="24"/>
          <w:szCs w:val="24"/>
        </w:rPr>
        <w:t>Short range PCR amplification</w:t>
      </w:r>
    </w:p>
    <w:p w14:paraId="2267BC2A" w14:textId="77777777" w:rsidR="00DF5573" w:rsidRPr="00851608" w:rsidRDefault="00DF5573" w:rsidP="00851608">
      <w:pPr>
        <w:spacing w:line="480" w:lineRule="auto"/>
        <w:jc w:val="both"/>
        <w:rPr>
          <w:rFonts w:ascii="Times New Roman" w:hAnsi="Times New Roman" w:cs="Times New Roman"/>
          <w:sz w:val="24"/>
          <w:szCs w:val="24"/>
        </w:rPr>
      </w:pPr>
      <w:r w:rsidRPr="00851608">
        <w:rPr>
          <w:rFonts w:ascii="Times New Roman" w:hAnsi="Times New Roman" w:cs="Times New Roman"/>
          <w:sz w:val="24"/>
          <w:szCs w:val="24"/>
        </w:rPr>
        <w:t>Short range PCR amplifications were optimized for MgCl</w:t>
      </w:r>
      <w:r w:rsidRPr="00851608">
        <w:rPr>
          <w:rFonts w:ascii="Times New Roman" w:hAnsi="Times New Roman" w:cs="Times New Roman"/>
          <w:sz w:val="24"/>
          <w:szCs w:val="24"/>
          <w:vertAlign w:val="subscript"/>
        </w:rPr>
        <w:t>2</w:t>
      </w:r>
      <w:r w:rsidRPr="00851608">
        <w:rPr>
          <w:rFonts w:ascii="Times New Roman" w:hAnsi="Times New Roman" w:cs="Times New Roman"/>
          <w:sz w:val="24"/>
          <w:szCs w:val="24"/>
        </w:rPr>
        <w:t xml:space="preserve"> and annealing temperature. Final PCR reaction mixture comprised of (1X) GoTaq® flexi buffer (Promega Cooperation, USA), optimized MgCl</w:t>
      </w:r>
      <w:r w:rsidRPr="00851608">
        <w:rPr>
          <w:rFonts w:ascii="Times New Roman" w:hAnsi="Times New Roman" w:cs="Times New Roman"/>
          <w:sz w:val="24"/>
          <w:szCs w:val="24"/>
          <w:vertAlign w:val="subscript"/>
        </w:rPr>
        <w:t>2</w:t>
      </w:r>
      <w:r w:rsidRPr="00851608">
        <w:rPr>
          <w:rFonts w:ascii="Times New Roman" w:hAnsi="Times New Roman" w:cs="Times New Roman"/>
          <w:sz w:val="24"/>
          <w:szCs w:val="24"/>
        </w:rPr>
        <w:t>, 0.2 mM dNTP, 1.5U GoTaq® DNA polymerase (Promega Cooperation, USA), approximately 100 ng of genomic DNA and 0.2 µM of forward and reverse primers (Integrated DNA Technologies, USA). Final reaction volume was 25µL. Thermal cycle conditions were as follows: initial denaturation at 95ºC for 2 minutes; 30 cycles of denaturation at 95ºC for 1minute, optimized annealing temperature for 1 minute, extension at 72ºC for 1 minute and final extension at 72ºC for 5 minutes. Short range PCR primers were designed using the NCBI primer blast software (</w:t>
      </w:r>
      <w:hyperlink r:id="rId6" w:history="1">
        <w:r w:rsidRPr="00851608">
          <w:rPr>
            <w:rStyle w:val="Hyperlink"/>
            <w:rFonts w:ascii="Times New Roman" w:hAnsi="Times New Roman" w:cs="Times New Roman"/>
            <w:sz w:val="24"/>
            <w:szCs w:val="24"/>
          </w:rPr>
          <w:t>https://www.ncbi.nlm.nih.gov/tools/primer-blast/</w:t>
        </w:r>
      </w:hyperlink>
      <w:r w:rsidRPr="00851608">
        <w:rPr>
          <w:rFonts w:ascii="Times New Roman" w:hAnsi="Times New Roman" w:cs="Times New Roman"/>
          <w:sz w:val="24"/>
          <w:szCs w:val="24"/>
        </w:rPr>
        <w:t>) and checked with the Oligoanalyzer software (</w:t>
      </w:r>
      <w:hyperlink r:id="rId7" w:history="1">
        <w:r w:rsidRPr="00851608">
          <w:rPr>
            <w:rStyle w:val="Hyperlink"/>
            <w:rFonts w:ascii="Times New Roman" w:hAnsi="Times New Roman" w:cs="Times New Roman"/>
            <w:sz w:val="24"/>
            <w:szCs w:val="24"/>
          </w:rPr>
          <w:t>https://sg.idtdna.com/pages/tools/oligoanalyzer</w:t>
        </w:r>
      </w:hyperlink>
      <w:r w:rsidRPr="00851608">
        <w:rPr>
          <w:rFonts w:ascii="Times New Roman" w:hAnsi="Times New Roman" w:cs="Times New Roman"/>
          <w:sz w:val="24"/>
          <w:szCs w:val="24"/>
        </w:rPr>
        <w:t>). PCR reactions were performed using the Veriti™ thermal cycler (Applied Biosystems) and products were run on 1% agarose gel with ethidium bromide staining. PCR products were visualized under UV (Ultra-violet) illumination using a UV transilluminator (Vilber Lourmat Company, France) and the gel images were captured using Quantum Capt software. Post PCR purification was carried out using the Wizard® SV Gel and PCR Clean-up System (Cat. no: A9282, Promega Cooperation, USA).</w:t>
      </w:r>
    </w:p>
    <w:p w14:paraId="5E21B3B8" w14:textId="77777777" w:rsidR="00DF5573" w:rsidRPr="00851608" w:rsidRDefault="00DF5573" w:rsidP="00851608">
      <w:pPr>
        <w:spacing w:line="480" w:lineRule="auto"/>
        <w:jc w:val="both"/>
        <w:rPr>
          <w:rFonts w:ascii="Times New Roman" w:hAnsi="Times New Roman" w:cs="Times New Roman"/>
          <w:b/>
          <w:bCs/>
          <w:sz w:val="24"/>
          <w:szCs w:val="24"/>
        </w:rPr>
      </w:pPr>
      <w:r w:rsidRPr="00851608">
        <w:rPr>
          <w:rFonts w:ascii="Times New Roman" w:hAnsi="Times New Roman" w:cs="Times New Roman"/>
          <w:b/>
          <w:bCs/>
          <w:sz w:val="24"/>
          <w:szCs w:val="24"/>
        </w:rPr>
        <w:t>SNP analysis</w:t>
      </w:r>
    </w:p>
    <w:p w14:paraId="2CE11EB5" w14:textId="717FDA23" w:rsidR="00DF5573" w:rsidRPr="00851608" w:rsidRDefault="00DF5573" w:rsidP="00851608">
      <w:pPr>
        <w:spacing w:line="480" w:lineRule="auto"/>
        <w:jc w:val="both"/>
        <w:rPr>
          <w:rFonts w:ascii="Times New Roman" w:hAnsi="Times New Roman" w:cs="Times New Roman"/>
          <w:sz w:val="24"/>
          <w:szCs w:val="24"/>
        </w:rPr>
      </w:pPr>
      <w:r w:rsidRPr="00851608">
        <w:rPr>
          <w:rFonts w:ascii="Times New Roman" w:hAnsi="Times New Roman" w:cs="Times New Roman"/>
          <w:sz w:val="24"/>
          <w:szCs w:val="24"/>
        </w:rPr>
        <w:t xml:space="preserve">All five SNP primers were manually designed and simultaneously analyzed in a single reaction using the ABI PRISM® SNaPshot multiplex kit. Final reaction mixture contained 5 µL of ABI PRISM® SNaPshot ready reaction mix, 3 µL of pooled PCR products (templates) and 2 µL of premixed SNaPshot primers. The thermal profile used for the reaction was, 25 cycles of denaturation at 96 ºC for 10 seconds; annealing at 50 ºC for 5 seconds; extension at 60 ºC for </w:t>
      </w:r>
      <w:r w:rsidRPr="00851608">
        <w:rPr>
          <w:rFonts w:ascii="Times New Roman" w:hAnsi="Times New Roman" w:cs="Times New Roman"/>
          <w:sz w:val="24"/>
          <w:szCs w:val="24"/>
        </w:rPr>
        <w:lastRenderedPageBreak/>
        <w:t>30 seconds. For the post extension treatment 1.0 U of recombinant shrimp alkaline phosphatase (Thermofisher Scientific Baltics, Lithuania) was added to 10 µL of the reaction product mixture and incubated at 37 ºC for 1 hour. Then the enzyme was inactivated by incubating at 75 ºC for 15 minutes. Purified product mixture (0.5 µL) was mixed with 9 µL of Hi-Di formamide (Applied Biosystems) and 0.5 µL of GeneScan-LIZ 120 internal size standard (Applied Biosystems). Following a denaturing step for 5 minutes at 95ºC and immediate cooling to 4ºC, sample fragments were separated in an ABI 3500dx genetic analyzer (Applied Biosystems). Results were analyzed using GeneMapper™ software.</w:t>
      </w:r>
    </w:p>
    <w:p w14:paraId="190D74DF" w14:textId="3867F630" w:rsidR="00DF5573" w:rsidRPr="00851608" w:rsidRDefault="00DF5573" w:rsidP="00851608">
      <w:pPr>
        <w:spacing w:line="480" w:lineRule="auto"/>
        <w:jc w:val="both"/>
        <w:rPr>
          <w:rFonts w:ascii="Times New Roman" w:hAnsi="Times New Roman" w:cs="Times New Roman"/>
          <w:b/>
          <w:bCs/>
          <w:sz w:val="24"/>
          <w:szCs w:val="24"/>
        </w:rPr>
      </w:pPr>
      <w:r w:rsidRPr="00851608">
        <w:rPr>
          <w:rFonts w:ascii="Times New Roman" w:hAnsi="Times New Roman" w:cs="Times New Roman"/>
          <w:b/>
          <w:bCs/>
          <w:sz w:val="24"/>
          <w:szCs w:val="24"/>
        </w:rPr>
        <w:t xml:space="preserve"> Sanger sequencing</w:t>
      </w:r>
    </w:p>
    <w:p w14:paraId="075C53ED" w14:textId="01B1BDC9" w:rsidR="00DF5573" w:rsidRPr="00851608" w:rsidRDefault="00DF5573" w:rsidP="00851608">
      <w:pPr>
        <w:spacing w:line="480" w:lineRule="auto"/>
        <w:jc w:val="both"/>
        <w:rPr>
          <w:rFonts w:ascii="Times New Roman" w:hAnsi="Times New Roman" w:cs="Times New Roman"/>
          <w:b/>
          <w:bCs/>
          <w:sz w:val="24"/>
          <w:szCs w:val="24"/>
        </w:rPr>
      </w:pPr>
      <w:r w:rsidRPr="00851608">
        <w:rPr>
          <w:rFonts w:ascii="Times New Roman" w:hAnsi="Times New Roman" w:cs="Times New Roman"/>
          <w:sz w:val="24"/>
          <w:szCs w:val="24"/>
        </w:rPr>
        <w:t>Purified PCR products were bidirectionally sequenced with the same primers used for the short-range PCR amplification. BigDye Terminator v1.1 cycle sequencing kit (Applied Biosystems) was used for sequencing under the following conditions: 0.4 µL ready reaction mix, 3.0 µL dilution buffer, 1 µL of 10µM forward and reverse primers, 25 ng of template DNA and nuclease free water to a final volume of 12.5 µL. Sanger sequencing was performed using initial denaturation at 96°C for 1 minute, 25 cycles of denaturation at 96°C for 10 seconds, optimized annealing temperature for each forward/reverse primer for 1 minute and extension at 60°C for 4 minutes in a Veriti™ thermal cycler (Applied Biosystems). Cycle sequencing products were purified using the BigDye Terminator v1.1 cycle sequencing protocol and separated in an ABI 3500dx genetic analyzer (Applied Biosystems) according to the manufacturer’s instructions. Results were analyzed using the Bioedit™ software.</w:t>
      </w:r>
    </w:p>
    <w:p w14:paraId="38E690E1" w14:textId="46E0EF4F" w:rsidR="00DF5573" w:rsidRPr="00851608" w:rsidRDefault="00DF5573" w:rsidP="00851608">
      <w:pPr>
        <w:spacing w:line="480" w:lineRule="auto"/>
        <w:jc w:val="both"/>
        <w:rPr>
          <w:rFonts w:ascii="Times New Roman" w:hAnsi="Times New Roman" w:cs="Times New Roman"/>
          <w:sz w:val="24"/>
          <w:szCs w:val="24"/>
        </w:rPr>
      </w:pPr>
    </w:p>
    <w:p w14:paraId="738F30E0" w14:textId="5752F07E" w:rsidR="00DA5EB0" w:rsidRPr="00851608" w:rsidRDefault="00DA5EB0" w:rsidP="00851608">
      <w:pPr>
        <w:spacing w:line="480" w:lineRule="auto"/>
        <w:jc w:val="both"/>
        <w:rPr>
          <w:rFonts w:ascii="Times New Roman" w:hAnsi="Times New Roman" w:cs="Times New Roman"/>
          <w:sz w:val="24"/>
          <w:szCs w:val="24"/>
        </w:rPr>
      </w:pPr>
    </w:p>
    <w:p w14:paraId="604D0D65" w14:textId="77777777" w:rsidR="00DA5EB0" w:rsidRDefault="00DA5EB0" w:rsidP="0079338A">
      <w:pPr>
        <w:tabs>
          <w:tab w:val="left" w:pos="709"/>
        </w:tabs>
        <w:spacing w:line="360" w:lineRule="auto"/>
        <w:jc w:val="both"/>
        <w:rPr>
          <w:rFonts w:ascii="Times New Roman" w:hAnsi="Times New Roman" w:cs="Times New Roman"/>
          <w:sz w:val="24"/>
          <w:szCs w:val="24"/>
        </w:rPr>
      </w:pPr>
    </w:p>
    <w:sectPr w:rsidR="00DA5EB0" w:rsidSect="00F620EF">
      <w:footerReference w:type="default" r:id="rId8"/>
      <w:pgSz w:w="11906" w:h="16838" w:code="9"/>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C19365" w14:textId="77777777" w:rsidR="000233C0" w:rsidRDefault="000233C0" w:rsidP="00F620EF">
      <w:pPr>
        <w:spacing w:after="0" w:line="240" w:lineRule="auto"/>
      </w:pPr>
      <w:r>
        <w:separator/>
      </w:r>
    </w:p>
  </w:endnote>
  <w:endnote w:type="continuationSeparator" w:id="0">
    <w:p w14:paraId="0E11F746" w14:textId="77777777" w:rsidR="000233C0" w:rsidRDefault="000233C0" w:rsidP="00F620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6641816"/>
      <w:docPartObj>
        <w:docPartGallery w:val="Page Numbers (Bottom of Page)"/>
        <w:docPartUnique/>
      </w:docPartObj>
    </w:sdtPr>
    <w:sdtEndPr>
      <w:rPr>
        <w:noProof/>
      </w:rPr>
    </w:sdtEndPr>
    <w:sdtContent>
      <w:p w14:paraId="61C1150F" w14:textId="2A46E24D" w:rsidR="00F620EF" w:rsidRDefault="00F620EF">
        <w:pPr>
          <w:pStyle w:val="Footer"/>
          <w:jc w:val="center"/>
        </w:pPr>
        <w:r>
          <w:fldChar w:fldCharType="begin"/>
        </w:r>
        <w:r>
          <w:instrText xml:space="preserve"> PAGE   \* MERGEFORMAT </w:instrText>
        </w:r>
        <w:r>
          <w:fldChar w:fldCharType="separate"/>
        </w:r>
        <w:r w:rsidR="006B7569">
          <w:rPr>
            <w:noProof/>
          </w:rPr>
          <w:t>1</w:t>
        </w:r>
        <w:r>
          <w:rPr>
            <w:noProof/>
          </w:rPr>
          <w:fldChar w:fldCharType="end"/>
        </w:r>
      </w:p>
    </w:sdtContent>
  </w:sdt>
  <w:p w14:paraId="5B26499E" w14:textId="77777777" w:rsidR="00F620EF" w:rsidRDefault="00F620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03DCF2" w14:textId="77777777" w:rsidR="000233C0" w:rsidRDefault="000233C0" w:rsidP="00F620EF">
      <w:pPr>
        <w:spacing w:after="0" w:line="240" w:lineRule="auto"/>
      </w:pPr>
      <w:r>
        <w:separator/>
      </w:r>
    </w:p>
  </w:footnote>
  <w:footnote w:type="continuationSeparator" w:id="0">
    <w:p w14:paraId="1A28FA58" w14:textId="77777777" w:rsidR="000233C0" w:rsidRDefault="000233C0" w:rsidP="00F620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573"/>
    <w:rsid w:val="000233C0"/>
    <w:rsid w:val="00041979"/>
    <w:rsid w:val="000729E3"/>
    <w:rsid w:val="001F3758"/>
    <w:rsid w:val="00665B80"/>
    <w:rsid w:val="006B7569"/>
    <w:rsid w:val="0079338A"/>
    <w:rsid w:val="00851608"/>
    <w:rsid w:val="00C649F7"/>
    <w:rsid w:val="00CD44FE"/>
    <w:rsid w:val="00DA5EB0"/>
    <w:rsid w:val="00DF5573"/>
    <w:rsid w:val="00EB4151"/>
    <w:rsid w:val="00F62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3318F"/>
  <w15:chartTrackingRefBased/>
  <w15:docId w15:val="{FC1B6020-1031-49A1-8C8E-03041B189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5573"/>
    <w:rPr>
      <w:color w:val="0563C1" w:themeColor="hyperlink"/>
      <w:u w:val="single"/>
    </w:rPr>
  </w:style>
  <w:style w:type="table" w:customStyle="1" w:styleId="PlainTable41">
    <w:name w:val="Plain Table 41"/>
    <w:basedOn w:val="TableNormal"/>
    <w:uiPriority w:val="44"/>
    <w:rsid w:val="00DA5EB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F620EF"/>
  </w:style>
  <w:style w:type="paragraph" w:styleId="Header">
    <w:name w:val="header"/>
    <w:basedOn w:val="Normal"/>
    <w:link w:val="HeaderChar"/>
    <w:uiPriority w:val="99"/>
    <w:unhideWhenUsed/>
    <w:rsid w:val="00F620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0EF"/>
  </w:style>
  <w:style w:type="paragraph" w:styleId="Footer">
    <w:name w:val="footer"/>
    <w:basedOn w:val="Normal"/>
    <w:link w:val="FooterChar"/>
    <w:uiPriority w:val="99"/>
    <w:unhideWhenUsed/>
    <w:rsid w:val="00F620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0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sg.idtdna.com/pages/tools/oligoanalyz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cbi.nlm.nih.gov/tools/primer-blas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3142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sudeshini</cp:lastModifiedBy>
  <cp:revision>2</cp:revision>
  <dcterms:created xsi:type="dcterms:W3CDTF">2022-11-14T08:25:00Z</dcterms:created>
  <dcterms:modified xsi:type="dcterms:W3CDTF">2022-11-14T08:25:00Z</dcterms:modified>
</cp:coreProperties>
</file>