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17445" w14:textId="3A37641A" w:rsidR="004E0E26" w:rsidRPr="00C0372B" w:rsidRDefault="004E0E26" w:rsidP="00C0372B">
      <w:pPr>
        <w:spacing w:after="0" w:line="276" w:lineRule="auto"/>
        <w:contextualSpacing/>
        <w:rPr>
          <w:rFonts w:cstheme="minorHAnsi"/>
          <w:b/>
          <w:bCs/>
        </w:rPr>
      </w:pPr>
      <w:r>
        <w:rPr>
          <w:rFonts w:cstheme="minorHAnsi"/>
          <w:b/>
          <w:bCs/>
        </w:rPr>
        <w:t xml:space="preserve">Supplementary material for </w:t>
      </w:r>
      <w:r w:rsidR="001A7989">
        <w:rPr>
          <w:rFonts w:cstheme="minorHAnsi"/>
          <w:b/>
          <w:bCs/>
        </w:rPr>
        <w:t xml:space="preserve">Ozodiegwu et al. </w:t>
      </w:r>
      <w:r>
        <w:rPr>
          <w:rFonts w:cstheme="minorHAnsi"/>
          <w:b/>
          <w:bCs/>
        </w:rPr>
        <w:t>“</w:t>
      </w:r>
      <w:r w:rsidR="56AE7756" w:rsidRPr="00C0372B">
        <w:rPr>
          <w:rFonts w:cstheme="minorHAnsi"/>
          <w:b/>
          <w:bCs/>
        </w:rPr>
        <w:t>Application of mathematical modeling to inform national malaria intervention planning in Nigeria</w:t>
      </w:r>
      <w:r>
        <w:rPr>
          <w:rFonts w:cstheme="minorHAnsi"/>
          <w:b/>
          <w:bCs/>
        </w:rPr>
        <w:t>”</w:t>
      </w:r>
    </w:p>
    <w:p w14:paraId="4566FFEE" w14:textId="77777777" w:rsidR="004E0E26" w:rsidRDefault="004E0E26" w:rsidP="00C0372B">
      <w:pPr>
        <w:spacing w:after="0" w:line="276" w:lineRule="auto"/>
        <w:contextualSpacing/>
      </w:pPr>
    </w:p>
    <w:sdt>
      <w:sdtPr>
        <w:rPr>
          <w:rFonts w:asciiTheme="minorHAnsi" w:eastAsiaTheme="minorHAnsi" w:hAnsiTheme="minorHAnsi" w:cstheme="minorHAnsi"/>
          <w:color w:val="auto"/>
          <w:sz w:val="22"/>
          <w:szCs w:val="22"/>
        </w:rPr>
        <w:id w:val="-2115350423"/>
        <w:docPartObj>
          <w:docPartGallery w:val="Table of Contents"/>
          <w:docPartUnique/>
        </w:docPartObj>
      </w:sdtPr>
      <w:sdtEndPr>
        <w:rPr>
          <w:b/>
          <w:bCs/>
          <w:noProof/>
        </w:rPr>
      </w:sdtEndPr>
      <w:sdtContent>
        <w:p w14:paraId="5FC5C2A4" w14:textId="38057BB1" w:rsidR="00734CE4" w:rsidRPr="00C0372B" w:rsidRDefault="00734CE4" w:rsidP="00A20747">
          <w:pPr>
            <w:pStyle w:val="TOCHeading"/>
            <w:spacing w:before="0" w:line="480" w:lineRule="auto"/>
            <w:contextualSpacing/>
            <w:rPr>
              <w:rFonts w:asciiTheme="minorHAnsi" w:hAnsiTheme="minorHAnsi" w:cstheme="minorHAnsi"/>
              <w:sz w:val="22"/>
              <w:szCs w:val="22"/>
            </w:rPr>
          </w:pPr>
          <w:r w:rsidRPr="00C0372B">
            <w:rPr>
              <w:rFonts w:asciiTheme="minorHAnsi" w:hAnsiTheme="minorHAnsi" w:cstheme="minorHAnsi"/>
              <w:sz w:val="22"/>
              <w:szCs w:val="22"/>
            </w:rPr>
            <w:t>Contents</w:t>
          </w:r>
        </w:p>
        <w:p w14:paraId="7589DCE4" w14:textId="47A7B9EE" w:rsidR="006E7E73" w:rsidRDefault="00734CE4">
          <w:pPr>
            <w:pStyle w:val="TOC1"/>
            <w:tabs>
              <w:tab w:val="right" w:leader="dot" w:pos="9350"/>
            </w:tabs>
            <w:rPr>
              <w:rFonts w:eastAsiaTheme="minorEastAsia"/>
              <w:noProof/>
            </w:rPr>
          </w:pPr>
          <w:r w:rsidRPr="00C0372B">
            <w:rPr>
              <w:rFonts w:cstheme="minorHAnsi"/>
            </w:rPr>
            <w:fldChar w:fldCharType="begin"/>
          </w:r>
          <w:r w:rsidRPr="00455A3C">
            <w:rPr>
              <w:rFonts w:cstheme="minorHAnsi"/>
            </w:rPr>
            <w:instrText xml:space="preserve"> TOC \o "1-3" \h \z \u </w:instrText>
          </w:r>
          <w:r w:rsidRPr="00C0372B">
            <w:rPr>
              <w:rFonts w:cstheme="minorHAnsi"/>
            </w:rPr>
            <w:fldChar w:fldCharType="separate"/>
          </w:r>
          <w:hyperlink w:anchor="_Toc77757573" w:history="1">
            <w:r w:rsidR="006E7E73" w:rsidRPr="001F4F3F">
              <w:rPr>
                <w:rStyle w:val="Hyperlink"/>
                <w:rFonts w:cstheme="minorHAnsi"/>
                <w:noProof/>
              </w:rPr>
              <w:t>Clustering LGAs into epidemiological archetypes</w:t>
            </w:r>
            <w:r w:rsidR="006E7E73">
              <w:rPr>
                <w:noProof/>
                <w:webHidden/>
              </w:rPr>
              <w:tab/>
            </w:r>
            <w:r w:rsidR="006E7E73">
              <w:rPr>
                <w:noProof/>
                <w:webHidden/>
              </w:rPr>
              <w:fldChar w:fldCharType="begin"/>
            </w:r>
            <w:r w:rsidR="006E7E73">
              <w:rPr>
                <w:noProof/>
                <w:webHidden/>
              </w:rPr>
              <w:instrText xml:space="preserve"> PAGEREF _Toc77757573 \h </w:instrText>
            </w:r>
            <w:r w:rsidR="006E7E73">
              <w:rPr>
                <w:noProof/>
                <w:webHidden/>
              </w:rPr>
            </w:r>
            <w:r w:rsidR="006E7E73">
              <w:rPr>
                <w:noProof/>
                <w:webHidden/>
              </w:rPr>
              <w:fldChar w:fldCharType="separate"/>
            </w:r>
            <w:r w:rsidR="006E7E73">
              <w:rPr>
                <w:noProof/>
                <w:webHidden/>
              </w:rPr>
              <w:t>2</w:t>
            </w:r>
            <w:r w:rsidR="006E7E73">
              <w:rPr>
                <w:noProof/>
                <w:webHidden/>
              </w:rPr>
              <w:fldChar w:fldCharType="end"/>
            </w:r>
          </w:hyperlink>
        </w:p>
        <w:p w14:paraId="44EC1036" w14:textId="556CC38D" w:rsidR="006E7E73" w:rsidRDefault="009C7427">
          <w:pPr>
            <w:pStyle w:val="TOC1"/>
            <w:tabs>
              <w:tab w:val="right" w:leader="dot" w:pos="9350"/>
            </w:tabs>
            <w:rPr>
              <w:rFonts w:eastAsiaTheme="minorEastAsia"/>
              <w:noProof/>
            </w:rPr>
          </w:pPr>
          <w:hyperlink w:anchor="_Toc77757574" w:history="1">
            <w:r w:rsidR="006E7E73" w:rsidRPr="001F4F3F">
              <w:rPr>
                <w:rStyle w:val="Hyperlink"/>
                <w:rFonts w:cstheme="minorHAnsi"/>
                <w:noProof/>
              </w:rPr>
              <w:t>Setting baseline transmission intensity by archetype</w:t>
            </w:r>
            <w:r w:rsidR="006E7E73">
              <w:rPr>
                <w:noProof/>
                <w:webHidden/>
              </w:rPr>
              <w:tab/>
            </w:r>
            <w:r w:rsidR="006E7E73">
              <w:rPr>
                <w:noProof/>
                <w:webHidden/>
              </w:rPr>
              <w:fldChar w:fldCharType="begin"/>
            </w:r>
            <w:r w:rsidR="006E7E73">
              <w:rPr>
                <w:noProof/>
                <w:webHidden/>
              </w:rPr>
              <w:instrText xml:space="preserve"> PAGEREF _Toc77757574 \h </w:instrText>
            </w:r>
            <w:r w:rsidR="006E7E73">
              <w:rPr>
                <w:noProof/>
                <w:webHidden/>
              </w:rPr>
            </w:r>
            <w:r w:rsidR="006E7E73">
              <w:rPr>
                <w:noProof/>
                <w:webHidden/>
              </w:rPr>
              <w:fldChar w:fldCharType="separate"/>
            </w:r>
            <w:r w:rsidR="006E7E73">
              <w:rPr>
                <w:noProof/>
                <w:webHidden/>
              </w:rPr>
              <w:t>5</w:t>
            </w:r>
            <w:r w:rsidR="006E7E73">
              <w:rPr>
                <w:noProof/>
                <w:webHidden/>
              </w:rPr>
              <w:fldChar w:fldCharType="end"/>
            </w:r>
          </w:hyperlink>
        </w:p>
        <w:p w14:paraId="2F36CB59" w14:textId="7CD19C38" w:rsidR="006E7E73" w:rsidRDefault="009C7427">
          <w:pPr>
            <w:pStyle w:val="TOC1"/>
            <w:tabs>
              <w:tab w:val="right" w:leader="dot" w:pos="9350"/>
            </w:tabs>
            <w:rPr>
              <w:rFonts w:eastAsiaTheme="minorEastAsia"/>
              <w:noProof/>
            </w:rPr>
          </w:pPr>
          <w:hyperlink w:anchor="_Toc77757575" w:history="1">
            <w:r w:rsidR="006E7E73" w:rsidRPr="001F4F3F">
              <w:rPr>
                <w:rStyle w:val="Hyperlink"/>
                <w:rFonts w:cstheme="minorHAnsi"/>
                <w:noProof/>
              </w:rPr>
              <w:t>Parameterizing intervention coverage</w:t>
            </w:r>
            <w:r w:rsidR="006E7E73">
              <w:rPr>
                <w:noProof/>
                <w:webHidden/>
              </w:rPr>
              <w:tab/>
            </w:r>
            <w:r w:rsidR="006E7E73">
              <w:rPr>
                <w:noProof/>
                <w:webHidden/>
              </w:rPr>
              <w:fldChar w:fldCharType="begin"/>
            </w:r>
            <w:r w:rsidR="006E7E73">
              <w:rPr>
                <w:noProof/>
                <w:webHidden/>
              </w:rPr>
              <w:instrText xml:space="preserve"> PAGEREF _Toc77757575 \h </w:instrText>
            </w:r>
            <w:r w:rsidR="006E7E73">
              <w:rPr>
                <w:noProof/>
                <w:webHidden/>
              </w:rPr>
            </w:r>
            <w:r w:rsidR="006E7E73">
              <w:rPr>
                <w:noProof/>
                <w:webHidden/>
              </w:rPr>
              <w:fldChar w:fldCharType="separate"/>
            </w:r>
            <w:r w:rsidR="006E7E73">
              <w:rPr>
                <w:noProof/>
                <w:webHidden/>
              </w:rPr>
              <w:t>6</w:t>
            </w:r>
            <w:r w:rsidR="006E7E73">
              <w:rPr>
                <w:noProof/>
                <w:webHidden/>
              </w:rPr>
              <w:fldChar w:fldCharType="end"/>
            </w:r>
          </w:hyperlink>
        </w:p>
        <w:p w14:paraId="6423E61A" w14:textId="3191809A" w:rsidR="006E7E73" w:rsidRDefault="009C7427">
          <w:pPr>
            <w:pStyle w:val="TOC1"/>
            <w:tabs>
              <w:tab w:val="right" w:leader="dot" w:pos="9350"/>
            </w:tabs>
            <w:rPr>
              <w:rFonts w:eastAsiaTheme="minorEastAsia"/>
              <w:noProof/>
            </w:rPr>
          </w:pPr>
          <w:hyperlink w:anchor="_Toc77757576" w:history="1">
            <w:r w:rsidR="006E7E73" w:rsidRPr="001F4F3F">
              <w:rPr>
                <w:rStyle w:val="Hyperlink"/>
                <w:rFonts w:cstheme="minorHAnsi"/>
                <w:noProof/>
              </w:rPr>
              <w:t>Parametrizing the ITN model</w:t>
            </w:r>
            <w:r w:rsidR="006E7E73">
              <w:rPr>
                <w:noProof/>
                <w:webHidden/>
              </w:rPr>
              <w:tab/>
            </w:r>
            <w:r w:rsidR="006E7E73">
              <w:rPr>
                <w:noProof/>
                <w:webHidden/>
              </w:rPr>
              <w:fldChar w:fldCharType="begin"/>
            </w:r>
            <w:r w:rsidR="006E7E73">
              <w:rPr>
                <w:noProof/>
                <w:webHidden/>
              </w:rPr>
              <w:instrText xml:space="preserve"> PAGEREF _Toc77757576 \h </w:instrText>
            </w:r>
            <w:r w:rsidR="006E7E73">
              <w:rPr>
                <w:noProof/>
                <w:webHidden/>
              </w:rPr>
            </w:r>
            <w:r w:rsidR="006E7E73">
              <w:rPr>
                <w:noProof/>
                <w:webHidden/>
              </w:rPr>
              <w:fldChar w:fldCharType="separate"/>
            </w:r>
            <w:r w:rsidR="006E7E73">
              <w:rPr>
                <w:noProof/>
                <w:webHidden/>
              </w:rPr>
              <w:t>7</w:t>
            </w:r>
            <w:r w:rsidR="006E7E73">
              <w:rPr>
                <w:noProof/>
                <w:webHidden/>
              </w:rPr>
              <w:fldChar w:fldCharType="end"/>
            </w:r>
          </w:hyperlink>
        </w:p>
        <w:p w14:paraId="503F6C4E" w14:textId="3051F895" w:rsidR="006E7E73" w:rsidRDefault="009C7427">
          <w:pPr>
            <w:pStyle w:val="TOC2"/>
            <w:tabs>
              <w:tab w:val="right" w:leader="dot" w:pos="9350"/>
            </w:tabs>
            <w:rPr>
              <w:rFonts w:eastAsiaTheme="minorEastAsia"/>
              <w:noProof/>
            </w:rPr>
          </w:pPr>
          <w:hyperlink w:anchor="_Toc77757577" w:history="1">
            <w:r w:rsidR="006E7E73" w:rsidRPr="001F4F3F">
              <w:rPr>
                <w:rStyle w:val="Hyperlink"/>
                <w:rFonts w:cstheme="minorHAnsi"/>
                <w:noProof/>
              </w:rPr>
              <w:t>ITN blocking rate</w:t>
            </w:r>
            <w:r w:rsidR="006E7E73">
              <w:rPr>
                <w:noProof/>
                <w:webHidden/>
              </w:rPr>
              <w:tab/>
            </w:r>
            <w:r w:rsidR="006E7E73">
              <w:rPr>
                <w:noProof/>
                <w:webHidden/>
              </w:rPr>
              <w:fldChar w:fldCharType="begin"/>
            </w:r>
            <w:r w:rsidR="006E7E73">
              <w:rPr>
                <w:noProof/>
                <w:webHidden/>
              </w:rPr>
              <w:instrText xml:space="preserve"> PAGEREF _Toc77757577 \h </w:instrText>
            </w:r>
            <w:r w:rsidR="006E7E73">
              <w:rPr>
                <w:noProof/>
                <w:webHidden/>
              </w:rPr>
            </w:r>
            <w:r w:rsidR="006E7E73">
              <w:rPr>
                <w:noProof/>
                <w:webHidden/>
              </w:rPr>
              <w:fldChar w:fldCharType="separate"/>
            </w:r>
            <w:r w:rsidR="006E7E73">
              <w:rPr>
                <w:noProof/>
                <w:webHidden/>
              </w:rPr>
              <w:t>8</w:t>
            </w:r>
            <w:r w:rsidR="006E7E73">
              <w:rPr>
                <w:noProof/>
                <w:webHidden/>
              </w:rPr>
              <w:fldChar w:fldCharType="end"/>
            </w:r>
          </w:hyperlink>
        </w:p>
        <w:p w14:paraId="2C2AC5A7" w14:textId="206296E5" w:rsidR="006E7E73" w:rsidRDefault="009C7427">
          <w:pPr>
            <w:pStyle w:val="TOC2"/>
            <w:tabs>
              <w:tab w:val="right" w:leader="dot" w:pos="9350"/>
            </w:tabs>
            <w:rPr>
              <w:rFonts w:eastAsiaTheme="minorEastAsia"/>
              <w:noProof/>
            </w:rPr>
          </w:pPr>
          <w:hyperlink w:anchor="_Toc77757578" w:history="1">
            <w:r w:rsidR="006E7E73" w:rsidRPr="001F4F3F">
              <w:rPr>
                <w:rStyle w:val="Hyperlink"/>
                <w:rFonts w:cstheme="minorHAnsi"/>
                <w:noProof/>
              </w:rPr>
              <w:t>ITN killing rate</w:t>
            </w:r>
            <w:r w:rsidR="006E7E73">
              <w:rPr>
                <w:noProof/>
                <w:webHidden/>
              </w:rPr>
              <w:tab/>
            </w:r>
            <w:r w:rsidR="006E7E73">
              <w:rPr>
                <w:noProof/>
                <w:webHidden/>
              </w:rPr>
              <w:fldChar w:fldCharType="begin"/>
            </w:r>
            <w:r w:rsidR="006E7E73">
              <w:rPr>
                <w:noProof/>
                <w:webHidden/>
              </w:rPr>
              <w:instrText xml:space="preserve"> PAGEREF _Toc77757578 \h </w:instrText>
            </w:r>
            <w:r w:rsidR="006E7E73">
              <w:rPr>
                <w:noProof/>
                <w:webHidden/>
              </w:rPr>
            </w:r>
            <w:r w:rsidR="006E7E73">
              <w:rPr>
                <w:noProof/>
                <w:webHidden/>
              </w:rPr>
              <w:fldChar w:fldCharType="separate"/>
            </w:r>
            <w:r w:rsidR="006E7E73">
              <w:rPr>
                <w:noProof/>
                <w:webHidden/>
              </w:rPr>
              <w:t>8</w:t>
            </w:r>
            <w:r w:rsidR="006E7E73">
              <w:rPr>
                <w:noProof/>
                <w:webHidden/>
              </w:rPr>
              <w:fldChar w:fldCharType="end"/>
            </w:r>
          </w:hyperlink>
        </w:p>
        <w:p w14:paraId="7FED5EEC" w14:textId="4BD809EF" w:rsidR="006E7E73" w:rsidRDefault="009C7427">
          <w:pPr>
            <w:pStyle w:val="TOC3"/>
            <w:tabs>
              <w:tab w:val="left" w:pos="880"/>
              <w:tab w:val="right" w:leader="dot" w:pos="9350"/>
            </w:tabs>
            <w:rPr>
              <w:rFonts w:eastAsiaTheme="minorEastAsia"/>
              <w:noProof/>
            </w:rPr>
          </w:pPr>
          <w:hyperlink w:anchor="_Toc77757579" w:history="1">
            <w:r w:rsidR="006E7E73" w:rsidRPr="001F4F3F">
              <w:rPr>
                <w:rStyle w:val="Hyperlink"/>
                <w:rFonts w:cstheme="minorHAnsi"/>
                <w:i/>
                <w:noProof/>
              </w:rPr>
              <w:t>i.</w:t>
            </w:r>
            <w:r w:rsidR="006E7E73">
              <w:rPr>
                <w:rFonts w:eastAsiaTheme="minorEastAsia"/>
                <w:noProof/>
              </w:rPr>
              <w:tab/>
            </w:r>
            <w:r w:rsidR="006E7E73" w:rsidRPr="001F4F3F">
              <w:rPr>
                <w:rStyle w:val="Hyperlink"/>
                <w:rFonts w:cstheme="minorHAnsi"/>
                <w:i/>
                <w:noProof/>
              </w:rPr>
              <w:t>Permethrin (pyrethroid) nets</w:t>
            </w:r>
            <w:r w:rsidR="006E7E73">
              <w:rPr>
                <w:noProof/>
                <w:webHidden/>
              </w:rPr>
              <w:tab/>
            </w:r>
            <w:r w:rsidR="006E7E73">
              <w:rPr>
                <w:noProof/>
                <w:webHidden/>
              </w:rPr>
              <w:fldChar w:fldCharType="begin"/>
            </w:r>
            <w:r w:rsidR="006E7E73">
              <w:rPr>
                <w:noProof/>
                <w:webHidden/>
              </w:rPr>
              <w:instrText xml:space="preserve"> PAGEREF _Toc77757579 \h </w:instrText>
            </w:r>
            <w:r w:rsidR="006E7E73">
              <w:rPr>
                <w:noProof/>
                <w:webHidden/>
              </w:rPr>
            </w:r>
            <w:r w:rsidR="006E7E73">
              <w:rPr>
                <w:noProof/>
                <w:webHidden/>
              </w:rPr>
              <w:fldChar w:fldCharType="separate"/>
            </w:r>
            <w:r w:rsidR="006E7E73">
              <w:rPr>
                <w:noProof/>
                <w:webHidden/>
              </w:rPr>
              <w:t>8</w:t>
            </w:r>
            <w:r w:rsidR="006E7E73">
              <w:rPr>
                <w:noProof/>
                <w:webHidden/>
              </w:rPr>
              <w:fldChar w:fldCharType="end"/>
            </w:r>
          </w:hyperlink>
        </w:p>
        <w:p w14:paraId="505F79F8" w14:textId="1DBC60B9" w:rsidR="006E7E73" w:rsidRDefault="009C7427">
          <w:pPr>
            <w:pStyle w:val="TOC3"/>
            <w:tabs>
              <w:tab w:val="left" w:pos="880"/>
              <w:tab w:val="right" w:leader="dot" w:pos="9350"/>
            </w:tabs>
            <w:rPr>
              <w:rFonts w:eastAsiaTheme="minorEastAsia"/>
              <w:noProof/>
            </w:rPr>
          </w:pPr>
          <w:hyperlink w:anchor="_Toc77757580" w:history="1">
            <w:r w:rsidR="006E7E73" w:rsidRPr="001F4F3F">
              <w:rPr>
                <w:rStyle w:val="Hyperlink"/>
                <w:rFonts w:eastAsia="Times New Roman" w:cstheme="minorHAnsi"/>
                <w:i/>
                <w:noProof/>
              </w:rPr>
              <w:t>ii.</w:t>
            </w:r>
            <w:r w:rsidR="006E7E73">
              <w:rPr>
                <w:rFonts w:eastAsiaTheme="minorEastAsia"/>
                <w:noProof/>
              </w:rPr>
              <w:tab/>
            </w:r>
            <w:r w:rsidR="006E7E73" w:rsidRPr="001F4F3F">
              <w:rPr>
                <w:rStyle w:val="Hyperlink"/>
                <w:rFonts w:eastAsia="Times New Roman" w:cstheme="minorHAnsi"/>
                <w:i/>
                <w:noProof/>
              </w:rPr>
              <w:t>Pyrethroid piperonyl butoxide (PBO) nets</w:t>
            </w:r>
            <w:r w:rsidR="006E7E73">
              <w:rPr>
                <w:noProof/>
                <w:webHidden/>
              </w:rPr>
              <w:tab/>
            </w:r>
            <w:r w:rsidR="006E7E73">
              <w:rPr>
                <w:noProof/>
                <w:webHidden/>
              </w:rPr>
              <w:fldChar w:fldCharType="begin"/>
            </w:r>
            <w:r w:rsidR="006E7E73">
              <w:rPr>
                <w:noProof/>
                <w:webHidden/>
              </w:rPr>
              <w:instrText xml:space="preserve"> PAGEREF _Toc77757580 \h </w:instrText>
            </w:r>
            <w:r w:rsidR="006E7E73">
              <w:rPr>
                <w:noProof/>
                <w:webHidden/>
              </w:rPr>
            </w:r>
            <w:r w:rsidR="006E7E73">
              <w:rPr>
                <w:noProof/>
                <w:webHidden/>
              </w:rPr>
              <w:fldChar w:fldCharType="separate"/>
            </w:r>
            <w:r w:rsidR="006E7E73">
              <w:rPr>
                <w:noProof/>
                <w:webHidden/>
              </w:rPr>
              <w:t>10</w:t>
            </w:r>
            <w:r w:rsidR="006E7E73">
              <w:rPr>
                <w:noProof/>
                <w:webHidden/>
              </w:rPr>
              <w:fldChar w:fldCharType="end"/>
            </w:r>
          </w:hyperlink>
        </w:p>
        <w:p w14:paraId="79D71135" w14:textId="257E133D" w:rsidR="006E7E73" w:rsidRDefault="009C7427">
          <w:pPr>
            <w:pStyle w:val="TOC3"/>
            <w:tabs>
              <w:tab w:val="left" w:pos="880"/>
              <w:tab w:val="right" w:leader="dot" w:pos="9350"/>
            </w:tabs>
            <w:rPr>
              <w:rFonts w:eastAsiaTheme="minorEastAsia"/>
              <w:noProof/>
            </w:rPr>
          </w:pPr>
          <w:hyperlink w:anchor="_Toc77757581" w:history="1">
            <w:r w:rsidR="006E7E73" w:rsidRPr="001F4F3F">
              <w:rPr>
                <w:rStyle w:val="Hyperlink"/>
                <w:rFonts w:eastAsia="Times New Roman" w:cstheme="minorHAnsi"/>
                <w:i/>
                <w:noProof/>
              </w:rPr>
              <w:t>iii.</w:t>
            </w:r>
            <w:r w:rsidR="006E7E73">
              <w:rPr>
                <w:rFonts w:eastAsiaTheme="minorEastAsia"/>
                <w:noProof/>
              </w:rPr>
              <w:tab/>
            </w:r>
            <w:r w:rsidR="006E7E73" w:rsidRPr="001F4F3F">
              <w:rPr>
                <w:rStyle w:val="Hyperlink"/>
                <w:rFonts w:eastAsia="Times New Roman" w:cstheme="minorHAnsi"/>
                <w:i/>
                <w:noProof/>
              </w:rPr>
              <w:t>IG2 nets</w:t>
            </w:r>
            <w:r w:rsidR="006E7E73">
              <w:rPr>
                <w:noProof/>
                <w:webHidden/>
              </w:rPr>
              <w:tab/>
            </w:r>
            <w:r w:rsidR="006E7E73">
              <w:rPr>
                <w:noProof/>
                <w:webHidden/>
              </w:rPr>
              <w:fldChar w:fldCharType="begin"/>
            </w:r>
            <w:r w:rsidR="006E7E73">
              <w:rPr>
                <w:noProof/>
                <w:webHidden/>
              </w:rPr>
              <w:instrText xml:space="preserve"> PAGEREF _Toc77757581 \h </w:instrText>
            </w:r>
            <w:r w:rsidR="006E7E73">
              <w:rPr>
                <w:noProof/>
                <w:webHidden/>
              </w:rPr>
            </w:r>
            <w:r w:rsidR="006E7E73">
              <w:rPr>
                <w:noProof/>
                <w:webHidden/>
              </w:rPr>
              <w:fldChar w:fldCharType="separate"/>
            </w:r>
            <w:r w:rsidR="006E7E73">
              <w:rPr>
                <w:noProof/>
                <w:webHidden/>
              </w:rPr>
              <w:t>11</w:t>
            </w:r>
            <w:r w:rsidR="006E7E73">
              <w:rPr>
                <w:noProof/>
                <w:webHidden/>
              </w:rPr>
              <w:fldChar w:fldCharType="end"/>
            </w:r>
          </w:hyperlink>
        </w:p>
        <w:p w14:paraId="4ABC1098" w14:textId="42038C71" w:rsidR="006E7E73" w:rsidRDefault="009C7427">
          <w:pPr>
            <w:pStyle w:val="TOC1"/>
            <w:tabs>
              <w:tab w:val="right" w:leader="dot" w:pos="9350"/>
            </w:tabs>
            <w:rPr>
              <w:rFonts w:eastAsiaTheme="minorEastAsia"/>
              <w:noProof/>
            </w:rPr>
          </w:pPr>
          <w:hyperlink w:anchor="_Toc77757582" w:history="1">
            <w:r w:rsidR="006E7E73" w:rsidRPr="001F4F3F">
              <w:rPr>
                <w:rStyle w:val="Hyperlink"/>
                <w:rFonts w:eastAsia="Times New Roman" w:cstheme="minorHAnsi"/>
                <w:noProof/>
              </w:rPr>
              <w:t>Intermittent preventive treatment in pregnant women (IPTp)</w:t>
            </w:r>
            <w:r w:rsidR="006E7E73">
              <w:rPr>
                <w:noProof/>
                <w:webHidden/>
              </w:rPr>
              <w:tab/>
            </w:r>
            <w:r w:rsidR="006E7E73">
              <w:rPr>
                <w:noProof/>
                <w:webHidden/>
              </w:rPr>
              <w:fldChar w:fldCharType="begin"/>
            </w:r>
            <w:r w:rsidR="006E7E73">
              <w:rPr>
                <w:noProof/>
                <w:webHidden/>
              </w:rPr>
              <w:instrText xml:space="preserve"> PAGEREF _Toc77757582 \h </w:instrText>
            </w:r>
            <w:r w:rsidR="006E7E73">
              <w:rPr>
                <w:noProof/>
                <w:webHidden/>
              </w:rPr>
            </w:r>
            <w:r w:rsidR="006E7E73">
              <w:rPr>
                <w:noProof/>
                <w:webHidden/>
              </w:rPr>
              <w:fldChar w:fldCharType="separate"/>
            </w:r>
            <w:r w:rsidR="006E7E73">
              <w:rPr>
                <w:noProof/>
                <w:webHidden/>
              </w:rPr>
              <w:t>11</w:t>
            </w:r>
            <w:r w:rsidR="006E7E73">
              <w:rPr>
                <w:noProof/>
                <w:webHidden/>
              </w:rPr>
              <w:fldChar w:fldCharType="end"/>
            </w:r>
          </w:hyperlink>
        </w:p>
        <w:p w14:paraId="2BD57841" w14:textId="200ACF5C" w:rsidR="006E7E73" w:rsidRDefault="009C7427">
          <w:pPr>
            <w:pStyle w:val="TOC2"/>
            <w:tabs>
              <w:tab w:val="right" w:leader="dot" w:pos="9350"/>
            </w:tabs>
            <w:rPr>
              <w:rFonts w:eastAsiaTheme="minorEastAsia"/>
              <w:noProof/>
            </w:rPr>
          </w:pPr>
          <w:hyperlink w:anchor="_Toc77757583" w:history="1">
            <w:r w:rsidR="006E7E73" w:rsidRPr="001F4F3F">
              <w:rPr>
                <w:rStyle w:val="Hyperlink"/>
                <w:rFonts w:cstheme="minorHAnsi"/>
                <w:noProof/>
              </w:rPr>
              <w:t>IPTp coverage 2010-2020</w:t>
            </w:r>
            <w:r w:rsidR="006E7E73">
              <w:rPr>
                <w:noProof/>
                <w:webHidden/>
              </w:rPr>
              <w:tab/>
            </w:r>
            <w:r w:rsidR="006E7E73">
              <w:rPr>
                <w:noProof/>
                <w:webHidden/>
              </w:rPr>
              <w:fldChar w:fldCharType="begin"/>
            </w:r>
            <w:r w:rsidR="006E7E73">
              <w:rPr>
                <w:noProof/>
                <w:webHidden/>
              </w:rPr>
              <w:instrText xml:space="preserve"> PAGEREF _Toc77757583 \h </w:instrText>
            </w:r>
            <w:r w:rsidR="006E7E73">
              <w:rPr>
                <w:noProof/>
                <w:webHidden/>
              </w:rPr>
            </w:r>
            <w:r w:rsidR="006E7E73">
              <w:rPr>
                <w:noProof/>
                <w:webHidden/>
              </w:rPr>
              <w:fldChar w:fldCharType="separate"/>
            </w:r>
            <w:r w:rsidR="006E7E73">
              <w:rPr>
                <w:noProof/>
                <w:webHidden/>
              </w:rPr>
              <w:t>11</w:t>
            </w:r>
            <w:r w:rsidR="006E7E73">
              <w:rPr>
                <w:noProof/>
                <w:webHidden/>
              </w:rPr>
              <w:fldChar w:fldCharType="end"/>
            </w:r>
          </w:hyperlink>
        </w:p>
        <w:p w14:paraId="377311B5" w14:textId="1A3477F5" w:rsidR="006E7E73" w:rsidRDefault="009C7427">
          <w:pPr>
            <w:pStyle w:val="TOC2"/>
            <w:tabs>
              <w:tab w:val="right" w:leader="dot" w:pos="9350"/>
            </w:tabs>
            <w:rPr>
              <w:rFonts w:eastAsiaTheme="minorEastAsia"/>
              <w:noProof/>
            </w:rPr>
          </w:pPr>
          <w:hyperlink w:anchor="_Toc77757584" w:history="1">
            <w:r w:rsidR="006E7E73" w:rsidRPr="001F4F3F">
              <w:rPr>
                <w:rStyle w:val="Hyperlink"/>
                <w:rFonts w:cstheme="minorHAnsi"/>
                <w:noProof/>
              </w:rPr>
              <w:t>Estimating the fraction of individuals that received different IPTp doses</w:t>
            </w:r>
            <w:r w:rsidR="006E7E73">
              <w:rPr>
                <w:noProof/>
                <w:webHidden/>
              </w:rPr>
              <w:tab/>
            </w:r>
            <w:r w:rsidR="006E7E73">
              <w:rPr>
                <w:noProof/>
                <w:webHidden/>
              </w:rPr>
              <w:fldChar w:fldCharType="begin"/>
            </w:r>
            <w:r w:rsidR="006E7E73">
              <w:rPr>
                <w:noProof/>
                <w:webHidden/>
              </w:rPr>
              <w:instrText xml:space="preserve"> PAGEREF _Toc77757584 \h </w:instrText>
            </w:r>
            <w:r w:rsidR="006E7E73">
              <w:rPr>
                <w:noProof/>
                <w:webHidden/>
              </w:rPr>
            </w:r>
            <w:r w:rsidR="006E7E73">
              <w:rPr>
                <w:noProof/>
                <w:webHidden/>
              </w:rPr>
              <w:fldChar w:fldCharType="separate"/>
            </w:r>
            <w:r w:rsidR="006E7E73">
              <w:rPr>
                <w:noProof/>
                <w:webHidden/>
              </w:rPr>
              <w:t>11</w:t>
            </w:r>
            <w:r w:rsidR="006E7E73">
              <w:rPr>
                <w:noProof/>
                <w:webHidden/>
              </w:rPr>
              <w:fldChar w:fldCharType="end"/>
            </w:r>
          </w:hyperlink>
        </w:p>
        <w:p w14:paraId="547B1A27" w14:textId="30651EB9" w:rsidR="006E7E73" w:rsidRDefault="009C7427">
          <w:pPr>
            <w:pStyle w:val="TOC2"/>
            <w:tabs>
              <w:tab w:val="right" w:leader="dot" w:pos="9350"/>
            </w:tabs>
            <w:rPr>
              <w:rFonts w:eastAsiaTheme="minorEastAsia"/>
              <w:noProof/>
            </w:rPr>
          </w:pPr>
          <w:hyperlink w:anchor="_Toc77757585" w:history="1">
            <w:r w:rsidR="006E7E73" w:rsidRPr="001F4F3F">
              <w:rPr>
                <w:rStyle w:val="Hyperlink"/>
                <w:rFonts w:cstheme="minorHAnsi"/>
                <w:noProof/>
              </w:rPr>
              <w:t>Adjusting PfPR to account for the impact of IPTp</w:t>
            </w:r>
            <w:r w:rsidR="006E7E73">
              <w:rPr>
                <w:noProof/>
                <w:webHidden/>
              </w:rPr>
              <w:tab/>
            </w:r>
            <w:r w:rsidR="006E7E73">
              <w:rPr>
                <w:noProof/>
                <w:webHidden/>
              </w:rPr>
              <w:fldChar w:fldCharType="begin"/>
            </w:r>
            <w:r w:rsidR="006E7E73">
              <w:rPr>
                <w:noProof/>
                <w:webHidden/>
              </w:rPr>
              <w:instrText xml:space="preserve"> PAGEREF _Toc77757585 \h </w:instrText>
            </w:r>
            <w:r w:rsidR="006E7E73">
              <w:rPr>
                <w:noProof/>
                <w:webHidden/>
              </w:rPr>
            </w:r>
            <w:r w:rsidR="006E7E73">
              <w:rPr>
                <w:noProof/>
                <w:webHidden/>
              </w:rPr>
              <w:fldChar w:fldCharType="separate"/>
            </w:r>
            <w:r w:rsidR="006E7E73">
              <w:rPr>
                <w:noProof/>
                <w:webHidden/>
              </w:rPr>
              <w:t>12</w:t>
            </w:r>
            <w:r w:rsidR="006E7E73">
              <w:rPr>
                <w:noProof/>
                <w:webHidden/>
              </w:rPr>
              <w:fldChar w:fldCharType="end"/>
            </w:r>
          </w:hyperlink>
        </w:p>
        <w:p w14:paraId="11A73C5D" w14:textId="67A84983" w:rsidR="006E7E73" w:rsidRDefault="009C7427">
          <w:pPr>
            <w:pStyle w:val="TOC1"/>
            <w:tabs>
              <w:tab w:val="right" w:leader="dot" w:pos="9350"/>
            </w:tabs>
            <w:rPr>
              <w:rFonts w:eastAsiaTheme="minorEastAsia"/>
              <w:noProof/>
            </w:rPr>
          </w:pPr>
          <w:hyperlink w:anchor="_Toc77757586" w:history="1">
            <w:r w:rsidR="006E7E73" w:rsidRPr="001F4F3F">
              <w:rPr>
                <w:rStyle w:val="Hyperlink"/>
                <w:rFonts w:eastAsia="Times New Roman" w:cstheme="minorHAnsi"/>
                <w:noProof/>
              </w:rPr>
              <w:t>Intermittent Preventive Treatment in Infants (IPTi)</w:t>
            </w:r>
            <w:r w:rsidR="006E7E73">
              <w:rPr>
                <w:noProof/>
                <w:webHidden/>
              </w:rPr>
              <w:tab/>
            </w:r>
            <w:r w:rsidR="006E7E73">
              <w:rPr>
                <w:noProof/>
                <w:webHidden/>
              </w:rPr>
              <w:fldChar w:fldCharType="begin"/>
            </w:r>
            <w:r w:rsidR="006E7E73">
              <w:rPr>
                <w:noProof/>
                <w:webHidden/>
              </w:rPr>
              <w:instrText xml:space="preserve"> PAGEREF _Toc77757586 \h </w:instrText>
            </w:r>
            <w:r w:rsidR="006E7E73">
              <w:rPr>
                <w:noProof/>
                <w:webHidden/>
              </w:rPr>
            </w:r>
            <w:r w:rsidR="006E7E73">
              <w:rPr>
                <w:noProof/>
                <w:webHidden/>
              </w:rPr>
              <w:fldChar w:fldCharType="separate"/>
            </w:r>
            <w:r w:rsidR="006E7E73">
              <w:rPr>
                <w:noProof/>
                <w:webHidden/>
              </w:rPr>
              <w:t>13</w:t>
            </w:r>
            <w:r w:rsidR="006E7E73">
              <w:rPr>
                <w:noProof/>
                <w:webHidden/>
              </w:rPr>
              <w:fldChar w:fldCharType="end"/>
            </w:r>
          </w:hyperlink>
        </w:p>
        <w:p w14:paraId="57C3685E" w14:textId="69D9072A" w:rsidR="006E7E73" w:rsidRDefault="009C7427">
          <w:pPr>
            <w:pStyle w:val="TOC2"/>
            <w:tabs>
              <w:tab w:val="right" w:leader="dot" w:pos="9350"/>
            </w:tabs>
            <w:rPr>
              <w:rFonts w:eastAsiaTheme="minorEastAsia"/>
              <w:noProof/>
            </w:rPr>
          </w:pPr>
          <w:hyperlink w:anchor="_Toc77757587" w:history="1">
            <w:r w:rsidR="006E7E73" w:rsidRPr="001F4F3F">
              <w:rPr>
                <w:rStyle w:val="Hyperlink"/>
                <w:rFonts w:cstheme="minorHAnsi"/>
                <w:noProof/>
              </w:rPr>
              <w:t>Estimating likely IPTi coverage through historical vaccine coverage</w:t>
            </w:r>
            <w:r w:rsidR="006E7E73">
              <w:rPr>
                <w:noProof/>
                <w:webHidden/>
              </w:rPr>
              <w:tab/>
            </w:r>
            <w:r w:rsidR="006E7E73">
              <w:rPr>
                <w:noProof/>
                <w:webHidden/>
              </w:rPr>
              <w:fldChar w:fldCharType="begin"/>
            </w:r>
            <w:r w:rsidR="006E7E73">
              <w:rPr>
                <w:noProof/>
                <w:webHidden/>
              </w:rPr>
              <w:instrText xml:space="preserve"> PAGEREF _Toc77757587 \h </w:instrText>
            </w:r>
            <w:r w:rsidR="006E7E73">
              <w:rPr>
                <w:noProof/>
                <w:webHidden/>
              </w:rPr>
            </w:r>
            <w:r w:rsidR="006E7E73">
              <w:rPr>
                <w:noProof/>
                <w:webHidden/>
              </w:rPr>
              <w:fldChar w:fldCharType="separate"/>
            </w:r>
            <w:r w:rsidR="006E7E73">
              <w:rPr>
                <w:noProof/>
                <w:webHidden/>
              </w:rPr>
              <w:t>13</w:t>
            </w:r>
            <w:r w:rsidR="006E7E73">
              <w:rPr>
                <w:noProof/>
                <w:webHidden/>
              </w:rPr>
              <w:fldChar w:fldCharType="end"/>
            </w:r>
          </w:hyperlink>
        </w:p>
        <w:p w14:paraId="7E87BAE8" w14:textId="05E39503" w:rsidR="006E7E73" w:rsidRDefault="009C7427">
          <w:pPr>
            <w:pStyle w:val="TOC2"/>
            <w:tabs>
              <w:tab w:val="right" w:leader="dot" w:pos="9350"/>
            </w:tabs>
            <w:rPr>
              <w:rFonts w:eastAsiaTheme="minorEastAsia"/>
              <w:noProof/>
            </w:rPr>
          </w:pPr>
          <w:hyperlink w:anchor="_Toc77757588" w:history="1">
            <w:r w:rsidR="006E7E73" w:rsidRPr="001F4F3F">
              <w:rPr>
                <w:rStyle w:val="Hyperlink"/>
                <w:rFonts w:cstheme="minorHAnsi"/>
                <w:noProof/>
              </w:rPr>
              <w:t>Adjusting prevalence, incidence and mortality for the impact of IPTi</w:t>
            </w:r>
            <w:r w:rsidR="006E7E73">
              <w:rPr>
                <w:noProof/>
                <w:webHidden/>
              </w:rPr>
              <w:tab/>
            </w:r>
            <w:r w:rsidR="006E7E73">
              <w:rPr>
                <w:noProof/>
                <w:webHidden/>
              </w:rPr>
              <w:fldChar w:fldCharType="begin"/>
            </w:r>
            <w:r w:rsidR="006E7E73">
              <w:rPr>
                <w:noProof/>
                <w:webHidden/>
              </w:rPr>
              <w:instrText xml:space="preserve"> PAGEREF _Toc77757588 \h </w:instrText>
            </w:r>
            <w:r w:rsidR="006E7E73">
              <w:rPr>
                <w:noProof/>
                <w:webHidden/>
              </w:rPr>
            </w:r>
            <w:r w:rsidR="006E7E73">
              <w:rPr>
                <w:noProof/>
                <w:webHidden/>
              </w:rPr>
              <w:fldChar w:fldCharType="separate"/>
            </w:r>
            <w:r w:rsidR="006E7E73">
              <w:rPr>
                <w:noProof/>
                <w:webHidden/>
              </w:rPr>
              <w:t>14</w:t>
            </w:r>
            <w:r w:rsidR="006E7E73">
              <w:rPr>
                <w:noProof/>
                <w:webHidden/>
              </w:rPr>
              <w:fldChar w:fldCharType="end"/>
            </w:r>
          </w:hyperlink>
        </w:p>
        <w:p w14:paraId="381A518A" w14:textId="07646554" w:rsidR="006E7E73" w:rsidRDefault="009C7427">
          <w:pPr>
            <w:pStyle w:val="TOC3"/>
            <w:tabs>
              <w:tab w:val="left" w:pos="880"/>
              <w:tab w:val="right" w:leader="dot" w:pos="9350"/>
            </w:tabs>
            <w:rPr>
              <w:rFonts w:eastAsiaTheme="minorEastAsia"/>
              <w:noProof/>
            </w:rPr>
          </w:pPr>
          <w:hyperlink w:anchor="_Toc77757589" w:history="1">
            <w:r w:rsidR="006E7E73" w:rsidRPr="001F4F3F">
              <w:rPr>
                <w:rStyle w:val="Hyperlink"/>
                <w:rFonts w:cstheme="minorHAnsi"/>
                <w:i/>
                <w:noProof/>
              </w:rPr>
              <w:t>i.</w:t>
            </w:r>
            <w:r w:rsidR="006E7E73">
              <w:rPr>
                <w:rFonts w:eastAsiaTheme="minorEastAsia"/>
                <w:noProof/>
              </w:rPr>
              <w:tab/>
            </w:r>
            <w:r w:rsidR="006E7E73" w:rsidRPr="001F4F3F">
              <w:rPr>
                <w:rStyle w:val="Hyperlink"/>
                <w:rFonts w:cstheme="minorHAnsi"/>
                <w:i/>
                <w:noProof/>
              </w:rPr>
              <w:t>Malaria infections, cases and deaths averted in infants due to IPTi</w:t>
            </w:r>
            <w:r w:rsidR="006E7E73">
              <w:rPr>
                <w:noProof/>
                <w:webHidden/>
              </w:rPr>
              <w:tab/>
            </w:r>
            <w:r w:rsidR="006E7E73">
              <w:rPr>
                <w:noProof/>
                <w:webHidden/>
              </w:rPr>
              <w:fldChar w:fldCharType="begin"/>
            </w:r>
            <w:r w:rsidR="006E7E73">
              <w:rPr>
                <w:noProof/>
                <w:webHidden/>
              </w:rPr>
              <w:instrText xml:space="preserve"> PAGEREF _Toc77757589 \h </w:instrText>
            </w:r>
            <w:r w:rsidR="006E7E73">
              <w:rPr>
                <w:noProof/>
                <w:webHidden/>
              </w:rPr>
            </w:r>
            <w:r w:rsidR="006E7E73">
              <w:rPr>
                <w:noProof/>
                <w:webHidden/>
              </w:rPr>
              <w:fldChar w:fldCharType="separate"/>
            </w:r>
            <w:r w:rsidR="006E7E73">
              <w:rPr>
                <w:noProof/>
                <w:webHidden/>
              </w:rPr>
              <w:t>14</w:t>
            </w:r>
            <w:r w:rsidR="006E7E73">
              <w:rPr>
                <w:noProof/>
                <w:webHidden/>
              </w:rPr>
              <w:fldChar w:fldCharType="end"/>
            </w:r>
          </w:hyperlink>
        </w:p>
        <w:p w14:paraId="64B6ED54" w14:textId="047BC493" w:rsidR="006E7E73" w:rsidRDefault="009C7427">
          <w:pPr>
            <w:pStyle w:val="TOC3"/>
            <w:tabs>
              <w:tab w:val="left" w:pos="880"/>
              <w:tab w:val="right" w:leader="dot" w:pos="9350"/>
            </w:tabs>
            <w:rPr>
              <w:rFonts w:eastAsiaTheme="minorEastAsia"/>
              <w:noProof/>
            </w:rPr>
          </w:pPr>
          <w:hyperlink w:anchor="_Toc77757590" w:history="1">
            <w:r w:rsidR="006E7E73" w:rsidRPr="001F4F3F">
              <w:rPr>
                <w:rStyle w:val="Hyperlink"/>
                <w:rFonts w:cstheme="minorHAnsi"/>
                <w:noProof/>
              </w:rPr>
              <w:t>ii.</w:t>
            </w:r>
            <w:r w:rsidR="006E7E73">
              <w:rPr>
                <w:rFonts w:eastAsiaTheme="minorEastAsia"/>
                <w:noProof/>
              </w:rPr>
              <w:tab/>
            </w:r>
            <w:r w:rsidR="006E7E73" w:rsidRPr="001F4F3F">
              <w:rPr>
                <w:rStyle w:val="Hyperlink"/>
                <w:rFonts w:cstheme="minorHAnsi"/>
                <w:i/>
                <w:noProof/>
              </w:rPr>
              <w:t>Malaria infections, cases and deaths averted in U5 and total population</w:t>
            </w:r>
            <w:r w:rsidR="006E7E73">
              <w:rPr>
                <w:noProof/>
                <w:webHidden/>
              </w:rPr>
              <w:tab/>
            </w:r>
            <w:r w:rsidR="006E7E73">
              <w:rPr>
                <w:noProof/>
                <w:webHidden/>
              </w:rPr>
              <w:fldChar w:fldCharType="begin"/>
            </w:r>
            <w:r w:rsidR="006E7E73">
              <w:rPr>
                <w:noProof/>
                <w:webHidden/>
              </w:rPr>
              <w:instrText xml:space="preserve"> PAGEREF _Toc77757590 \h </w:instrText>
            </w:r>
            <w:r w:rsidR="006E7E73">
              <w:rPr>
                <w:noProof/>
                <w:webHidden/>
              </w:rPr>
            </w:r>
            <w:r w:rsidR="006E7E73">
              <w:rPr>
                <w:noProof/>
                <w:webHidden/>
              </w:rPr>
              <w:fldChar w:fldCharType="separate"/>
            </w:r>
            <w:r w:rsidR="006E7E73">
              <w:rPr>
                <w:noProof/>
                <w:webHidden/>
              </w:rPr>
              <w:t>15</w:t>
            </w:r>
            <w:r w:rsidR="006E7E73">
              <w:rPr>
                <w:noProof/>
                <w:webHidden/>
              </w:rPr>
              <w:fldChar w:fldCharType="end"/>
            </w:r>
          </w:hyperlink>
        </w:p>
        <w:p w14:paraId="58BB9352" w14:textId="09E5B206" w:rsidR="006E7E73" w:rsidRDefault="009C7427">
          <w:pPr>
            <w:pStyle w:val="TOC3"/>
            <w:tabs>
              <w:tab w:val="left" w:pos="880"/>
              <w:tab w:val="right" w:leader="dot" w:pos="9350"/>
            </w:tabs>
            <w:rPr>
              <w:rFonts w:eastAsiaTheme="minorEastAsia"/>
              <w:noProof/>
            </w:rPr>
          </w:pPr>
          <w:hyperlink w:anchor="_Toc77757591" w:history="1">
            <w:r w:rsidR="006E7E73" w:rsidRPr="001F4F3F">
              <w:rPr>
                <w:rStyle w:val="Hyperlink"/>
                <w:rFonts w:cstheme="minorHAnsi"/>
                <w:i/>
                <w:noProof/>
              </w:rPr>
              <w:t>iii.</w:t>
            </w:r>
            <w:r w:rsidR="006E7E73">
              <w:rPr>
                <w:rFonts w:eastAsiaTheme="minorEastAsia"/>
                <w:noProof/>
              </w:rPr>
              <w:tab/>
            </w:r>
            <w:r w:rsidR="006E7E73" w:rsidRPr="001F4F3F">
              <w:rPr>
                <w:rStyle w:val="Hyperlink"/>
                <w:rFonts w:cstheme="minorHAnsi"/>
                <w:i/>
                <w:noProof/>
              </w:rPr>
              <w:t>Use of relative reductions per age group as scaling factors for IPTi effectiveness</w:t>
            </w:r>
            <w:r w:rsidR="006E7E73">
              <w:rPr>
                <w:noProof/>
                <w:webHidden/>
              </w:rPr>
              <w:tab/>
            </w:r>
            <w:r w:rsidR="006E7E73">
              <w:rPr>
                <w:noProof/>
                <w:webHidden/>
              </w:rPr>
              <w:fldChar w:fldCharType="begin"/>
            </w:r>
            <w:r w:rsidR="006E7E73">
              <w:rPr>
                <w:noProof/>
                <w:webHidden/>
              </w:rPr>
              <w:instrText xml:space="preserve"> PAGEREF _Toc77757591 \h </w:instrText>
            </w:r>
            <w:r w:rsidR="006E7E73">
              <w:rPr>
                <w:noProof/>
                <w:webHidden/>
              </w:rPr>
            </w:r>
            <w:r w:rsidR="006E7E73">
              <w:rPr>
                <w:noProof/>
                <w:webHidden/>
              </w:rPr>
              <w:fldChar w:fldCharType="separate"/>
            </w:r>
            <w:r w:rsidR="006E7E73">
              <w:rPr>
                <w:noProof/>
                <w:webHidden/>
              </w:rPr>
              <w:t>15</w:t>
            </w:r>
            <w:r w:rsidR="006E7E73">
              <w:rPr>
                <w:noProof/>
                <w:webHidden/>
              </w:rPr>
              <w:fldChar w:fldCharType="end"/>
            </w:r>
          </w:hyperlink>
        </w:p>
        <w:p w14:paraId="2F0F8888" w14:textId="32D9672A" w:rsidR="006E7E73" w:rsidRDefault="009C7427">
          <w:pPr>
            <w:pStyle w:val="TOC1"/>
            <w:tabs>
              <w:tab w:val="right" w:leader="dot" w:pos="9350"/>
            </w:tabs>
            <w:rPr>
              <w:rFonts w:eastAsiaTheme="minorEastAsia"/>
              <w:noProof/>
            </w:rPr>
          </w:pPr>
          <w:hyperlink w:anchor="_Toc77757592" w:history="1">
            <w:r w:rsidR="006E7E73" w:rsidRPr="001F4F3F">
              <w:rPr>
                <w:rStyle w:val="Hyperlink"/>
                <w:rFonts w:eastAsia="Times New Roman" w:cstheme="minorHAnsi"/>
                <w:noProof/>
              </w:rPr>
              <w:t>Estimating malaria mortality</w:t>
            </w:r>
            <w:r w:rsidR="006E7E73">
              <w:rPr>
                <w:noProof/>
                <w:webHidden/>
              </w:rPr>
              <w:tab/>
            </w:r>
            <w:r w:rsidR="006E7E73">
              <w:rPr>
                <w:noProof/>
                <w:webHidden/>
              </w:rPr>
              <w:fldChar w:fldCharType="begin"/>
            </w:r>
            <w:r w:rsidR="006E7E73">
              <w:rPr>
                <w:noProof/>
                <w:webHidden/>
              </w:rPr>
              <w:instrText xml:space="preserve"> PAGEREF _Toc77757592 \h </w:instrText>
            </w:r>
            <w:r w:rsidR="006E7E73">
              <w:rPr>
                <w:noProof/>
                <w:webHidden/>
              </w:rPr>
            </w:r>
            <w:r w:rsidR="006E7E73">
              <w:rPr>
                <w:noProof/>
                <w:webHidden/>
              </w:rPr>
              <w:fldChar w:fldCharType="separate"/>
            </w:r>
            <w:r w:rsidR="006E7E73">
              <w:rPr>
                <w:noProof/>
                <w:webHidden/>
              </w:rPr>
              <w:t>15</w:t>
            </w:r>
            <w:r w:rsidR="006E7E73">
              <w:rPr>
                <w:noProof/>
                <w:webHidden/>
              </w:rPr>
              <w:fldChar w:fldCharType="end"/>
            </w:r>
          </w:hyperlink>
        </w:p>
        <w:p w14:paraId="01F597C9" w14:textId="663DC40D" w:rsidR="006E7E73" w:rsidRDefault="009C7427">
          <w:pPr>
            <w:pStyle w:val="TOC2"/>
            <w:tabs>
              <w:tab w:val="right" w:leader="dot" w:pos="9350"/>
            </w:tabs>
            <w:rPr>
              <w:rFonts w:eastAsiaTheme="minorEastAsia"/>
              <w:noProof/>
            </w:rPr>
          </w:pPr>
          <w:hyperlink w:anchor="_Toc77757593" w:history="1">
            <w:r w:rsidR="006E7E73" w:rsidRPr="001F4F3F">
              <w:rPr>
                <w:rStyle w:val="Hyperlink"/>
                <w:rFonts w:cstheme="minorHAnsi"/>
                <w:noProof/>
              </w:rPr>
              <w:t>Mortality from treated and untreated severe malaria</w:t>
            </w:r>
            <w:r w:rsidR="006E7E73">
              <w:rPr>
                <w:noProof/>
                <w:webHidden/>
              </w:rPr>
              <w:tab/>
            </w:r>
            <w:r w:rsidR="006E7E73">
              <w:rPr>
                <w:noProof/>
                <w:webHidden/>
              </w:rPr>
              <w:fldChar w:fldCharType="begin"/>
            </w:r>
            <w:r w:rsidR="006E7E73">
              <w:rPr>
                <w:noProof/>
                <w:webHidden/>
              </w:rPr>
              <w:instrText xml:space="preserve"> PAGEREF _Toc77757593 \h </w:instrText>
            </w:r>
            <w:r w:rsidR="006E7E73">
              <w:rPr>
                <w:noProof/>
                <w:webHidden/>
              </w:rPr>
            </w:r>
            <w:r w:rsidR="006E7E73">
              <w:rPr>
                <w:noProof/>
                <w:webHidden/>
              </w:rPr>
              <w:fldChar w:fldCharType="separate"/>
            </w:r>
            <w:r w:rsidR="006E7E73">
              <w:rPr>
                <w:noProof/>
                <w:webHidden/>
              </w:rPr>
              <w:t>15</w:t>
            </w:r>
            <w:r w:rsidR="006E7E73">
              <w:rPr>
                <w:noProof/>
                <w:webHidden/>
              </w:rPr>
              <w:fldChar w:fldCharType="end"/>
            </w:r>
          </w:hyperlink>
        </w:p>
        <w:p w14:paraId="45CCAD58" w14:textId="20224AD2" w:rsidR="006E7E73" w:rsidRDefault="009C7427">
          <w:pPr>
            <w:pStyle w:val="TOC2"/>
            <w:tabs>
              <w:tab w:val="right" w:leader="dot" w:pos="9350"/>
            </w:tabs>
            <w:rPr>
              <w:rFonts w:eastAsiaTheme="minorEastAsia"/>
              <w:noProof/>
            </w:rPr>
          </w:pPr>
          <w:hyperlink w:anchor="_Toc77757594" w:history="1">
            <w:r w:rsidR="006E7E73" w:rsidRPr="001F4F3F">
              <w:rPr>
                <w:rStyle w:val="Hyperlink"/>
                <w:rFonts w:cstheme="minorHAnsi"/>
                <w:noProof/>
              </w:rPr>
              <w:t>Mortality from severe maternal anemia attributable to malaria in pregnancy</w:t>
            </w:r>
            <w:r w:rsidR="006E7E73">
              <w:rPr>
                <w:noProof/>
                <w:webHidden/>
              </w:rPr>
              <w:tab/>
            </w:r>
            <w:r w:rsidR="006E7E73">
              <w:rPr>
                <w:noProof/>
                <w:webHidden/>
              </w:rPr>
              <w:fldChar w:fldCharType="begin"/>
            </w:r>
            <w:r w:rsidR="006E7E73">
              <w:rPr>
                <w:noProof/>
                <w:webHidden/>
              </w:rPr>
              <w:instrText xml:space="preserve"> PAGEREF _Toc77757594 \h </w:instrText>
            </w:r>
            <w:r w:rsidR="006E7E73">
              <w:rPr>
                <w:noProof/>
                <w:webHidden/>
              </w:rPr>
            </w:r>
            <w:r w:rsidR="006E7E73">
              <w:rPr>
                <w:noProof/>
                <w:webHidden/>
              </w:rPr>
              <w:fldChar w:fldCharType="separate"/>
            </w:r>
            <w:r w:rsidR="006E7E73">
              <w:rPr>
                <w:noProof/>
                <w:webHidden/>
              </w:rPr>
              <w:t>16</w:t>
            </w:r>
            <w:r w:rsidR="006E7E73">
              <w:rPr>
                <w:noProof/>
                <w:webHidden/>
              </w:rPr>
              <w:fldChar w:fldCharType="end"/>
            </w:r>
          </w:hyperlink>
        </w:p>
        <w:p w14:paraId="5822F312" w14:textId="50E0702F" w:rsidR="006E7E73" w:rsidRDefault="009C7427">
          <w:pPr>
            <w:pStyle w:val="TOC2"/>
            <w:tabs>
              <w:tab w:val="right" w:leader="dot" w:pos="9350"/>
            </w:tabs>
            <w:rPr>
              <w:rFonts w:eastAsiaTheme="minorEastAsia"/>
              <w:noProof/>
            </w:rPr>
          </w:pPr>
          <w:hyperlink w:anchor="_Toc77757595" w:history="1">
            <w:r w:rsidR="006E7E73" w:rsidRPr="001F4F3F">
              <w:rPr>
                <w:rStyle w:val="Hyperlink"/>
                <w:rFonts w:cstheme="minorHAnsi"/>
                <w:noProof/>
              </w:rPr>
              <w:t>Mortality from low birth weight attributable to malaria</w:t>
            </w:r>
            <w:r w:rsidR="006E7E73">
              <w:rPr>
                <w:noProof/>
                <w:webHidden/>
              </w:rPr>
              <w:tab/>
            </w:r>
            <w:r w:rsidR="006E7E73">
              <w:rPr>
                <w:noProof/>
                <w:webHidden/>
              </w:rPr>
              <w:fldChar w:fldCharType="begin"/>
            </w:r>
            <w:r w:rsidR="006E7E73">
              <w:rPr>
                <w:noProof/>
                <w:webHidden/>
              </w:rPr>
              <w:instrText xml:space="preserve"> PAGEREF _Toc77757595 \h </w:instrText>
            </w:r>
            <w:r w:rsidR="006E7E73">
              <w:rPr>
                <w:noProof/>
                <w:webHidden/>
              </w:rPr>
            </w:r>
            <w:r w:rsidR="006E7E73">
              <w:rPr>
                <w:noProof/>
                <w:webHidden/>
              </w:rPr>
              <w:fldChar w:fldCharType="separate"/>
            </w:r>
            <w:r w:rsidR="006E7E73">
              <w:rPr>
                <w:noProof/>
                <w:webHidden/>
              </w:rPr>
              <w:t>17</w:t>
            </w:r>
            <w:r w:rsidR="006E7E73">
              <w:rPr>
                <w:noProof/>
                <w:webHidden/>
              </w:rPr>
              <w:fldChar w:fldCharType="end"/>
            </w:r>
          </w:hyperlink>
        </w:p>
        <w:p w14:paraId="4FD3CBCF" w14:textId="02F4B738" w:rsidR="006E7E73" w:rsidRDefault="009C7427">
          <w:pPr>
            <w:pStyle w:val="TOC1"/>
            <w:tabs>
              <w:tab w:val="right" w:leader="dot" w:pos="9350"/>
            </w:tabs>
            <w:rPr>
              <w:rFonts w:eastAsiaTheme="minorEastAsia"/>
              <w:noProof/>
            </w:rPr>
          </w:pPr>
          <w:hyperlink w:anchor="_Toc77757596" w:history="1">
            <w:r w:rsidR="006E7E73" w:rsidRPr="001F4F3F">
              <w:rPr>
                <w:rStyle w:val="Hyperlink"/>
                <w:rFonts w:cstheme="minorHAnsi"/>
                <w:noProof/>
              </w:rPr>
              <w:t>Intervention scenarios and predictions</w:t>
            </w:r>
            <w:r w:rsidR="006E7E73">
              <w:rPr>
                <w:noProof/>
                <w:webHidden/>
              </w:rPr>
              <w:tab/>
            </w:r>
            <w:r w:rsidR="006E7E73">
              <w:rPr>
                <w:noProof/>
                <w:webHidden/>
              </w:rPr>
              <w:fldChar w:fldCharType="begin"/>
            </w:r>
            <w:r w:rsidR="006E7E73">
              <w:rPr>
                <w:noProof/>
                <w:webHidden/>
              </w:rPr>
              <w:instrText xml:space="preserve"> PAGEREF _Toc77757596 \h </w:instrText>
            </w:r>
            <w:r w:rsidR="006E7E73">
              <w:rPr>
                <w:noProof/>
                <w:webHidden/>
              </w:rPr>
            </w:r>
            <w:r w:rsidR="006E7E73">
              <w:rPr>
                <w:noProof/>
                <w:webHidden/>
              </w:rPr>
              <w:fldChar w:fldCharType="separate"/>
            </w:r>
            <w:r w:rsidR="006E7E73">
              <w:rPr>
                <w:noProof/>
                <w:webHidden/>
              </w:rPr>
              <w:t>18</w:t>
            </w:r>
            <w:r w:rsidR="006E7E73">
              <w:rPr>
                <w:noProof/>
                <w:webHidden/>
              </w:rPr>
              <w:fldChar w:fldCharType="end"/>
            </w:r>
          </w:hyperlink>
        </w:p>
        <w:p w14:paraId="0B3EAEFA" w14:textId="037D116B" w:rsidR="006E7E73" w:rsidRDefault="009C7427">
          <w:pPr>
            <w:pStyle w:val="TOC2"/>
            <w:tabs>
              <w:tab w:val="right" w:leader="dot" w:pos="9350"/>
            </w:tabs>
            <w:rPr>
              <w:rFonts w:eastAsiaTheme="minorEastAsia"/>
              <w:noProof/>
            </w:rPr>
          </w:pPr>
          <w:hyperlink w:anchor="_Toc77757597" w:history="1">
            <w:r w:rsidR="006E7E73" w:rsidRPr="001F4F3F">
              <w:rPr>
                <w:rStyle w:val="Hyperlink"/>
                <w:rFonts w:cstheme="minorHAnsi"/>
                <w:noProof/>
              </w:rPr>
              <w:t>Case management (CM) coverage in intervention scenarios</w:t>
            </w:r>
            <w:r w:rsidR="006E7E73">
              <w:rPr>
                <w:noProof/>
                <w:webHidden/>
              </w:rPr>
              <w:tab/>
            </w:r>
            <w:r w:rsidR="006E7E73">
              <w:rPr>
                <w:noProof/>
                <w:webHidden/>
              </w:rPr>
              <w:fldChar w:fldCharType="begin"/>
            </w:r>
            <w:r w:rsidR="006E7E73">
              <w:rPr>
                <w:noProof/>
                <w:webHidden/>
              </w:rPr>
              <w:instrText xml:space="preserve"> PAGEREF _Toc77757597 \h </w:instrText>
            </w:r>
            <w:r w:rsidR="006E7E73">
              <w:rPr>
                <w:noProof/>
                <w:webHidden/>
              </w:rPr>
            </w:r>
            <w:r w:rsidR="006E7E73">
              <w:rPr>
                <w:noProof/>
                <w:webHidden/>
              </w:rPr>
              <w:fldChar w:fldCharType="separate"/>
            </w:r>
            <w:r w:rsidR="006E7E73">
              <w:rPr>
                <w:noProof/>
                <w:webHidden/>
              </w:rPr>
              <w:t>18</w:t>
            </w:r>
            <w:r w:rsidR="006E7E73">
              <w:rPr>
                <w:noProof/>
                <w:webHidden/>
              </w:rPr>
              <w:fldChar w:fldCharType="end"/>
            </w:r>
          </w:hyperlink>
        </w:p>
        <w:p w14:paraId="7ECB5A13" w14:textId="3D42E594" w:rsidR="006E7E73" w:rsidRDefault="009C7427">
          <w:pPr>
            <w:pStyle w:val="TOC1"/>
            <w:tabs>
              <w:tab w:val="right" w:leader="dot" w:pos="9350"/>
            </w:tabs>
            <w:rPr>
              <w:rFonts w:eastAsiaTheme="minorEastAsia"/>
              <w:noProof/>
            </w:rPr>
          </w:pPr>
          <w:hyperlink w:anchor="_Toc77757598" w:history="1">
            <w:r w:rsidR="006E7E73" w:rsidRPr="001F4F3F">
              <w:rPr>
                <w:rStyle w:val="Hyperlink"/>
                <w:rFonts w:cstheme="minorHAnsi"/>
                <w:noProof/>
              </w:rPr>
              <w:t>Validation</w:t>
            </w:r>
            <w:r w:rsidR="006E7E73">
              <w:rPr>
                <w:noProof/>
                <w:webHidden/>
              </w:rPr>
              <w:tab/>
            </w:r>
            <w:r w:rsidR="006E7E73">
              <w:rPr>
                <w:noProof/>
                <w:webHidden/>
              </w:rPr>
              <w:fldChar w:fldCharType="begin"/>
            </w:r>
            <w:r w:rsidR="006E7E73">
              <w:rPr>
                <w:noProof/>
                <w:webHidden/>
              </w:rPr>
              <w:instrText xml:space="preserve"> PAGEREF _Toc77757598 \h </w:instrText>
            </w:r>
            <w:r w:rsidR="006E7E73">
              <w:rPr>
                <w:noProof/>
                <w:webHidden/>
              </w:rPr>
            </w:r>
            <w:r w:rsidR="006E7E73">
              <w:rPr>
                <w:noProof/>
                <w:webHidden/>
              </w:rPr>
              <w:fldChar w:fldCharType="separate"/>
            </w:r>
            <w:r w:rsidR="006E7E73">
              <w:rPr>
                <w:noProof/>
                <w:webHidden/>
              </w:rPr>
              <w:t>19</w:t>
            </w:r>
            <w:r w:rsidR="006E7E73">
              <w:rPr>
                <w:noProof/>
                <w:webHidden/>
              </w:rPr>
              <w:fldChar w:fldCharType="end"/>
            </w:r>
          </w:hyperlink>
        </w:p>
        <w:p w14:paraId="5A4B8004" w14:textId="1844739B" w:rsidR="006E7E73" w:rsidRDefault="009C7427">
          <w:pPr>
            <w:pStyle w:val="TOC2"/>
            <w:tabs>
              <w:tab w:val="right" w:leader="dot" w:pos="9350"/>
            </w:tabs>
            <w:rPr>
              <w:rFonts w:eastAsiaTheme="minorEastAsia"/>
              <w:noProof/>
            </w:rPr>
          </w:pPr>
          <w:hyperlink w:anchor="_Toc77757599" w:history="1">
            <w:r w:rsidR="006E7E73" w:rsidRPr="001F4F3F">
              <w:rPr>
                <w:rStyle w:val="Hyperlink"/>
                <w:rFonts w:cstheme="minorHAnsi"/>
                <w:noProof/>
              </w:rPr>
              <w:t>Incidence comparison plots and cross-correlation plots by state</w:t>
            </w:r>
            <w:r w:rsidR="006E7E73">
              <w:rPr>
                <w:noProof/>
                <w:webHidden/>
              </w:rPr>
              <w:tab/>
            </w:r>
            <w:r w:rsidR="006E7E73">
              <w:rPr>
                <w:noProof/>
                <w:webHidden/>
              </w:rPr>
              <w:fldChar w:fldCharType="begin"/>
            </w:r>
            <w:r w:rsidR="006E7E73">
              <w:rPr>
                <w:noProof/>
                <w:webHidden/>
              </w:rPr>
              <w:instrText xml:space="preserve"> PAGEREF _Toc77757599 \h </w:instrText>
            </w:r>
            <w:r w:rsidR="006E7E73">
              <w:rPr>
                <w:noProof/>
                <w:webHidden/>
              </w:rPr>
            </w:r>
            <w:r w:rsidR="006E7E73">
              <w:rPr>
                <w:noProof/>
                <w:webHidden/>
              </w:rPr>
              <w:fldChar w:fldCharType="separate"/>
            </w:r>
            <w:r w:rsidR="006E7E73">
              <w:rPr>
                <w:noProof/>
                <w:webHidden/>
              </w:rPr>
              <w:t>21</w:t>
            </w:r>
            <w:r w:rsidR="006E7E73">
              <w:rPr>
                <w:noProof/>
                <w:webHidden/>
              </w:rPr>
              <w:fldChar w:fldCharType="end"/>
            </w:r>
          </w:hyperlink>
        </w:p>
        <w:p w14:paraId="60384E4F" w14:textId="1D7AEFB3" w:rsidR="00C0372B" w:rsidRDefault="00734CE4" w:rsidP="00C0372B">
          <w:pPr>
            <w:spacing w:after="0" w:line="480" w:lineRule="auto"/>
            <w:contextualSpacing/>
            <w:rPr>
              <w:rFonts w:cstheme="minorHAnsi"/>
              <w:b/>
              <w:bCs/>
              <w:noProof/>
            </w:rPr>
          </w:pPr>
          <w:r w:rsidRPr="00C0372B">
            <w:rPr>
              <w:rFonts w:cstheme="minorHAnsi"/>
              <w:b/>
              <w:bCs/>
              <w:noProof/>
            </w:rPr>
            <w:fldChar w:fldCharType="end"/>
          </w:r>
        </w:p>
      </w:sdtContent>
    </w:sdt>
    <w:p w14:paraId="5FF2148E" w14:textId="77777777" w:rsidR="00100ED8" w:rsidRDefault="00100ED8" w:rsidP="00C0372B">
      <w:pPr>
        <w:spacing w:after="0" w:line="480" w:lineRule="auto"/>
        <w:contextualSpacing/>
        <w:rPr>
          <w:rFonts w:cstheme="minorHAnsi"/>
          <w:u w:val="single"/>
        </w:rPr>
      </w:pPr>
    </w:p>
    <w:p w14:paraId="2D766DC1" w14:textId="5BC2EC5A" w:rsidR="009F194C" w:rsidRPr="00C0372B" w:rsidRDefault="00D21FD3" w:rsidP="00C0372B">
      <w:pPr>
        <w:spacing w:after="0" w:line="480" w:lineRule="auto"/>
        <w:contextualSpacing/>
        <w:rPr>
          <w:rFonts w:cstheme="minorHAnsi"/>
          <w:u w:val="single"/>
        </w:rPr>
      </w:pPr>
      <w:r w:rsidRPr="00C0372B">
        <w:rPr>
          <w:rFonts w:cstheme="minorHAnsi"/>
          <w:u w:val="single"/>
        </w:rPr>
        <w:lastRenderedPageBreak/>
        <w:t>Mode</w:t>
      </w:r>
      <w:r w:rsidR="00D632F8" w:rsidRPr="00C0372B">
        <w:rPr>
          <w:rFonts w:cstheme="minorHAnsi"/>
          <w:u w:val="single"/>
        </w:rPr>
        <w:t>ling a</w:t>
      </w:r>
      <w:r w:rsidR="009F194C" w:rsidRPr="00C0372B">
        <w:rPr>
          <w:rFonts w:cstheme="minorHAnsi"/>
          <w:u w:val="single"/>
        </w:rPr>
        <w:t xml:space="preserve">pproach </w:t>
      </w:r>
    </w:p>
    <w:p w14:paraId="335D4B06" w14:textId="4FB35F9A" w:rsidR="009F194C" w:rsidRPr="00455A3C" w:rsidRDefault="00EE7B2A" w:rsidP="005354EA">
      <w:pPr>
        <w:pStyle w:val="ListParagraph"/>
        <w:numPr>
          <w:ilvl w:val="0"/>
          <w:numId w:val="14"/>
        </w:numPr>
        <w:spacing w:line="276" w:lineRule="auto"/>
        <w:rPr>
          <w:rFonts w:cstheme="minorHAnsi"/>
          <w:sz w:val="22"/>
          <w:szCs w:val="22"/>
        </w:rPr>
      </w:pPr>
      <w:r w:rsidRPr="00455A3C">
        <w:rPr>
          <w:rFonts w:cstheme="minorHAnsi"/>
          <w:sz w:val="22"/>
          <w:szCs w:val="22"/>
        </w:rPr>
        <w:t>Local Government Areas (</w:t>
      </w:r>
      <w:r w:rsidR="009F194C" w:rsidRPr="00455A3C">
        <w:rPr>
          <w:rFonts w:cstheme="minorHAnsi"/>
          <w:sz w:val="22"/>
          <w:szCs w:val="22"/>
        </w:rPr>
        <w:t>LGAs</w:t>
      </w:r>
      <w:r w:rsidRPr="00455A3C">
        <w:rPr>
          <w:rFonts w:cstheme="minorHAnsi"/>
          <w:sz w:val="22"/>
          <w:szCs w:val="22"/>
        </w:rPr>
        <w:t>)</w:t>
      </w:r>
      <w:r w:rsidR="009F194C" w:rsidRPr="00455A3C">
        <w:rPr>
          <w:rFonts w:cstheme="minorHAnsi"/>
          <w:sz w:val="22"/>
          <w:szCs w:val="22"/>
        </w:rPr>
        <w:t xml:space="preserve"> were grouped by shared seasonality and baseline transmission intensity to generate epidemiological archetypes </w:t>
      </w:r>
    </w:p>
    <w:p w14:paraId="1D13EAB7" w14:textId="18771D58" w:rsidR="009F194C" w:rsidRPr="00455A3C" w:rsidRDefault="009F194C" w:rsidP="005354EA">
      <w:pPr>
        <w:pStyle w:val="ListParagraph"/>
        <w:numPr>
          <w:ilvl w:val="0"/>
          <w:numId w:val="14"/>
        </w:numPr>
        <w:spacing w:line="276" w:lineRule="auto"/>
        <w:rPr>
          <w:rFonts w:cstheme="minorHAnsi"/>
          <w:sz w:val="22"/>
          <w:szCs w:val="22"/>
        </w:rPr>
      </w:pPr>
      <w:r w:rsidRPr="00455A3C">
        <w:rPr>
          <w:rFonts w:cstheme="minorHAnsi"/>
          <w:sz w:val="22"/>
          <w:szCs w:val="22"/>
        </w:rPr>
        <w:t xml:space="preserve">Monthly larval habitat availability </w:t>
      </w:r>
      <w:r w:rsidR="00C376E0" w:rsidRPr="00455A3C">
        <w:rPr>
          <w:rFonts w:cstheme="minorHAnsi"/>
          <w:sz w:val="22"/>
          <w:szCs w:val="22"/>
        </w:rPr>
        <w:t xml:space="preserve">in each of the epidemiological archetypes </w:t>
      </w:r>
      <w:r w:rsidRPr="00455A3C">
        <w:rPr>
          <w:rFonts w:cstheme="minorHAnsi"/>
          <w:sz w:val="22"/>
          <w:szCs w:val="22"/>
        </w:rPr>
        <w:t xml:space="preserve">was calibrated to match </w:t>
      </w:r>
      <w:r w:rsidR="00F90E60" w:rsidRPr="00455A3C">
        <w:rPr>
          <w:rFonts w:cstheme="minorHAnsi"/>
          <w:sz w:val="22"/>
          <w:szCs w:val="22"/>
        </w:rPr>
        <w:t xml:space="preserve">the </w:t>
      </w:r>
      <w:r w:rsidRPr="00455A3C">
        <w:rPr>
          <w:rFonts w:cstheme="minorHAnsi"/>
          <w:sz w:val="22"/>
          <w:szCs w:val="22"/>
        </w:rPr>
        <w:t xml:space="preserve">seasonality of </w:t>
      </w:r>
      <w:r w:rsidR="00F90E60" w:rsidRPr="00455A3C">
        <w:rPr>
          <w:rFonts w:cstheme="minorHAnsi"/>
          <w:sz w:val="22"/>
          <w:szCs w:val="22"/>
        </w:rPr>
        <w:t>treated cases within select health facilities</w:t>
      </w:r>
      <w:r w:rsidRPr="00455A3C">
        <w:rPr>
          <w:rFonts w:cstheme="minorHAnsi"/>
          <w:sz w:val="22"/>
          <w:szCs w:val="22"/>
        </w:rPr>
        <w:t>.</w:t>
      </w:r>
    </w:p>
    <w:p w14:paraId="0EFF606F" w14:textId="19034F10" w:rsidR="009F194C" w:rsidRPr="00455A3C" w:rsidRDefault="009F194C" w:rsidP="005354EA">
      <w:pPr>
        <w:pStyle w:val="ListParagraph"/>
        <w:numPr>
          <w:ilvl w:val="0"/>
          <w:numId w:val="14"/>
        </w:numPr>
        <w:spacing w:line="276" w:lineRule="auto"/>
        <w:rPr>
          <w:rFonts w:cstheme="minorHAnsi"/>
          <w:sz w:val="22"/>
          <w:szCs w:val="22"/>
        </w:rPr>
      </w:pPr>
      <w:r w:rsidRPr="00455A3C">
        <w:rPr>
          <w:rFonts w:cstheme="minorHAnsi"/>
          <w:sz w:val="22"/>
          <w:szCs w:val="22"/>
        </w:rPr>
        <w:t xml:space="preserve">The </w:t>
      </w:r>
      <w:r w:rsidR="00DD70E0">
        <w:rPr>
          <w:rFonts w:cstheme="minorHAnsi"/>
          <w:sz w:val="22"/>
          <w:szCs w:val="22"/>
        </w:rPr>
        <w:t xml:space="preserve">archetype </w:t>
      </w:r>
      <w:r w:rsidRPr="00455A3C">
        <w:rPr>
          <w:rFonts w:cstheme="minorHAnsi"/>
          <w:sz w:val="22"/>
          <w:szCs w:val="22"/>
        </w:rPr>
        <w:t>model</w:t>
      </w:r>
      <w:r w:rsidR="007B6AFC">
        <w:rPr>
          <w:rFonts w:cstheme="minorHAnsi"/>
          <w:sz w:val="22"/>
          <w:szCs w:val="22"/>
        </w:rPr>
        <w:t>s</w:t>
      </w:r>
      <w:r w:rsidRPr="00455A3C">
        <w:rPr>
          <w:rFonts w:cstheme="minorHAnsi"/>
          <w:sz w:val="22"/>
          <w:szCs w:val="22"/>
        </w:rPr>
        <w:t xml:space="preserve"> in </w:t>
      </w:r>
      <w:r w:rsidR="005F596D">
        <w:rPr>
          <w:rFonts w:cstheme="minorHAnsi"/>
          <w:sz w:val="22"/>
          <w:szCs w:val="22"/>
        </w:rPr>
        <w:t>b</w:t>
      </w:r>
      <w:r w:rsidRPr="00455A3C">
        <w:rPr>
          <w:rFonts w:cstheme="minorHAnsi"/>
          <w:sz w:val="22"/>
          <w:szCs w:val="22"/>
        </w:rPr>
        <w:t xml:space="preserve">) </w:t>
      </w:r>
      <w:r w:rsidR="007B6AFC" w:rsidRPr="00455A3C">
        <w:rPr>
          <w:rFonts w:cstheme="minorHAnsi"/>
          <w:sz w:val="22"/>
          <w:szCs w:val="22"/>
        </w:rPr>
        <w:t>w</w:t>
      </w:r>
      <w:r w:rsidR="007B6AFC">
        <w:rPr>
          <w:rFonts w:cstheme="minorHAnsi"/>
          <w:sz w:val="22"/>
          <w:szCs w:val="22"/>
        </w:rPr>
        <w:t>ere</w:t>
      </w:r>
      <w:r w:rsidR="00DD70E0">
        <w:rPr>
          <w:rFonts w:cstheme="minorHAnsi"/>
          <w:sz w:val="22"/>
          <w:szCs w:val="22"/>
        </w:rPr>
        <w:t xml:space="preserve"> each</w:t>
      </w:r>
      <w:r w:rsidR="007B6AFC" w:rsidRPr="00455A3C">
        <w:rPr>
          <w:rFonts w:cstheme="minorHAnsi"/>
          <w:sz w:val="22"/>
          <w:szCs w:val="22"/>
        </w:rPr>
        <w:t xml:space="preserve"> </w:t>
      </w:r>
      <w:r w:rsidR="00825A97" w:rsidRPr="00455A3C">
        <w:rPr>
          <w:rFonts w:cstheme="minorHAnsi"/>
          <w:sz w:val="22"/>
          <w:szCs w:val="22"/>
        </w:rPr>
        <w:t>calibrate</w:t>
      </w:r>
      <w:r w:rsidR="00E06A43">
        <w:rPr>
          <w:rFonts w:cstheme="minorHAnsi"/>
          <w:sz w:val="22"/>
          <w:szCs w:val="22"/>
        </w:rPr>
        <w:t>d</w:t>
      </w:r>
      <w:r w:rsidR="00825A97" w:rsidRPr="00455A3C">
        <w:rPr>
          <w:rFonts w:cstheme="minorHAnsi"/>
          <w:sz w:val="22"/>
          <w:szCs w:val="22"/>
        </w:rPr>
        <w:t xml:space="preserve"> </w:t>
      </w:r>
      <w:r w:rsidR="00B84A20">
        <w:rPr>
          <w:rFonts w:cstheme="minorHAnsi"/>
          <w:sz w:val="22"/>
          <w:szCs w:val="22"/>
        </w:rPr>
        <w:t>in a second step</w:t>
      </w:r>
      <w:r w:rsidR="00E06A43">
        <w:rPr>
          <w:rFonts w:cstheme="minorHAnsi"/>
          <w:sz w:val="22"/>
          <w:szCs w:val="22"/>
        </w:rPr>
        <w:t xml:space="preserve"> to match observed</w:t>
      </w:r>
      <w:r w:rsidRPr="00455A3C">
        <w:rPr>
          <w:rFonts w:cstheme="minorHAnsi"/>
          <w:sz w:val="22"/>
          <w:szCs w:val="22"/>
        </w:rPr>
        <w:t xml:space="preserve"> transmission intensity</w:t>
      </w:r>
      <w:r w:rsidR="007A7F3C">
        <w:rPr>
          <w:rFonts w:cstheme="minorHAnsi"/>
          <w:sz w:val="22"/>
          <w:szCs w:val="22"/>
        </w:rPr>
        <w:t xml:space="preserve"> </w:t>
      </w:r>
      <w:r w:rsidR="00825A97" w:rsidRPr="00455A3C">
        <w:rPr>
          <w:rFonts w:cstheme="minorHAnsi"/>
          <w:sz w:val="22"/>
          <w:szCs w:val="22"/>
        </w:rPr>
        <w:t>under</w:t>
      </w:r>
      <w:r w:rsidRPr="00455A3C">
        <w:rPr>
          <w:rFonts w:cstheme="minorHAnsi"/>
          <w:sz w:val="22"/>
          <w:szCs w:val="22"/>
        </w:rPr>
        <w:t xml:space="preserve"> observed 2010 insecticide treated net (ITN) coverage. </w:t>
      </w:r>
      <w:r w:rsidR="00D643BC" w:rsidRPr="00455A3C">
        <w:rPr>
          <w:rFonts w:cstheme="minorHAnsi"/>
          <w:sz w:val="22"/>
          <w:szCs w:val="22"/>
        </w:rPr>
        <w:t>T</w:t>
      </w:r>
      <w:r w:rsidRPr="00455A3C">
        <w:rPr>
          <w:rFonts w:cstheme="minorHAnsi"/>
          <w:sz w:val="22"/>
          <w:szCs w:val="22"/>
        </w:rPr>
        <w:t xml:space="preserve">he baseline transmission intensity that best matched the 2010 </w:t>
      </w:r>
      <w:r w:rsidRPr="00455A3C">
        <w:rPr>
          <w:rFonts w:cstheme="minorHAnsi"/>
          <w:i/>
          <w:sz w:val="22"/>
          <w:szCs w:val="22"/>
        </w:rPr>
        <w:t>Plasmodium</w:t>
      </w:r>
      <w:r w:rsidRPr="00455A3C">
        <w:rPr>
          <w:rFonts w:cstheme="minorHAnsi"/>
          <w:sz w:val="22"/>
          <w:szCs w:val="22"/>
        </w:rPr>
        <w:t xml:space="preserve"> </w:t>
      </w:r>
      <w:r w:rsidRPr="00455A3C">
        <w:rPr>
          <w:rFonts w:cstheme="minorHAnsi"/>
          <w:i/>
          <w:sz w:val="22"/>
          <w:szCs w:val="22"/>
        </w:rPr>
        <w:t>falciparum</w:t>
      </w:r>
      <w:r w:rsidRPr="00455A3C">
        <w:rPr>
          <w:rFonts w:cstheme="minorHAnsi"/>
          <w:sz w:val="22"/>
          <w:szCs w:val="22"/>
        </w:rPr>
        <w:t xml:space="preserve"> parasite rate (</w:t>
      </w:r>
      <w:r w:rsidRPr="00455A3C">
        <w:rPr>
          <w:rFonts w:cstheme="minorHAnsi"/>
          <w:i/>
          <w:sz w:val="22"/>
          <w:szCs w:val="22"/>
        </w:rPr>
        <w:t>PfPR</w:t>
      </w:r>
      <w:r w:rsidRPr="00455A3C">
        <w:rPr>
          <w:rFonts w:cstheme="minorHAnsi"/>
          <w:sz w:val="22"/>
          <w:szCs w:val="22"/>
        </w:rPr>
        <w:t>) among children under the age of five from the Demographic and Health Surveys (DHS) was selected for each archetype, given its 2010 ITN coverage.</w:t>
      </w:r>
    </w:p>
    <w:p w14:paraId="762337BF" w14:textId="188A8FAB" w:rsidR="009F194C" w:rsidRPr="00455A3C" w:rsidRDefault="009F194C" w:rsidP="005354EA">
      <w:pPr>
        <w:pStyle w:val="ListParagraph"/>
        <w:numPr>
          <w:ilvl w:val="0"/>
          <w:numId w:val="14"/>
        </w:numPr>
        <w:spacing w:line="276" w:lineRule="auto"/>
        <w:rPr>
          <w:rFonts w:cstheme="minorHAnsi"/>
          <w:sz w:val="22"/>
          <w:szCs w:val="22"/>
        </w:rPr>
      </w:pPr>
      <w:r w:rsidRPr="00455A3C">
        <w:rPr>
          <w:rFonts w:cstheme="minorHAnsi"/>
          <w:sz w:val="22"/>
          <w:szCs w:val="22"/>
        </w:rPr>
        <w:t>A post-2010 intervention history, including coverage of case management, ITN</w:t>
      </w:r>
      <w:r w:rsidR="00BE5B46">
        <w:rPr>
          <w:rFonts w:cstheme="minorHAnsi"/>
          <w:sz w:val="22"/>
          <w:szCs w:val="22"/>
        </w:rPr>
        <w:t>s</w:t>
      </w:r>
      <w:r w:rsidRPr="00455A3C">
        <w:rPr>
          <w:rFonts w:cstheme="minorHAnsi"/>
          <w:sz w:val="22"/>
          <w:szCs w:val="22"/>
        </w:rPr>
        <w:t>, seasonal malaria chemoprevention (SMC), and intermittent preventive treatment in pregnancy (IPTp), was reconstructed for each LGA using data from the DHS and national sources.</w:t>
      </w:r>
    </w:p>
    <w:p w14:paraId="401E87C8" w14:textId="5D923ADE" w:rsidR="009F194C" w:rsidRPr="00455A3C" w:rsidRDefault="009F194C" w:rsidP="005354EA">
      <w:pPr>
        <w:pStyle w:val="ListParagraph"/>
        <w:numPr>
          <w:ilvl w:val="0"/>
          <w:numId w:val="14"/>
        </w:numPr>
        <w:spacing w:line="276" w:lineRule="auto"/>
        <w:rPr>
          <w:rFonts w:cstheme="minorHAnsi"/>
          <w:sz w:val="22"/>
          <w:szCs w:val="22"/>
        </w:rPr>
      </w:pPr>
      <w:r w:rsidRPr="00455A3C">
        <w:rPr>
          <w:rFonts w:cstheme="minorHAnsi"/>
          <w:sz w:val="22"/>
          <w:szCs w:val="22"/>
        </w:rPr>
        <w:t xml:space="preserve">With the model selected in </w:t>
      </w:r>
      <w:r w:rsidR="00C41D32">
        <w:rPr>
          <w:rFonts w:cstheme="minorHAnsi"/>
          <w:sz w:val="22"/>
          <w:szCs w:val="22"/>
        </w:rPr>
        <w:t>c</w:t>
      </w:r>
      <w:r w:rsidRPr="00455A3C">
        <w:rPr>
          <w:rFonts w:cstheme="minorHAnsi"/>
          <w:sz w:val="22"/>
          <w:szCs w:val="22"/>
        </w:rPr>
        <w:t xml:space="preserve">), each LGA was simulated through the end of 2019 in the presence of its intervention history, </w:t>
      </w:r>
      <w:r w:rsidR="00492574">
        <w:rPr>
          <w:rFonts w:cstheme="minorHAnsi"/>
          <w:sz w:val="22"/>
          <w:szCs w:val="22"/>
        </w:rPr>
        <w:t>val</w:t>
      </w:r>
      <w:r w:rsidR="0035545C">
        <w:rPr>
          <w:rFonts w:cstheme="minorHAnsi"/>
          <w:sz w:val="22"/>
          <w:szCs w:val="22"/>
        </w:rPr>
        <w:t>i</w:t>
      </w:r>
      <w:r w:rsidR="00492574">
        <w:rPr>
          <w:rFonts w:cstheme="minorHAnsi"/>
          <w:sz w:val="22"/>
          <w:szCs w:val="22"/>
        </w:rPr>
        <w:t>dating</w:t>
      </w:r>
      <w:r w:rsidR="00492574" w:rsidRPr="00455A3C">
        <w:rPr>
          <w:rFonts w:cstheme="minorHAnsi"/>
          <w:sz w:val="22"/>
          <w:szCs w:val="22"/>
        </w:rPr>
        <w:t xml:space="preserve"> </w:t>
      </w:r>
      <w:r w:rsidRPr="00455A3C">
        <w:rPr>
          <w:rFonts w:cstheme="minorHAnsi"/>
          <w:sz w:val="22"/>
          <w:szCs w:val="22"/>
        </w:rPr>
        <w:t xml:space="preserve">simulated </w:t>
      </w:r>
      <w:r w:rsidRPr="00455A3C">
        <w:rPr>
          <w:rFonts w:cstheme="minorHAnsi"/>
          <w:i/>
          <w:sz w:val="22"/>
          <w:szCs w:val="22"/>
        </w:rPr>
        <w:t>PfPR</w:t>
      </w:r>
      <w:r w:rsidRPr="00455A3C">
        <w:rPr>
          <w:rFonts w:cstheme="minorHAnsi"/>
          <w:sz w:val="22"/>
          <w:szCs w:val="22"/>
        </w:rPr>
        <w:t xml:space="preserve"> </w:t>
      </w:r>
      <w:r w:rsidR="0035545C">
        <w:rPr>
          <w:rFonts w:cstheme="minorHAnsi"/>
          <w:sz w:val="22"/>
          <w:szCs w:val="22"/>
        </w:rPr>
        <w:t>against</w:t>
      </w:r>
      <w:r w:rsidR="0035545C" w:rsidRPr="00455A3C">
        <w:rPr>
          <w:rFonts w:cstheme="minorHAnsi"/>
          <w:sz w:val="22"/>
          <w:szCs w:val="22"/>
        </w:rPr>
        <w:t xml:space="preserve"> </w:t>
      </w:r>
      <w:r w:rsidRPr="00455A3C">
        <w:rPr>
          <w:rFonts w:cstheme="minorHAnsi"/>
          <w:sz w:val="22"/>
          <w:szCs w:val="22"/>
        </w:rPr>
        <w:t>data from the DHS from 2014 and 2018 when possible.</w:t>
      </w:r>
    </w:p>
    <w:p w14:paraId="24917874" w14:textId="4DE93F53" w:rsidR="00FD1366" w:rsidRPr="00455A3C" w:rsidRDefault="00007D85" w:rsidP="005354EA">
      <w:pPr>
        <w:pStyle w:val="ListParagraph"/>
        <w:numPr>
          <w:ilvl w:val="0"/>
          <w:numId w:val="14"/>
        </w:numPr>
        <w:spacing w:line="276" w:lineRule="auto"/>
        <w:rPr>
          <w:rFonts w:cstheme="minorHAnsi"/>
          <w:sz w:val="22"/>
          <w:szCs w:val="22"/>
        </w:rPr>
      </w:pPr>
      <w:r w:rsidRPr="00455A3C">
        <w:rPr>
          <w:rFonts w:cstheme="minorHAnsi"/>
          <w:sz w:val="22"/>
          <w:szCs w:val="22"/>
        </w:rPr>
        <w:t>E</w:t>
      </w:r>
      <w:r w:rsidR="009F194C" w:rsidRPr="00455A3C">
        <w:rPr>
          <w:rFonts w:cstheme="minorHAnsi"/>
          <w:sz w:val="22"/>
          <w:szCs w:val="22"/>
        </w:rPr>
        <w:t>ach LGA was si</w:t>
      </w:r>
      <w:r w:rsidR="00FD1366" w:rsidRPr="00455A3C">
        <w:rPr>
          <w:rFonts w:cstheme="minorHAnsi"/>
          <w:sz w:val="22"/>
          <w:szCs w:val="22"/>
        </w:rPr>
        <w:t>mulated forward from 2020 – 2030</w:t>
      </w:r>
      <w:r w:rsidR="009F194C" w:rsidRPr="00455A3C">
        <w:rPr>
          <w:rFonts w:cstheme="minorHAnsi"/>
          <w:sz w:val="22"/>
          <w:szCs w:val="22"/>
        </w:rPr>
        <w:t xml:space="preserve"> under </w:t>
      </w:r>
      <w:r w:rsidRPr="00455A3C">
        <w:rPr>
          <w:rFonts w:cstheme="minorHAnsi"/>
          <w:sz w:val="22"/>
          <w:szCs w:val="22"/>
        </w:rPr>
        <w:t>various possible</w:t>
      </w:r>
      <w:r w:rsidR="009F194C" w:rsidRPr="00455A3C">
        <w:rPr>
          <w:rFonts w:cstheme="minorHAnsi"/>
          <w:sz w:val="22"/>
          <w:szCs w:val="22"/>
        </w:rPr>
        <w:t xml:space="preserve"> intervention scenarios</w:t>
      </w:r>
      <w:r w:rsidR="00D02CA2" w:rsidRPr="00455A3C">
        <w:rPr>
          <w:rFonts w:cstheme="minorHAnsi"/>
          <w:sz w:val="22"/>
          <w:szCs w:val="22"/>
        </w:rPr>
        <w:t>.</w:t>
      </w:r>
      <w:r w:rsidR="009F194C" w:rsidRPr="00455A3C">
        <w:rPr>
          <w:rFonts w:cstheme="minorHAnsi"/>
          <w:sz w:val="22"/>
          <w:szCs w:val="22"/>
        </w:rPr>
        <w:t xml:space="preserve"> </w:t>
      </w:r>
      <w:r w:rsidR="00D02CA2" w:rsidRPr="00455A3C">
        <w:rPr>
          <w:rFonts w:cstheme="minorHAnsi"/>
          <w:sz w:val="22"/>
          <w:szCs w:val="22"/>
        </w:rPr>
        <w:t>Model predictions of</w:t>
      </w:r>
      <w:r w:rsidR="009F194C" w:rsidRPr="00455A3C">
        <w:rPr>
          <w:rFonts w:cstheme="minorHAnsi"/>
          <w:sz w:val="22"/>
          <w:szCs w:val="22"/>
        </w:rPr>
        <w:t xml:space="preserve"> reduction</w:t>
      </w:r>
      <w:r w:rsidR="00FD1366" w:rsidRPr="00455A3C">
        <w:rPr>
          <w:rFonts w:cstheme="minorHAnsi"/>
          <w:sz w:val="22"/>
          <w:szCs w:val="22"/>
        </w:rPr>
        <w:t>s in prevalence, cases, and deaths</w:t>
      </w:r>
      <w:r w:rsidR="00D02CA2" w:rsidRPr="00455A3C">
        <w:rPr>
          <w:rFonts w:cstheme="minorHAnsi"/>
          <w:sz w:val="22"/>
          <w:szCs w:val="22"/>
        </w:rPr>
        <w:t xml:space="preserve"> were compared</w:t>
      </w:r>
      <w:r w:rsidR="00FD1366" w:rsidRPr="00455A3C">
        <w:rPr>
          <w:rFonts w:cstheme="minorHAnsi"/>
          <w:sz w:val="22"/>
          <w:szCs w:val="22"/>
        </w:rPr>
        <w:t xml:space="preserve"> </w:t>
      </w:r>
      <w:r w:rsidR="009F194C" w:rsidRPr="00455A3C">
        <w:rPr>
          <w:rFonts w:cstheme="minorHAnsi"/>
          <w:sz w:val="22"/>
          <w:szCs w:val="22"/>
        </w:rPr>
        <w:t>for each scenario</w:t>
      </w:r>
      <w:r w:rsidR="00D614E3">
        <w:rPr>
          <w:rFonts w:cstheme="minorHAnsi"/>
          <w:sz w:val="22"/>
          <w:szCs w:val="22"/>
        </w:rPr>
        <w:t>.</w:t>
      </w:r>
    </w:p>
    <w:p w14:paraId="2472FF8D" w14:textId="77777777" w:rsidR="00DC6468" w:rsidRPr="00455A3C" w:rsidRDefault="00DC6468" w:rsidP="004D5FB2">
      <w:pPr>
        <w:spacing w:after="0" w:line="276" w:lineRule="auto"/>
        <w:contextualSpacing/>
        <w:rPr>
          <w:rFonts w:cstheme="minorHAnsi"/>
        </w:rPr>
      </w:pPr>
    </w:p>
    <w:p w14:paraId="0E622404" w14:textId="082F237B" w:rsidR="00CC38BF" w:rsidRPr="00455A3C" w:rsidRDefault="005C5235" w:rsidP="005354EA">
      <w:pPr>
        <w:pStyle w:val="Heading1"/>
        <w:spacing w:before="0" w:line="276" w:lineRule="auto"/>
        <w:contextualSpacing/>
        <w:rPr>
          <w:rFonts w:asciiTheme="minorHAnsi" w:hAnsiTheme="minorHAnsi" w:cstheme="minorHAnsi"/>
          <w:color w:val="auto"/>
          <w:sz w:val="22"/>
          <w:szCs w:val="22"/>
          <w:u w:val="single"/>
        </w:rPr>
      </w:pPr>
      <w:bookmarkStart w:id="0" w:name="_Toc77757573"/>
      <w:r>
        <w:rPr>
          <w:rFonts w:asciiTheme="minorHAnsi" w:hAnsiTheme="minorHAnsi" w:cstheme="minorHAnsi"/>
          <w:color w:val="auto"/>
          <w:sz w:val="22"/>
          <w:szCs w:val="22"/>
          <w:u w:val="single"/>
        </w:rPr>
        <w:t>Clustering LGAs into e</w:t>
      </w:r>
      <w:r w:rsidRPr="00455A3C">
        <w:rPr>
          <w:rFonts w:asciiTheme="minorHAnsi" w:hAnsiTheme="minorHAnsi" w:cstheme="minorHAnsi"/>
          <w:color w:val="auto"/>
          <w:sz w:val="22"/>
          <w:szCs w:val="22"/>
          <w:u w:val="single"/>
        </w:rPr>
        <w:t xml:space="preserve">pidemiological </w:t>
      </w:r>
      <w:r w:rsidR="00D632F8" w:rsidRPr="00455A3C">
        <w:rPr>
          <w:rFonts w:asciiTheme="minorHAnsi" w:hAnsiTheme="minorHAnsi" w:cstheme="minorHAnsi"/>
          <w:color w:val="auto"/>
          <w:sz w:val="22"/>
          <w:szCs w:val="22"/>
          <w:u w:val="single"/>
        </w:rPr>
        <w:t>a</w:t>
      </w:r>
      <w:r w:rsidR="00CC38BF" w:rsidRPr="00455A3C">
        <w:rPr>
          <w:rFonts w:asciiTheme="minorHAnsi" w:hAnsiTheme="minorHAnsi" w:cstheme="minorHAnsi"/>
          <w:color w:val="auto"/>
          <w:sz w:val="22"/>
          <w:szCs w:val="22"/>
          <w:u w:val="single"/>
        </w:rPr>
        <w:t>rchetypes</w:t>
      </w:r>
      <w:bookmarkEnd w:id="0"/>
      <w:r w:rsidR="00CC38BF" w:rsidRPr="00455A3C">
        <w:rPr>
          <w:rFonts w:asciiTheme="minorHAnsi" w:hAnsiTheme="minorHAnsi" w:cstheme="minorHAnsi"/>
          <w:color w:val="auto"/>
          <w:sz w:val="22"/>
          <w:szCs w:val="22"/>
          <w:u w:val="single"/>
        </w:rPr>
        <w:t xml:space="preserve"> </w:t>
      </w:r>
    </w:p>
    <w:p w14:paraId="3D5F28DE" w14:textId="344AB3BF" w:rsidR="00055762" w:rsidRDefault="00CC38BF" w:rsidP="00EA2F5F">
      <w:pPr>
        <w:spacing w:after="0" w:line="276" w:lineRule="auto"/>
        <w:contextualSpacing/>
        <w:rPr>
          <w:rFonts w:cstheme="minorHAnsi"/>
        </w:rPr>
      </w:pPr>
      <w:r w:rsidRPr="00455A3C">
        <w:rPr>
          <w:rFonts w:cstheme="minorHAnsi"/>
        </w:rPr>
        <w:t xml:space="preserve">The CLARA </w:t>
      </w:r>
      <w:r w:rsidR="002A69AA" w:rsidRPr="00455A3C">
        <w:rPr>
          <w:rFonts w:cstheme="minorHAnsi"/>
        </w:rPr>
        <w:t xml:space="preserve">algorithm </w:t>
      </w:r>
      <w:r w:rsidR="0099722C" w:rsidRPr="00455A3C">
        <w:rPr>
          <w:rFonts w:cstheme="minorHAnsi"/>
        </w:rPr>
        <w:fldChar w:fldCharType="begin" w:fldLock="1"/>
      </w:r>
      <w:r w:rsidR="006D6AE3" w:rsidRPr="00455A3C">
        <w:rPr>
          <w:rFonts w:cstheme="minorHAnsi"/>
        </w:rPr>
        <w:instrText>ADDIN CSL_CITATION {"citationItems":[{"id":"ITEM-1","itemData":{"DOI":"10.1016/B978-0-444-87877-9.50039-X","author":[{"dropping-particle":"","family":"Kaufman","given":"Leonard","non-dropping-particle":"","parse-names":false,"suffix":""},{"dropping-particle":"","family":"Rousseeuw","given":"Peter J.","non-dropping-particle":"","parse-names":false,"suffix":""}],"chapter-number":"23","container-title":"Pattern Recognition in Practice","editor":[{"dropping-particle":"","family":"Gelsema","given":"Edzard S.","non-dropping-particle":"","parse-names":false,"suffix":""},{"dropping-particle":"","family":"Kanal","given":"Laveen N.","non-dropping-particle":"","parse-names":false,"suffix":""}],"id":"ITEM-1","issued":{"date-parts":[["1986"]]},"page":"425-437","publisher":"Elsevier","title":"Clustering large data sets","type":"chapter"},"uris":["http://www.mendeley.com/documents/?uuid=ea3cb8eb-d46b-3c5d-a227-fb7919935f88","http://www.mendeley.com/documents/?uuid=70dd47c5-d8ea-4328-b2d4-6b401df80e5d"]},{"id":"ITEM-2","itemData":{"DOI":"10.1002/9780470316801","ISBN":"9780470316801","author":[{"dropping-particle":"","family":"Kaufman","given":"Leonard","non-dropping-particle":"","parse-names":false,"suffix":""},{"dropping-particle":"","family":"Rousseeuw","given":"Peter J","non-dropping-particle":"","parse-names":false,"suffix":""}],"collection-title":"Wiley Series in Probability and Statistics","container-title":"Finding Groups in Data: An Introduction to Cluster Analysis","editor":[{"dropping-particle":"","family":"Kaufman","given":"Leonard","non-dropping-particle":"","parse-names":false,"suffix":""},{"dropping-particle":"","family":"Rousseeuw","given":"Peter J.","non-dropping-particle":"","parse-names":false,"suffix":""}],"id":"ITEM-2","issued":{"date-parts":[["1990","3","8"]]},"number-of-pages":"335-342","publisher":"John Wiley &amp; Sons, Inc.","publisher-place":"Hoboken, NJ, USA","title":"Finding Groups in Data","type":"book","volume":"180"},"uris":["http://www.mendeley.com/documents/?uuid=99462242-6fd5-3c7a-84e0-af299a9201e9","http://www.mendeley.com/documents/?uuid=2ee3cbc6-01dc-4ea1-a12a-08dd9ef0517b"]}],"mendeley":{"formattedCitation":"[1,2]","plainTextFormattedCitation":"[1,2]","previouslyFormattedCitation":"[1,2]"},"properties":{"noteIndex":0},"schema":"https://github.com/citation-style-language/schema/raw/master/csl-citation.json"}</w:instrText>
      </w:r>
      <w:r w:rsidR="0099722C" w:rsidRPr="00455A3C">
        <w:rPr>
          <w:rFonts w:cstheme="minorHAnsi"/>
        </w:rPr>
        <w:fldChar w:fldCharType="separate"/>
      </w:r>
      <w:r w:rsidR="00D9641B" w:rsidRPr="00455A3C">
        <w:rPr>
          <w:rFonts w:cstheme="minorHAnsi"/>
          <w:noProof/>
        </w:rPr>
        <w:t>[1,2]</w:t>
      </w:r>
      <w:r w:rsidR="0099722C" w:rsidRPr="00455A3C">
        <w:rPr>
          <w:rFonts w:cstheme="minorHAnsi"/>
        </w:rPr>
        <w:fldChar w:fldCharType="end"/>
      </w:r>
      <w:r w:rsidR="0099722C" w:rsidRPr="00455A3C">
        <w:rPr>
          <w:rFonts w:cstheme="minorHAnsi"/>
        </w:rPr>
        <w:t xml:space="preserve"> </w:t>
      </w:r>
      <w:r w:rsidR="002A69AA" w:rsidRPr="00455A3C">
        <w:rPr>
          <w:rFonts w:cstheme="minorHAnsi"/>
        </w:rPr>
        <w:t>was implemented using the R package</w:t>
      </w:r>
      <w:r w:rsidR="0099722C" w:rsidRPr="00455A3C">
        <w:rPr>
          <w:rFonts w:cstheme="minorHAnsi"/>
        </w:rPr>
        <w:t xml:space="preserve"> “cluster: Cluster Analysis Basics and Extensions”</w:t>
      </w:r>
      <w:r w:rsidR="002A69AA" w:rsidRPr="00455A3C">
        <w:rPr>
          <w:rFonts w:cstheme="minorHAnsi"/>
        </w:rPr>
        <w:t xml:space="preserve"> </w:t>
      </w:r>
      <w:r w:rsidR="002A69AA" w:rsidRPr="00455A3C">
        <w:rPr>
          <w:rFonts w:cstheme="minorHAnsi"/>
        </w:rPr>
        <w:fldChar w:fldCharType="begin" w:fldLock="1"/>
      </w:r>
      <w:r w:rsidR="006D6AE3" w:rsidRPr="00455A3C">
        <w:rPr>
          <w:rFonts w:cstheme="minorHAnsi"/>
        </w:rPr>
        <w:instrText>ADDIN CSL_CITATION {"citationItems":[{"id":"ITEM-1","itemData":{"author":[{"dropping-particle":"","family":"Maechler","given":"M.","non-dropping-particle":"","parse-names":false,"suffix":""},{"dropping-particle":"","family":"Rousseeuw","given":"P","non-dropping-particle":"","parse-names":false,"suffix":""},{"dropping-particle":"","family":"Struyf","given":"A.","non-dropping-particle":"","parse-names":false,"suffix":""},{"dropping-particle":"","family":"Hubert","given":"M.","non-dropping-particle":"","parse-names":false,"suffix":""},{"dropping-particle":"","family":"Hornik","given":"K.","non-dropping-particle":"","parse-names":false,"suffix":""}],"id":"ITEM-1","issued":{"date-parts":[["2019"]]},"number":"R package version 2.1.0","title":"cluster: Cluster Analysis Basics and Extensions","type":"article"},"uris":["http://www.mendeley.com/documents/?uuid=375fd8b1-7d88-4709-bca8-4555a78a5e52","http://www.mendeley.com/documents/?uuid=ded03fbf-2f6d-4f27-8788-d9e23ed43290"]}],"mendeley":{"formattedCitation":"[3]","plainTextFormattedCitation":"[3]","previouslyFormattedCitation":"[3]"},"properties":{"noteIndex":0},"schema":"https://github.com/citation-style-language/schema/raw/master/csl-citation.json"}</w:instrText>
      </w:r>
      <w:r w:rsidR="002A69AA" w:rsidRPr="00455A3C">
        <w:rPr>
          <w:rFonts w:cstheme="minorHAnsi"/>
        </w:rPr>
        <w:fldChar w:fldCharType="separate"/>
      </w:r>
      <w:r w:rsidR="00D9641B" w:rsidRPr="00455A3C">
        <w:rPr>
          <w:rFonts w:cstheme="minorHAnsi"/>
          <w:noProof/>
        </w:rPr>
        <w:t>[3]</w:t>
      </w:r>
      <w:r w:rsidR="002A69AA" w:rsidRPr="00455A3C">
        <w:rPr>
          <w:rFonts w:cstheme="minorHAnsi"/>
        </w:rPr>
        <w:fldChar w:fldCharType="end"/>
      </w:r>
      <w:r w:rsidR="002A69AA" w:rsidRPr="00455A3C">
        <w:rPr>
          <w:rFonts w:cstheme="minorHAnsi"/>
        </w:rPr>
        <w:t xml:space="preserve"> to generate clusters of LGAs that shared similar climatic, vector, </w:t>
      </w:r>
      <w:r w:rsidR="0099722C" w:rsidRPr="00455A3C">
        <w:rPr>
          <w:rFonts w:cstheme="minorHAnsi"/>
        </w:rPr>
        <w:t>transmission</w:t>
      </w:r>
      <w:r w:rsidR="002A69AA" w:rsidRPr="00455A3C">
        <w:rPr>
          <w:rFonts w:cstheme="minorHAnsi"/>
        </w:rPr>
        <w:t xml:space="preserve"> and </w:t>
      </w:r>
      <w:r w:rsidR="0099722C" w:rsidRPr="00455A3C">
        <w:rPr>
          <w:rFonts w:cstheme="minorHAnsi"/>
        </w:rPr>
        <w:t>intervention</w:t>
      </w:r>
      <w:r w:rsidR="002A69AA" w:rsidRPr="00455A3C">
        <w:rPr>
          <w:rFonts w:cstheme="minorHAnsi"/>
        </w:rPr>
        <w:t xml:space="preserve"> features. </w:t>
      </w:r>
      <w:r w:rsidR="0099722C" w:rsidRPr="00455A3C">
        <w:rPr>
          <w:rFonts w:cstheme="minorHAnsi"/>
        </w:rPr>
        <w:t xml:space="preserve">To </w:t>
      </w:r>
      <w:r w:rsidR="00EA2F5F" w:rsidRPr="00455A3C">
        <w:rPr>
          <w:rFonts w:cstheme="minorHAnsi"/>
        </w:rPr>
        <w:t>adjust the</w:t>
      </w:r>
      <w:r w:rsidR="0099722C" w:rsidRPr="00455A3C">
        <w:rPr>
          <w:rFonts w:cstheme="minorHAnsi"/>
        </w:rPr>
        <w:t xml:space="preserve"> relative importance </w:t>
      </w:r>
      <w:r w:rsidR="00EA2F5F" w:rsidRPr="00455A3C">
        <w:rPr>
          <w:rFonts w:cstheme="minorHAnsi"/>
        </w:rPr>
        <w:t xml:space="preserve">of </w:t>
      </w:r>
      <w:r w:rsidR="00145036" w:rsidRPr="00455A3C">
        <w:rPr>
          <w:rFonts w:cstheme="minorHAnsi"/>
        </w:rPr>
        <w:t>th</w:t>
      </w:r>
      <w:r w:rsidR="0099722C" w:rsidRPr="00455A3C">
        <w:rPr>
          <w:rFonts w:cstheme="minorHAnsi"/>
        </w:rPr>
        <w:t xml:space="preserve">e variables used </w:t>
      </w:r>
      <w:r w:rsidR="00145036" w:rsidRPr="00455A3C">
        <w:rPr>
          <w:rFonts w:cstheme="minorHAnsi"/>
        </w:rPr>
        <w:t xml:space="preserve">to </w:t>
      </w:r>
      <w:r w:rsidR="00F2534D" w:rsidRPr="00455A3C">
        <w:rPr>
          <w:rFonts w:cstheme="minorHAnsi"/>
        </w:rPr>
        <w:t>form these</w:t>
      </w:r>
      <w:r w:rsidR="00145036" w:rsidRPr="00455A3C">
        <w:rPr>
          <w:rFonts w:cstheme="minorHAnsi"/>
        </w:rPr>
        <w:t xml:space="preserve"> </w:t>
      </w:r>
      <w:r w:rsidR="0099722C" w:rsidRPr="00455A3C">
        <w:rPr>
          <w:rFonts w:cstheme="minorHAnsi"/>
        </w:rPr>
        <w:t>cluster</w:t>
      </w:r>
      <w:r w:rsidR="00145036" w:rsidRPr="00455A3C">
        <w:rPr>
          <w:rFonts w:cstheme="minorHAnsi"/>
        </w:rPr>
        <w:t>s</w:t>
      </w:r>
      <w:r w:rsidR="0099722C" w:rsidRPr="00455A3C">
        <w:rPr>
          <w:rFonts w:cstheme="minorHAnsi"/>
        </w:rPr>
        <w:t xml:space="preserve">, </w:t>
      </w:r>
      <w:r w:rsidR="00EA2F5F" w:rsidRPr="00455A3C">
        <w:rPr>
          <w:rFonts w:cstheme="minorHAnsi"/>
        </w:rPr>
        <w:t xml:space="preserve">each category of </w:t>
      </w:r>
      <w:r w:rsidR="0099722C" w:rsidRPr="00455A3C">
        <w:rPr>
          <w:rFonts w:cstheme="minorHAnsi"/>
        </w:rPr>
        <w:t xml:space="preserve">input </w:t>
      </w:r>
      <w:r w:rsidR="00EA2F5F" w:rsidRPr="00455A3C">
        <w:rPr>
          <w:rFonts w:cstheme="minorHAnsi"/>
        </w:rPr>
        <w:t xml:space="preserve">variables (e.g., rainfall, relative vector abundance) was assigned a weight (Table </w:t>
      </w:r>
      <w:r w:rsidR="00145036" w:rsidRPr="00455A3C">
        <w:rPr>
          <w:rFonts w:cstheme="minorHAnsi"/>
        </w:rPr>
        <w:t>S1</w:t>
      </w:r>
      <w:r w:rsidR="00EA2F5F" w:rsidRPr="00455A3C">
        <w:rPr>
          <w:rFonts w:cstheme="minorHAnsi"/>
        </w:rPr>
        <w:t>). Raster inputs</w:t>
      </w:r>
      <w:r w:rsidR="0099722C" w:rsidRPr="00455A3C">
        <w:rPr>
          <w:rFonts w:cstheme="minorHAnsi"/>
        </w:rPr>
        <w:t xml:space="preserve"> were rescaled so that the standard deviation of </w:t>
      </w:r>
      <w:r w:rsidR="00EA2F5F" w:rsidRPr="00455A3C">
        <w:rPr>
          <w:rFonts w:cstheme="minorHAnsi"/>
        </w:rPr>
        <w:t xml:space="preserve">all pixel values was equal to the </w:t>
      </w:r>
      <w:r w:rsidR="00F2534D" w:rsidRPr="00455A3C">
        <w:rPr>
          <w:rFonts w:cstheme="minorHAnsi"/>
        </w:rPr>
        <w:t>category weight divided by the number of inputs in that category</w:t>
      </w:r>
      <w:r w:rsidR="00EA2F5F" w:rsidRPr="00455A3C">
        <w:rPr>
          <w:rFonts w:cstheme="minorHAnsi"/>
        </w:rPr>
        <w:t>.</w:t>
      </w:r>
      <w:r w:rsidR="00C43360" w:rsidRPr="00455A3C">
        <w:rPr>
          <w:rFonts w:cstheme="minorHAnsi"/>
        </w:rPr>
        <w:t xml:space="preserve"> The mean value of all pixels within the borders of an LGA </w:t>
      </w:r>
      <w:r w:rsidR="006562F5" w:rsidRPr="00455A3C">
        <w:rPr>
          <w:rFonts w:cstheme="minorHAnsi"/>
        </w:rPr>
        <w:t>(</w:t>
      </w:r>
      <w:r w:rsidR="005F5E46" w:rsidRPr="00455A3C">
        <w:rPr>
          <w:rFonts w:cstheme="minorHAnsi"/>
        </w:rPr>
        <w:t>represented</w:t>
      </w:r>
      <w:r w:rsidR="006562F5" w:rsidRPr="00455A3C">
        <w:rPr>
          <w:rFonts w:cstheme="minorHAnsi"/>
        </w:rPr>
        <w:t xml:space="preserve"> as </w:t>
      </w:r>
      <w:r w:rsidR="0019459C" w:rsidRPr="00455A3C">
        <w:rPr>
          <w:rFonts w:cstheme="minorHAnsi"/>
          <w:i/>
          <w:iCs/>
        </w:rPr>
        <w:t>m</w:t>
      </w:r>
      <w:r w:rsidR="0019459C" w:rsidRPr="00455A3C">
        <w:rPr>
          <w:rFonts w:cstheme="minorHAnsi"/>
          <w:i/>
          <w:iCs/>
          <w:vertAlign w:val="subscript"/>
        </w:rPr>
        <w:t>v,l</w:t>
      </w:r>
      <w:r w:rsidR="006562F5" w:rsidRPr="00455A3C">
        <w:rPr>
          <w:rFonts w:cstheme="minorHAnsi"/>
        </w:rPr>
        <w:t xml:space="preserve"> for variable </w:t>
      </w:r>
      <w:r w:rsidR="006562F5" w:rsidRPr="00C0372B">
        <w:rPr>
          <w:rFonts w:cstheme="minorHAnsi"/>
          <w:i/>
          <w:iCs/>
        </w:rPr>
        <w:t>v</w:t>
      </w:r>
      <w:r w:rsidR="006562F5" w:rsidRPr="00455A3C">
        <w:rPr>
          <w:rFonts w:cstheme="minorHAnsi"/>
          <w:i/>
          <w:iCs/>
        </w:rPr>
        <w:t xml:space="preserve"> </w:t>
      </w:r>
      <w:r w:rsidR="006562F5" w:rsidRPr="00C0372B">
        <w:rPr>
          <w:rFonts w:cstheme="minorHAnsi"/>
        </w:rPr>
        <w:t xml:space="preserve">and LGA </w:t>
      </w:r>
      <w:r w:rsidR="006562F5" w:rsidRPr="00455A3C">
        <w:rPr>
          <w:rFonts w:cstheme="minorHAnsi"/>
          <w:i/>
          <w:iCs/>
        </w:rPr>
        <w:t>l</w:t>
      </w:r>
      <w:r w:rsidR="006562F5" w:rsidRPr="00455A3C">
        <w:rPr>
          <w:rFonts w:cstheme="minorHAnsi"/>
        </w:rPr>
        <w:t xml:space="preserve">) </w:t>
      </w:r>
      <w:r w:rsidR="00C43360" w:rsidRPr="00455A3C">
        <w:rPr>
          <w:rFonts w:cstheme="minorHAnsi"/>
        </w:rPr>
        <w:t>was used for clustering.</w:t>
      </w:r>
    </w:p>
    <w:p w14:paraId="77A19646" w14:textId="0D0EE442" w:rsidR="00375D2F" w:rsidRDefault="00375D2F" w:rsidP="00EA2F5F">
      <w:pPr>
        <w:spacing w:after="0" w:line="276" w:lineRule="auto"/>
        <w:contextualSpacing/>
        <w:rPr>
          <w:rFonts w:cstheme="minorHAnsi"/>
        </w:rPr>
      </w:pPr>
    </w:p>
    <w:p w14:paraId="0F576FF4" w14:textId="62FADC3A" w:rsidR="00375D2F" w:rsidRPr="00455A3C" w:rsidRDefault="00375D2F" w:rsidP="00EA2F5F">
      <w:pPr>
        <w:spacing w:after="0" w:line="276" w:lineRule="auto"/>
        <w:contextualSpacing/>
        <w:rPr>
          <w:rFonts w:cstheme="minorHAnsi"/>
        </w:rPr>
      </w:pPr>
      <w:r>
        <w:rPr>
          <w:rFonts w:cstheme="minorHAnsi"/>
        </w:rPr>
        <w:t xml:space="preserve">Sixty clusters were generated by this process. The number of clusters was determined through an iterative process. </w:t>
      </w:r>
      <w:r w:rsidR="0065433C">
        <w:rPr>
          <w:rFonts w:cstheme="minorHAnsi"/>
        </w:rPr>
        <w:t>We</w:t>
      </w:r>
      <w:r w:rsidRPr="00375D2F">
        <w:rPr>
          <w:rFonts w:cstheme="minorHAnsi"/>
        </w:rPr>
        <w:t xml:space="preserve"> visually compar</w:t>
      </w:r>
      <w:r w:rsidR="0065433C">
        <w:rPr>
          <w:rFonts w:cstheme="minorHAnsi"/>
        </w:rPr>
        <w:t>ed</w:t>
      </w:r>
      <w:r w:rsidRPr="00375D2F">
        <w:rPr>
          <w:rFonts w:cstheme="minorHAnsi"/>
        </w:rPr>
        <w:t xml:space="preserve"> the input versus cluster-assigned values for all of the input </w:t>
      </w:r>
      <w:r w:rsidR="00435BCA">
        <w:rPr>
          <w:rFonts w:cstheme="minorHAnsi"/>
        </w:rPr>
        <w:t>variables</w:t>
      </w:r>
      <w:r w:rsidRPr="00375D2F">
        <w:rPr>
          <w:rFonts w:cstheme="minorHAnsi"/>
        </w:rPr>
        <w:t xml:space="preserve"> (monthly rainfall, </w:t>
      </w:r>
      <w:r w:rsidR="0065433C">
        <w:rPr>
          <w:rFonts w:cstheme="minorHAnsi"/>
        </w:rPr>
        <w:t>PfPR</w:t>
      </w:r>
      <w:r w:rsidRPr="00375D2F">
        <w:rPr>
          <w:rFonts w:cstheme="minorHAnsi"/>
        </w:rPr>
        <w:t xml:space="preserve">, etc.). Using too few clusters resulted in </w:t>
      </w:r>
      <w:r w:rsidR="0065433C">
        <w:rPr>
          <w:rFonts w:cstheme="minorHAnsi"/>
        </w:rPr>
        <w:t>our</w:t>
      </w:r>
      <w:r w:rsidRPr="00375D2F">
        <w:rPr>
          <w:rFonts w:cstheme="minorHAnsi"/>
        </w:rPr>
        <w:t xml:space="preserve"> not being able to capture the salient patterns in </w:t>
      </w:r>
      <w:r w:rsidR="00435BCA">
        <w:rPr>
          <w:rFonts w:cstheme="minorHAnsi"/>
        </w:rPr>
        <w:t>the input variables</w:t>
      </w:r>
      <w:r w:rsidRPr="00375D2F">
        <w:rPr>
          <w:rFonts w:cstheme="minorHAnsi"/>
        </w:rPr>
        <w:t xml:space="preserve">, while too many clusters would have been unfeasible to calibrate. </w:t>
      </w:r>
      <w:r w:rsidR="00814A9E">
        <w:rPr>
          <w:rFonts w:cstheme="minorHAnsi"/>
        </w:rPr>
        <w:t>Twenty</w:t>
      </w:r>
      <w:r w:rsidRPr="00375D2F">
        <w:rPr>
          <w:rFonts w:cstheme="minorHAnsi"/>
        </w:rPr>
        <w:t xml:space="preserve"> clusters </w:t>
      </w:r>
      <w:r w:rsidR="00814A9E">
        <w:rPr>
          <w:rFonts w:cstheme="minorHAnsi"/>
        </w:rPr>
        <w:t>was determined to result in</w:t>
      </w:r>
      <w:r w:rsidRPr="00375D2F">
        <w:rPr>
          <w:rFonts w:cstheme="minorHAnsi"/>
        </w:rPr>
        <w:t xml:space="preserve"> satisfactory</w:t>
      </w:r>
      <w:r w:rsidR="00814A9E">
        <w:rPr>
          <w:rFonts w:cstheme="minorHAnsi"/>
        </w:rPr>
        <w:t xml:space="preserve"> pattern recapture</w:t>
      </w:r>
      <w:r w:rsidRPr="00375D2F">
        <w:rPr>
          <w:rFonts w:cstheme="minorHAnsi"/>
        </w:rPr>
        <w:t xml:space="preserve">. </w:t>
      </w:r>
      <w:r w:rsidR="00814A9E">
        <w:rPr>
          <w:rFonts w:cstheme="minorHAnsi"/>
        </w:rPr>
        <w:t>Since</w:t>
      </w:r>
      <w:r w:rsidRPr="00375D2F">
        <w:rPr>
          <w:rFonts w:cstheme="minorHAnsi"/>
        </w:rPr>
        <w:t xml:space="preserve"> LGAs in clusters with small MIS sample sizes</w:t>
      </w:r>
      <w:r w:rsidR="00814A9E">
        <w:rPr>
          <w:rFonts w:cstheme="minorHAnsi"/>
        </w:rPr>
        <w:t xml:space="preserve"> would need to be reassigned (process described below)</w:t>
      </w:r>
      <w:r w:rsidRPr="00375D2F">
        <w:rPr>
          <w:rFonts w:cstheme="minorHAnsi"/>
        </w:rPr>
        <w:t xml:space="preserve">, we </w:t>
      </w:r>
      <w:r w:rsidR="00814A9E">
        <w:rPr>
          <w:rFonts w:cstheme="minorHAnsi"/>
        </w:rPr>
        <w:t>selected</w:t>
      </w:r>
      <w:r w:rsidRPr="00375D2F">
        <w:rPr>
          <w:rFonts w:cstheme="minorHAnsi"/>
        </w:rPr>
        <w:t xml:space="preserve"> 60 </w:t>
      </w:r>
      <w:r w:rsidR="00814A9E">
        <w:rPr>
          <w:rFonts w:cstheme="minorHAnsi"/>
        </w:rPr>
        <w:t>as the number of clusters to be generated through CLARA. This</w:t>
      </w:r>
      <w:r w:rsidRPr="00375D2F">
        <w:rPr>
          <w:rFonts w:cstheme="minorHAnsi"/>
        </w:rPr>
        <w:t xml:space="preserve"> resulted in 22 final archetypes that did a reasonable job at recapturing the patterns from the input parameters.</w:t>
      </w:r>
    </w:p>
    <w:p w14:paraId="0D4E037C" w14:textId="77777777" w:rsidR="000634BA" w:rsidRPr="00455A3C" w:rsidRDefault="000634BA" w:rsidP="00D9641B">
      <w:pPr>
        <w:spacing w:after="0" w:line="276" w:lineRule="auto"/>
        <w:contextualSpacing/>
        <w:rPr>
          <w:rFonts w:cstheme="minorHAnsi"/>
        </w:rPr>
      </w:pPr>
    </w:p>
    <w:p w14:paraId="390845D3" w14:textId="6C169F98" w:rsidR="006275A5" w:rsidRPr="00455A3C" w:rsidRDefault="00055762" w:rsidP="00D9641B">
      <w:pPr>
        <w:spacing w:after="0" w:line="276" w:lineRule="auto"/>
        <w:contextualSpacing/>
        <w:rPr>
          <w:rFonts w:cstheme="minorHAnsi"/>
        </w:rPr>
      </w:pPr>
      <w:r w:rsidRPr="00455A3C">
        <w:rPr>
          <w:rFonts w:cstheme="minorHAnsi"/>
        </w:rPr>
        <w:t xml:space="preserve">Because we relied on the 2010 MIS parasite prevalence survey results to calibrate each archetype’s transmission intensity, LGAs in archetypes that contained fewer than fifty surveyed children were </w:t>
      </w:r>
      <w:r w:rsidRPr="00455A3C">
        <w:rPr>
          <w:rFonts w:cstheme="minorHAnsi"/>
        </w:rPr>
        <w:lastRenderedPageBreak/>
        <w:t>reassigned to the next-best archetype</w:t>
      </w:r>
      <w:r w:rsidR="006275A5" w:rsidRPr="00455A3C">
        <w:rPr>
          <w:rFonts w:cstheme="minorHAnsi"/>
        </w:rPr>
        <w:t xml:space="preserve">. The next-best archetype </w:t>
      </w:r>
      <w:r w:rsidR="005F5E46" w:rsidRPr="00455A3C">
        <w:rPr>
          <w:rFonts w:cstheme="minorHAnsi"/>
        </w:rPr>
        <w:t xml:space="preserve">for LGA </w:t>
      </w:r>
      <w:r w:rsidR="005F5E46" w:rsidRPr="00C0372B">
        <w:rPr>
          <w:rFonts w:cstheme="minorHAnsi"/>
          <w:i/>
          <w:iCs/>
        </w:rPr>
        <w:t>l</w:t>
      </w:r>
      <w:r w:rsidR="005F5E46" w:rsidRPr="00455A3C">
        <w:rPr>
          <w:rFonts w:cstheme="minorHAnsi"/>
        </w:rPr>
        <w:t xml:space="preserve"> </w:t>
      </w:r>
      <w:r w:rsidR="006275A5" w:rsidRPr="00455A3C">
        <w:rPr>
          <w:rFonts w:cstheme="minorHAnsi"/>
        </w:rPr>
        <w:t>was selected as the archetype</w:t>
      </w:r>
      <w:r w:rsidR="005F5E46" w:rsidRPr="00455A3C">
        <w:rPr>
          <w:rFonts w:cstheme="minorHAnsi"/>
        </w:rPr>
        <w:t xml:space="preserve"> </w:t>
      </w:r>
      <w:r w:rsidR="006275A5" w:rsidRPr="00455A3C">
        <w:rPr>
          <w:rFonts w:cstheme="minorHAnsi"/>
        </w:rPr>
        <w:t xml:space="preserve">that that minimized: </w:t>
      </w:r>
    </w:p>
    <w:p w14:paraId="6E675C65" w14:textId="0771CF8B" w:rsidR="006275A5" w:rsidRPr="00455A3C" w:rsidRDefault="009C7427" w:rsidP="00C0372B">
      <w:pPr>
        <w:spacing w:after="0" w:line="276" w:lineRule="auto"/>
        <w:ind w:left="720"/>
        <w:contextualSpacing/>
        <w:rPr>
          <w:rFonts w:cstheme="minorHAnsi"/>
        </w:rPr>
      </w:pPr>
      <m:oMathPara>
        <m:oMathParaPr>
          <m:jc m:val="left"/>
        </m:oMathParaPr>
        <m:oMath>
          <m:nary>
            <m:naryPr>
              <m:chr m:val="∑"/>
              <m:limLoc m:val="undOvr"/>
              <m:supHide m:val="1"/>
              <m:ctrlPr>
                <w:rPr>
                  <w:rFonts w:ascii="Cambria Math" w:hAnsi="Cambria Math" w:cstheme="minorHAnsi"/>
                  <w:i/>
                </w:rPr>
              </m:ctrlPr>
            </m:naryPr>
            <m:sub>
              <m:r>
                <w:rPr>
                  <w:rFonts w:ascii="Cambria Math" w:hAnsi="Cambria Math" w:cstheme="minorHAnsi"/>
                </w:rPr>
                <m:t>v ∈ input variables</m:t>
              </m:r>
            </m:sub>
            <m:sup/>
            <m:e>
              <m:sSup>
                <m:sSupPr>
                  <m:ctrlPr>
                    <w:rPr>
                      <w:rFonts w:ascii="Cambria Math" w:hAnsi="Cambria Math" w:cstheme="minorHAnsi"/>
                      <w:i/>
                    </w:rPr>
                  </m:ctrlPr>
                </m:sSup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v,l</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v,r</m:t>
                          </m:r>
                        </m:sub>
                      </m:sSub>
                    </m:e>
                  </m:d>
                </m:e>
                <m:sup>
                  <m:r>
                    <w:rPr>
                      <w:rFonts w:ascii="Cambria Math" w:hAnsi="Cambria Math" w:cstheme="minorHAnsi"/>
                    </w:rPr>
                    <m:t>2</m:t>
                  </m:r>
                </m:sup>
              </m:sSup>
            </m:e>
          </m:nary>
        </m:oMath>
      </m:oMathPara>
    </w:p>
    <w:p w14:paraId="14535923" w14:textId="30DE6E65" w:rsidR="00CC38BF" w:rsidRPr="00455A3C" w:rsidRDefault="00955B4A" w:rsidP="00D9641B">
      <w:pPr>
        <w:spacing w:after="0" w:line="276" w:lineRule="auto"/>
        <w:contextualSpacing/>
        <w:rPr>
          <w:rFonts w:cstheme="minorHAnsi"/>
        </w:rPr>
      </w:pPr>
      <w:r w:rsidRPr="00455A3C">
        <w:rPr>
          <w:rFonts w:cstheme="minorHAnsi"/>
        </w:rPr>
        <w:t>w</w:t>
      </w:r>
      <w:r w:rsidR="00390735" w:rsidRPr="00455A3C">
        <w:rPr>
          <w:rFonts w:cstheme="minorHAnsi"/>
        </w:rPr>
        <w:t xml:space="preserve">here </w:t>
      </w:r>
      <w:r w:rsidR="005F5E46" w:rsidRPr="00455A3C">
        <w:rPr>
          <w:rFonts w:cstheme="minorHAnsi"/>
          <w:i/>
          <w:iCs/>
        </w:rPr>
        <w:t>r</w:t>
      </w:r>
      <w:r w:rsidR="00390735" w:rsidRPr="00455A3C">
        <w:rPr>
          <w:rFonts w:cstheme="minorHAnsi"/>
        </w:rPr>
        <w:t xml:space="preserve"> is the </w:t>
      </w:r>
      <w:r w:rsidR="00AF3D01" w:rsidRPr="00455A3C">
        <w:rPr>
          <w:rFonts w:cstheme="minorHAnsi"/>
        </w:rPr>
        <w:t xml:space="preserve">representative LGA of the archetype (as identified by the CLARA algorithm). </w:t>
      </w:r>
      <w:r w:rsidR="00055762" w:rsidRPr="00455A3C">
        <w:rPr>
          <w:rFonts w:cstheme="minorHAnsi"/>
        </w:rPr>
        <w:t>The resulting</w:t>
      </w:r>
      <w:r w:rsidR="00CC38BF" w:rsidRPr="00455A3C">
        <w:rPr>
          <w:rFonts w:cstheme="minorHAnsi"/>
        </w:rPr>
        <w:t xml:space="preserve"> set of</w:t>
      </w:r>
      <w:r w:rsidR="00055762" w:rsidRPr="00455A3C">
        <w:rPr>
          <w:rFonts w:cstheme="minorHAnsi"/>
        </w:rPr>
        <w:t xml:space="preserve"> twenty-two</w:t>
      </w:r>
      <w:r w:rsidR="00CC38BF" w:rsidRPr="00455A3C">
        <w:rPr>
          <w:rFonts w:cstheme="minorHAnsi"/>
        </w:rPr>
        <w:t xml:space="preserve"> </w:t>
      </w:r>
      <w:r w:rsidR="00F2534D" w:rsidRPr="00455A3C">
        <w:rPr>
          <w:rFonts w:cstheme="minorHAnsi"/>
        </w:rPr>
        <w:t xml:space="preserve">archetypes </w:t>
      </w:r>
      <w:r w:rsidR="0099722C" w:rsidRPr="00455A3C">
        <w:rPr>
          <w:rFonts w:cstheme="minorHAnsi"/>
        </w:rPr>
        <w:t>is</w:t>
      </w:r>
      <w:r w:rsidR="003F3A8A" w:rsidRPr="00455A3C">
        <w:rPr>
          <w:rFonts w:cstheme="minorHAnsi"/>
        </w:rPr>
        <w:t xml:space="preserve"> shown in Figure </w:t>
      </w:r>
      <w:r w:rsidR="00D26E76" w:rsidRPr="00455A3C">
        <w:rPr>
          <w:rFonts w:cstheme="minorHAnsi"/>
        </w:rPr>
        <w:t>S</w:t>
      </w:r>
      <w:r w:rsidR="003F3A8A" w:rsidRPr="00455A3C">
        <w:rPr>
          <w:rFonts w:cstheme="minorHAnsi"/>
        </w:rPr>
        <w:t>1</w:t>
      </w:r>
      <w:r w:rsidR="00CC38BF" w:rsidRPr="00455A3C">
        <w:rPr>
          <w:rFonts w:cstheme="minorHAnsi"/>
        </w:rPr>
        <w:t>.</w:t>
      </w:r>
      <w:r w:rsidR="003F3A8A" w:rsidRPr="00455A3C">
        <w:rPr>
          <w:rFonts w:cstheme="minorHAnsi"/>
        </w:rPr>
        <w:t xml:space="preserve"> </w:t>
      </w:r>
    </w:p>
    <w:p w14:paraId="185E90C9" w14:textId="596CC312" w:rsidR="001F0DE0" w:rsidRPr="00455A3C" w:rsidRDefault="001F0DE0" w:rsidP="005354EA">
      <w:pPr>
        <w:spacing w:after="0" w:line="276" w:lineRule="auto"/>
        <w:contextualSpacing/>
        <w:rPr>
          <w:rFonts w:cstheme="minorHAnsi"/>
        </w:rPr>
      </w:pPr>
    </w:p>
    <w:p w14:paraId="3C847729" w14:textId="0E986520" w:rsidR="00055762" w:rsidRPr="00455A3C" w:rsidRDefault="00D9641B" w:rsidP="005354EA">
      <w:pPr>
        <w:spacing w:after="0" w:line="276" w:lineRule="auto"/>
        <w:contextualSpacing/>
        <w:rPr>
          <w:rFonts w:cstheme="minorHAnsi"/>
        </w:rPr>
      </w:pPr>
      <w:r w:rsidRPr="00455A3C">
        <w:rPr>
          <w:rFonts w:cstheme="minorHAnsi"/>
        </w:rPr>
        <w:t>Table S1.</w:t>
      </w:r>
      <w:r w:rsidR="00145036" w:rsidRPr="00455A3C">
        <w:rPr>
          <w:rFonts w:cstheme="minorHAnsi"/>
        </w:rPr>
        <w:t xml:space="preserve"> Input variables and weights used to cluster LGAs into epidemiological archetypes. </w:t>
      </w:r>
    </w:p>
    <w:tbl>
      <w:tblPr>
        <w:tblStyle w:val="TableGrid"/>
        <w:tblW w:w="9985" w:type="dxa"/>
        <w:tblLook w:val="04A0" w:firstRow="1" w:lastRow="0" w:firstColumn="1" w:lastColumn="0" w:noHBand="0" w:noVBand="1"/>
      </w:tblPr>
      <w:tblGrid>
        <w:gridCol w:w="1705"/>
        <w:gridCol w:w="1080"/>
        <w:gridCol w:w="3240"/>
        <w:gridCol w:w="1440"/>
        <w:gridCol w:w="1350"/>
        <w:gridCol w:w="1170"/>
      </w:tblGrid>
      <w:tr w:rsidR="00D9641B" w:rsidRPr="00816890" w14:paraId="3E1017FD" w14:textId="77777777" w:rsidTr="00FE3157">
        <w:trPr>
          <w:trHeight w:val="288"/>
        </w:trPr>
        <w:tc>
          <w:tcPr>
            <w:tcW w:w="1705" w:type="dxa"/>
            <w:tcBorders>
              <w:left w:val="single" w:sz="4" w:space="0" w:color="FFFFFF" w:themeColor="background1"/>
            </w:tcBorders>
            <w:noWrap/>
            <w:hideMark/>
          </w:tcPr>
          <w:p w14:paraId="1B98D2F1" w14:textId="7537A5E2" w:rsidR="00D9641B" w:rsidRPr="00816890" w:rsidRDefault="00D9641B" w:rsidP="00D9641B">
            <w:pPr>
              <w:rPr>
                <w:rFonts w:eastAsia="Times New Roman" w:cstheme="minorHAnsi"/>
                <w:b/>
                <w:bCs/>
                <w:color w:val="000000"/>
                <w:sz w:val="22"/>
                <w:szCs w:val="22"/>
              </w:rPr>
            </w:pPr>
            <w:r w:rsidRPr="00816890">
              <w:rPr>
                <w:rFonts w:eastAsia="Times New Roman" w:cstheme="minorHAnsi"/>
                <w:b/>
                <w:bCs/>
                <w:color w:val="000000"/>
                <w:sz w:val="22"/>
                <w:szCs w:val="22"/>
              </w:rPr>
              <w:t>Category</w:t>
            </w:r>
          </w:p>
        </w:tc>
        <w:tc>
          <w:tcPr>
            <w:tcW w:w="1080" w:type="dxa"/>
            <w:noWrap/>
            <w:hideMark/>
          </w:tcPr>
          <w:p w14:paraId="50E12A89" w14:textId="77777777" w:rsidR="00D9641B" w:rsidRPr="00816890" w:rsidRDefault="00D9641B" w:rsidP="00D9641B">
            <w:pPr>
              <w:rPr>
                <w:rFonts w:eastAsia="Times New Roman" w:cstheme="minorHAnsi"/>
                <w:b/>
                <w:bCs/>
                <w:color w:val="000000"/>
                <w:sz w:val="22"/>
                <w:szCs w:val="22"/>
              </w:rPr>
            </w:pPr>
            <w:r w:rsidRPr="00816890">
              <w:rPr>
                <w:rFonts w:eastAsia="Times New Roman" w:cstheme="minorHAnsi"/>
                <w:b/>
                <w:bCs/>
                <w:color w:val="000000"/>
                <w:sz w:val="22"/>
                <w:szCs w:val="22"/>
              </w:rPr>
              <w:t>Category weight</w:t>
            </w:r>
          </w:p>
        </w:tc>
        <w:tc>
          <w:tcPr>
            <w:tcW w:w="3240" w:type="dxa"/>
            <w:noWrap/>
            <w:hideMark/>
          </w:tcPr>
          <w:p w14:paraId="6929B271" w14:textId="5F971631" w:rsidR="00D9641B" w:rsidRPr="00816890" w:rsidRDefault="00D9641B" w:rsidP="00D9641B">
            <w:pPr>
              <w:rPr>
                <w:rFonts w:eastAsia="Times New Roman" w:cstheme="minorHAnsi"/>
                <w:b/>
                <w:bCs/>
                <w:color w:val="000000"/>
                <w:sz w:val="22"/>
                <w:szCs w:val="22"/>
              </w:rPr>
            </w:pPr>
            <w:r w:rsidRPr="00816890">
              <w:rPr>
                <w:rFonts w:eastAsia="Times New Roman" w:cstheme="minorHAnsi"/>
                <w:b/>
                <w:bCs/>
                <w:color w:val="000000"/>
                <w:sz w:val="22"/>
                <w:szCs w:val="22"/>
              </w:rPr>
              <w:t>Description</w:t>
            </w:r>
          </w:p>
        </w:tc>
        <w:tc>
          <w:tcPr>
            <w:tcW w:w="1440" w:type="dxa"/>
            <w:noWrap/>
            <w:hideMark/>
          </w:tcPr>
          <w:p w14:paraId="7FAF8FBC" w14:textId="77777777" w:rsidR="00D9641B" w:rsidRPr="00816890" w:rsidRDefault="00D9641B" w:rsidP="00D9641B">
            <w:pPr>
              <w:rPr>
                <w:rFonts w:eastAsia="Times New Roman" w:cstheme="minorHAnsi"/>
                <w:b/>
                <w:bCs/>
                <w:color w:val="000000"/>
                <w:sz w:val="22"/>
                <w:szCs w:val="22"/>
              </w:rPr>
            </w:pPr>
            <w:r w:rsidRPr="00816890">
              <w:rPr>
                <w:rFonts w:eastAsia="Times New Roman" w:cstheme="minorHAnsi"/>
                <w:b/>
                <w:bCs/>
                <w:color w:val="000000"/>
                <w:sz w:val="22"/>
                <w:szCs w:val="22"/>
              </w:rPr>
              <w:t>Number of input rasters</w:t>
            </w:r>
          </w:p>
        </w:tc>
        <w:tc>
          <w:tcPr>
            <w:tcW w:w="1350" w:type="dxa"/>
            <w:noWrap/>
            <w:hideMark/>
          </w:tcPr>
          <w:p w14:paraId="0D2A14B7" w14:textId="77777777" w:rsidR="00D9641B" w:rsidRPr="00816890" w:rsidRDefault="00D9641B" w:rsidP="00D9641B">
            <w:pPr>
              <w:rPr>
                <w:rFonts w:eastAsia="Times New Roman" w:cstheme="minorHAnsi"/>
                <w:b/>
                <w:bCs/>
                <w:color w:val="000000"/>
                <w:sz w:val="22"/>
                <w:szCs w:val="22"/>
              </w:rPr>
            </w:pPr>
            <w:r w:rsidRPr="00816890">
              <w:rPr>
                <w:rFonts w:eastAsia="Times New Roman" w:cstheme="minorHAnsi"/>
                <w:b/>
                <w:bCs/>
                <w:color w:val="000000"/>
                <w:sz w:val="22"/>
                <w:szCs w:val="22"/>
              </w:rPr>
              <w:t>Weight for each raster</w:t>
            </w:r>
          </w:p>
        </w:tc>
        <w:tc>
          <w:tcPr>
            <w:tcW w:w="1170" w:type="dxa"/>
            <w:tcBorders>
              <w:right w:val="single" w:sz="4" w:space="0" w:color="FFFFFF"/>
            </w:tcBorders>
            <w:noWrap/>
            <w:hideMark/>
          </w:tcPr>
          <w:p w14:paraId="226955DF" w14:textId="77777777" w:rsidR="00D9641B" w:rsidRPr="00816890" w:rsidRDefault="00D9641B" w:rsidP="00D9641B">
            <w:pPr>
              <w:rPr>
                <w:rFonts w:eastAsia="Times New Roman" w:cstheme="minorHAnsi"/>
                <w:b/>
                <w:bCs/>
                <w:color w:val="000000"/>
                <w:sz w:val="22"/>
                <w:szCs w:val="22"/>
              </w:rPr>
            </w:pPr>
            <w:r w:rsidRPr="00816890">
              <w:rPr>
                <w:rFonts w:eastAsia="Times New Roman" w:cstheme="minorHAnsi"/>
                <w:b/>
                <w:bCs/>
                <w:color w:val="000000"/>
                <w:sz w:val="22"/>
                <w:szCs w:val="22"/>
              </w:rPr>
              <w:t>Reference</w:t>
            </w:r>
          </w:p>
        </w:tc>
      </w:tr>
      <w:tr w:rsidR="00D9641B" w:rsidRPr="00816890" w14:paraId="059D9785" w14:textId="77777777" w:rsidTr="00FE3157">
        <w:trPr>
          <w:trHeight w:val="288"/>
        </w:trPr>
        <w:tc>
          <w:tcPr>
            <w:tcW w:w="1705" w:type="dxa"/>
            <w:tcBorders>
              <w:left w:val="single" w:sz="4" w:space="0" w:color="FFFFFF" w:themeColor="background1"/>
            </w:tcBorders>
            <w:noWrap/>
            <w:hideMark/>
          </w:tcPr>
          <w:p w14:paraId="0A7525CC" w14:textId="77777777"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Monthly rainfall</w:t>
            </w:r>
          </w:p>
        </w:tc>
        <w:tc>
          <w:tcPr>
            <w:tcW w:w="1080" w:type="dxa"/>
            <w:noWrap/>
            <w:hideMark/>
          </w:tcPr>
          <w:p w14:paraId="4B37B144" w14:textId="77777777" w:rsidR="00D9641B" w:rsidRPr="00816890" w:rsidRDefault="00D9641B" w:rsidP="00867B1D">
            <w:pPr>
              <w:rPr>
                <w:rFonts w:eastAsia="Times New Roman" w:cstheme="minorHAnsi"/>
                <w:color w:val="000000"/>
                <w:sz w:val="22"/>
                <w:szCs w:val="22"/>
              </w:rPr>
            </w:pPr>
            <w:r w:rsidRPr="00816890">
              <w:rPr>
                <w:rFonts w:eastAsia="Times New Roman" w:cstheme="minorHAnsi"/>
                <w:color w:val="000000"/>
                <w:sz w:val="22"/>
                <w:szCs w:val="22"/>
              </w:rPr>
              <w:t>3</w:t>
            </w:r>
          </w:p>
        </w:tc>
        <w:tc>
          <w:tcPr>
            <w:tcW w:w="3240" w:type="dxa"/>
            <w:noWrap/>
            <w:hideMark/>
          </w:tcPr>
          <w:p w14:paraId="32985359" w14:textId="77777777"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Total rainfall in each month</w:t>
            </w:r>
          </w:p>
        </w:tc>
        <w:tc>
          <w:tcPr>
            <w:tcW w:w="1440" w:type="dxa"/>
            <w:noWrap/>
            <w:hideMark/>
          </w:tcPr>
          <w:p w14:paraId="18C2486A" w14:textId="77777777" w:rsidR="00D9641B" w:rsidRPr="00816890" w:rsidRDefault="00D9641B" w:rsidP="00867B1D">
            <w:pPr>
              <w:rPr>
                <w:rFonts w:eastAsia="Times New Roman" w:cstheme="minorHAnsi"/>
                <w:color w:val="000000"/>
                <w:sz w:val="22"/>
                <w:szCs w:val="22"/>
              </w:rPr>
            </w:pPr>
            <w:r w:rsidRPr="00816890">
              <w:rPr>
                <w:rFonts w:eastAsia="Times New Roman" w:cstheme="minorHAnsi"/>
                <w:color w:val="000000"/>
                <w:sz w:val="22"/>
                <w:szCs w:val="22"/>
              </w:rPr>
              <w:t>12</w:t>
            </w:r>
          </w:p>
        </w:tc>
        <w:tc>
          <w:tcPr>
            <w:tcW w:w="1350" w:type="dxa"/>
            <w:noWrap/>
            <w:hideMark/>
          </w:tcPr>
          <w:p w14:paraId="7060BE21" w14:textId="61993F49"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0.25</w:t>
            </w:r>
          </w:p>
        </w:tc>
        <w:tc>
          <w:tcPr>
            <w:tcW w:w="1170" w:type="dxa"/>
            <w:tcBorders>
              <w:right w:val="single" w:sz="4" w:space="0" w:color="FFFFFF"/>
            </w:tcBorders>
            <w:noWrap/>
            <w:hideMark/>
          </w:tcPr>
          <w:p w14:paraId="4A6AFDF6" w14:textId="6A20CC3D"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rPr>
              <w:fldChar w:fldCharType="begin" w:fldLock="1"/>
            </w:r>
            <w:r w:rsidR="006D6AE3" w:rsidRPr="00816890">
              <w:rPr>
                <w:rFonts w:eastAsia="Times New Roman" w:cstheme="minorHAnsi"/>
                <w:color w:val="000000"/>
                <w:sz w:val="22"/>
                <w:szCs w:val="22"/>
              </w:rPr>
              <w:instrText>ADDIN CSL_CITATION {"citationItems":[{"id":"ITEM-1","itemData":{"DOI":"10.1038/sdata.2015.50","ISSN":"20524463","abstract":"East Africa is a drought prone, food and water insecure region with a highly variable climate. This complexity makes rainfall estimation challenging, and this challenge is compounded by low rain gauge densities and inhomogeneous monitoring networks. The dearth of observations is particularly problematic over the past decade, since the number of records in globally accessible archives has fallen precipitously. This lack of data coincides with an increasing scientific and humanitarian need to place recent seasonal and multi-annual East African precipitation extremes in a deep historic context. To serve this need, scientists from the UC Santa Barbara Climate Hazards Group and Florida State University have pooled their station archives and expertise to produce a high quality gridded 'Centennial Trends' precipitation dataset. Additional observations have been acquired from the national meteorological agencies and augmented with data provided by other universities. Extensive quality control of the data was carried out and seasonal anomalies interpolated using kriging. This paper documents the CenTrends methodology and data.","author":[{"dropping-particle":"","family":"Funk","given":"Chris","non-dropping-particle":"","parse-names":false,"suffix":""},{"dropping-particle":"","family":"Nicholson","given":"Sharon E.","non-dropping-particle":"","parse-names":false,"suffix":""},{"dropping-particle":"","family":"Landsfeld","given":"Martin","non-dropping-particle":"","parse-names":false,"suffix":""},{"dropping-particle":"","family":"Klotter","given":"Douglas","non-dropping-particle":"","parse-names":false,"suffix":""},{"dropping-particle":"","family":"Peterson","given":"Pete","non-dropping-particle":"","parse-names":false,"suffix":""},{"dropping-particle":"","family":"Harrison","given":"Laura","non-dropping-particle":"","parse-names":false,"suffix":""}],"container-title":"Scientific Data","id":"ITEM-1","issue":"1","issued":{"date-parts":[["2015","9","29"]]},"page":"1-17","publisher":"Nature Publishing Groups","title":"The Centennial Trends Greater Horn of Africa precipitation dataset","type":"article-journal","volume":"2"},"uris":["http://www.mendeley.com/documents/?uuid=635344fb-ca5b-3412-a1b3-4fd84149b64c"]}],"mendeley":{"formattedCitation":"[4]","plainTextFormattedCitation":"[4]","previouslyFormattedCitation":"[4]"},"properties":{"noteIndex":0},"schema":"https://github.com/citation-style-language/schema/raw/master/csl-citation.json"}</w:instrText>
            </w:r>
            <w:r w:rsidRPr="00816890">
              <w:rPr>
                <w:rFonts w:eastAsia="Times New Roman" w:cstheme="minorHAnsi"/>
                <w:color w:val="000000"/>
              </w:rPr>
              <w:fldChar w:fldCharType="separate"/>
            </w:r>
            <w:r w:rsidRPr="00816890">
              <w:rPr>
                <w:rFonts w:eastAsia="Times New Roman" w:cstheme="minorHAnsi"/>
                <w:noProof/>
                <w:color w:val="000000"/>
                <w:sz w:val="22"/>
                <w:szCs w:val="22"/>
              </w:rPr>
              <w:t>[4]</w:t>
            </w:r>
            <w:r w:rsidRPr="00816890">
              <w:rPr>
                <w:rFonts w:eastAsia="Times New Roman" w:cstheme="minorHAnsi"/>
                <w:color w:val="000000"/>
              </w:rPr>
              <w:fldChar w:fldCharType="end"/>
            </w:r>
          </w:p>
        </w:tc>
      </w:tr>
      <w:tr w:rsidR="00D9641B" w:rsidRPr="00816890" w14:paraId="08B451AD" w14:textId="77777777" w:rsidTr="00FE3157">
        <w:trPr>
          <w:trHeight w:val="288"/>
        </w:trPr>
        <w:tc>
          <w:tcPr>
            <w:tcW w:w="1705" w:type="dxa"/>
            <w:tcBorders>
              <w:left w:val="single" w:sz="4" w:space="0" w:color="FFFFFF" w:themeColor="background1"/>
            </w:tcBorders>
            <w:noWrap/>
            <w:hideMark/>
          </w:tcPr>
          <w:p w14:paraId="09CA71EE" w14:textId="77777777"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Monthly temperature suitability index</w:t>
            </w:r>
          </w:p>
        </w:tc>
        <w:tc>
          <w:tcPr>
            <w:tcW w:w="1080" w:type="dxa"/>
            <w:noWrap/>
            <w:hideMark/>
          </w:tcPr>
          <w:p w14:paraId="36817C2C" w14:textId="77777777"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sz w:val="22"/>
                <w:szCs w:val="22"/>
              </w:rPr>
              <w:t>2</w:t>
            </w:r>
          </w:p>
        </w:tc>
        <w:tc>
          <w:tcPr>
            <w:tcW w:w="3240" w:type="dxa"/>
            <w:noWrap/>
            <w:hideMark/>
          </w:tcPr>
          <w:p w14:paraId="20856D1E" w14:textId="77777777"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Average temperature suitability index in each month</w:t>
            </w:r>
          </w:p>
        </w:tc>
        <w:tc>
          <w:tcPr>
            <w:tcW w:w="1440" w:type="dxa"/>
            <w:noWrap/>
            <w:hideMark/>
          </w:tcPr>
          <w:p w14:paraId="39B7D62A" w14:textId="77777777"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sz w:val="22"/>
                <w:szCs w:val="22"/>
              </w:rPr>
              <w:t>12</w:t>
            </w:r>
          </w:p>
        </w:tc>
        <w:tc>
          <w:tcPr>
            <w:tcW w:w="1350" w:type="dxa"/>
            <w:noWrap/>
            <w:hideMark/>
          </w:tcPr>
          <w:p w14:paraId="5C9FE0EC" w14:textId="7B1BC543"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0.167</w:t>
            </w:r>
          </w:p>
        </w:tc>
        <w:tc>
          <w:tcPr>
            <w:tcW w:w="1170" w:type="dxa"/>
            <w:tcBorders>
              <w:right w:val="single" w:sz="4" w:space="0" w:color="FFFFFF"/>
            </w:tcBorders>
            <w:noWrap/>
            <w:hideMark/>
          </w:tcPr>
          <w:p w14:paraId="7C84AB80" w14:textId="718C6A25"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rPr>
              <w:fldChar w:fldCharType="begin" w:fldLock="1"/>
            </w:r>
            <w:r w:rsidR="006D6AE3" w:rsidRPr="00816890">
              <w:rPr>
                <w:rFonts w:eastAsia="Times New Roman" w:cstheme="minorHAnsi"/>
                <w:color w:val="000000"/>
                <w:sz w:val="22"/>
                <w:szCs w:val="22"/>
              </w:rPr>
              <w:instrText>ADDIN CSL_CITATION {"citationItems":[{"id":"ITEM-1","itemData":{"DOI":"10.1186/1475-2875-13-171","ISSN":"14752875","abstract":"Background: Temperature suitability for malaria transmission is a useful predictor variable for spatial models of malaria infection prevalence. Existing continental or global models, however, are synoptic in nature and so do not characterize inter-annual variability in seasonal patterns of temperature suitability, reducing their utility for predicting malaria risk. Methods. A malaria Temperature Suitability Index (TSI) was created by first modeling minimum and maximum air temperature with an eight-day temporal resolution from gap-filled MODerate Resolution Imaging Spectroradiometer (MODIS) daytime and night-time Land Surface Temperature (LST) datasets. An improved version of an existing biological model for malaria temperature suitability was then applied to the resulting temperature information for a 13-year data series. The mechanism underlying this biological model is simulation of emergent mosquito cohorts on a two-hour time-step and tracking of each cohort throughout its life to quantify the impact air temperature has on both mosquito survival and sporozoite development. Results: The results of this research consist of 154 monthly raster surfaces that characterize spatiotemporal patterns in TSI across Africa from April 2000 through December 2012 at a 1 km spatial resolution. Generalized TSI patterns were as expected, with consistently high values in equatorial rain forests, seasonally variable values in tropical savannas (wet and dry) and montane areas, and low values in arid, subtropical regions. Comparisons with synoptic approaches demonstrated the additional information available within the dynamic TSI dataset that is lost in equivalent synoptic products derived from long-term monthly averages. Conclusions: The dynamic TSI dataset presented here provides a new product with far richer spatial and temporal information than any other presently available for Africa. As spatiotemporal malaria modeling endeavors evolve, dynamic predictor variables such as the malaria temperature suitability data developed here will be essential for the rational assessment of changing patterns of malaria risk. © 2014 Weiss et al.; licensee BioMed Central Ltd.","author":[{"dropping-particle":"","family":"Weiss","given":"Daniel J.","non-dropping-particle":"","parse-names":false,"suffix":""},{"dropping-particle":"","family":"Bhatt","given":"Samir","non-dropping-particle":"","parse-names":false,"suffix":""},{"dropping-particle":"","family":"Mappin","given":"Bonnie","non-dropping-particle":"","parse-names":false,"suffix":""},{"dropping-particle":"","family":"Boeckel","given":"Thomas P.","non-dropping-particle":"Van","parse-names":false,"suffix":""},{"dropping-particle":"","family":"Smith","given":"David L.","non-dropping-particle":"","parse-names":false,"suffix":""},{"dropping-particle":"","family":"Hay","given":"Simon I.","non-dropping-particle":"","parse-names":false,"suffix":""},{"dropping-particle":"","family":"Gething","given":"Peter W.","non-dropping-particle":"","parse-names":false,"suffix":""}],"container-title":"Malaria Journal","id":"ITEM-1","issue":"1","issued":{"date-parts":[["2014","5","3"]]},"publisher":"BioMed Central Ltd.","title":"Air temperature suitability for Plasmodium falciparum malaria transmission in Africa 2000-2012: A high-resolution spatiotemporal prediction","type":"article-journal","volume":"13"},"uris":["http://www.mendeley.com/documents/?uuid=becdbd0a-2148-3277-a40a-5d913c6dc591"]}],"mendeley":{"formattedCitation":"[5]","plainTextFormattedCitation":"[5]","previouslyFormattedCitation":"[5]"},"properties":{"noteIndex":0},"schema":"https://github.com/citation-style-language/schema/raw/master/csl-citation.json"}</w:instrText>
            </w:r>
            <w:r w:rsidRPr="00816890">
              <w:rPr>
                <w:rFonts w:eastAsia="Times New Roman" w:cstheme="minorHAnsi"/>
                <w:color w:val="000000"/>
              </w:rPr>
              <w:fldChar w:fldCharType="separate"/>
            </w:r>
            <w:r w:rsidRPr="00816890">
              <w:rPr>
                <w:rFonts w:eastAsia="Times New Roman" w:cstheme="minorHAnsi"/>
                <w:noProof/>
                <w:color w:val="000000"/>
                <w:sz w:val="22"/>
                <w:szCs w:val="22"/>
              </w:rPr>
              <w:t>[5]</w:t>
            </w:r>
            <w:r w:rsidRPr="00816890">
              <w:rPr>
                <w:rFonts w:eastAsia="Times New Roman" w:cstheme="minorHAnsi"/>
                <w:color w:val="000000"/>
              </w:rPr>
              <w:fldChar w:fldCharType="end"/>
            </w:r>
          </w:p>
        </w:tc>
      </w:tr>
      <w:tr w:rsidR="00D9641B" w:rsidRPr="00816890" w14:paraId="6CF3E618" w14:textId="77777777" w:rsidTr="00FE3157">
        <w:trPr>
          <w:trHeight w:val="288"/>
        </w:trPr>
        <w:tc>
          <w:tcPr>
            <w:tcW w:w="1705" w:type="dxa"/>
            <w:tcBorders>
              <w:left w:val="single" w:sz="4" w:space="0" w:color="FFFFFF" w:themeColor="background1"/>
            </w:tcBorders>
            <w:noWrap/>
            <w:hideMark/>
          </w:tcPr>
          <w:p w14:paraId="08AE1D36" w14:textId="77777777"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Relative vector abundance</w:t>
            </w:r>
          </w:p>
        </w:tc>
        <w:tc>
          <w:tcPr>
            <w:tcW w:w="1080" w:type="dxa"/>
            <w:noWrap/>
            <w:hideMark/>
          </w:tcPr>
          <w:p w14:paraId="1AA35F69" w14:textId="77777777"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sz w:val="22"/>
                <w:szCs w:val="22"/>
              </w:rPr>
              <w:t>2</w:t>
            </w:r>
          </w:p>
        </w:tc>
        <w:tc>
          <w:tcPr>
            <w:tcW w:w="3240" w:type="dxa"/>
            <w:noWrap/>
            <w:hideMark/>
          </w:tcPr>
          <w:p w14:paraId="088FFADE" w14:textId="77777777"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Relative abundance of three dominant vector species</w:t>
            </w:r>
          </w:p>
        </w:tc>
        <w:tc>
          <w:tcPr>
            <w:tcW w:w="1440" w:type="dxa"/>
            <w:noWrap/>
            <w:hideMark/>
          </w:tcPr>
          <w:p w14:paraId="1697C136" w14:textId="77777777"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sz w:val="22"/>
                <w:szCs w:val="22"/>
              </w:rPr>
              <w:t>3</w:t>
            </w:r>
          </w:p>
        </w:tc>
        <w:tc>
          <w:tcPr>
            <w:tcW w:w="1350" w:type="dxa"/>
            <w:noWrap/>
            <w:hideMark/>
          </w:tcPr>
          <w:p w14:paraId="56DBEEB0" w14:textId="21C35BA0"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0.667</w:t>
            </w:r>
          </w:p>
        </w:tc>
        <w:tc>
          <w:tcPr>
            <w:tcW w:w="1170" w:type="dxa"/>
            <w:tcBorders>
              <w:right w:val="single" w:sz="4" w:space="0" w:color="FFFFFF"/>
            </w:tcBorders>
            <w:noWrap/>
            <w:hideMark/>
          </w:tcPr>
          <w:p w14:paraId="4E60A702" w14:textId="076EDD16"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rPr>
              <w:fldChar w:fldCharType="begin" w:fldLock="1"/>
            </w:r>
            <w:r w:rsidR="006D6AE3" w:rsidRPr="00816890">
              <w:rPr>
                <w:rFonts w:eastAsia="Times New Roman" w:cstheme="minorHAnsi"/>
                <w:color w:val="000000"/>
                <w:sz w:val="22"/>
                <w:szCs w:val="22"/>
              </w:rPr>
              <w:instrText>ADDIN CSL_CITATION {"citationItems":[{"id":"ITEM-1","itemData":{"DOI":"10.1186/s12936-016-1187-8","ISSN":"1475-2875","abstract":"Background: Malaria remains a heavy burden across sub-Saharan Africa where transmission is maintained by some of the world's most efficient vectors. Indoor insecticide-based control measures have significantly reduced transmission, yet elimination remains a distant target. Knowing the relative abundance of the primary vector species can provide transmission models with much needed information to guide targeted control measures. Moreover, understanding how existing interventions are impacting on these relative abundances highlights where alternative control (e.g., larval source management) is needed. Methods: Using the habitat suitability probabilities generated by predictive species distribution models combined with data collated from the literature, a multinomial generalized additive model was applied to produce relative abundance estimates for Anopheles arabiensis, Anopheles funestus and Anopheles gambiae/Anopheles coluzzii. Using pre- and post-intervention abundance data, estimates of the effect of indoor insecticide-based interventions on these relative abundances were made and are illustrated in post-intervention maps. Results: Conditional effect plots and relative abundance maps illustrate the individual species' predicted habitat suitability and how they interact when in sympatry. Anopheles arabiensis and An. funestus show an affinity in habitat preference at the expense of An. gambiae/An. coluzzii, whereas increasing habitat suitability for An. gambiae/An. coluzzii is conversely less suitable for An. arabiensis but has little effect on An. funestus. Indoor insecticide-based interventions had a negative impact on the relative abundance of An. funestus, and a lesser effect on An. arabiensis. Indoor residual spraying had the greatest impact on the relative abundance of An. funestus, and a lesser effect on An. gambiae/An. coluzzii. Insecticide-treated bed nets reduced the relative abundance of both species equally. These results do not indicate changes in the absolute abundance of these species, which may be reduced for all species overall. Conclusions: The maps presented here highlight the interactions between the primary vector species in sub-Saharan Africa and demonstrate that An. funestus is more susceptible to certain indoor-based insecticide interventions than An. gambiae/An. coluzzii, which in turn, is more susceptible than An. arabiensis. This may provide An. arabiensis with a competitive advantage where it is found in sympatry with other mo…","author":[{"dropping-particle":"","family":"Sinka","given":"Marianne E.","non-dropping-particle":"","parse-names":false,"suffix":""},{"dropping-particle":"","family":"Golding","given":"Nick","non-dropping-particle":"","parse-names":false,"suffix":""},{"dropping-particle":"","family":"Massey","given":"N. Claire","non-dropping-particle":"","parse-names":false,"suffix":""},{"dropping-particle":"","family":"Wiebe","given":"Antoinette","non-dropping-particle":"","parse-names":false,"suffix":""},{"dropping-particle":"","family":"Huang","given":"Zhi","non-dropping-particle":"","parse-names":false,"suffix":""},{"dropping-particle":"","family":"Hay","given":"Simon I.","non-dropping-particle":"","parse-names":false,"suffix":""},{"dropping-particle":"","family":"Moyes","given":"Catherine L.","non-dropping-particle":"","parse-names":false,"suffix":""}],"container-title":"Malaria Journal","id":"ITEM-1","issue":"1","issued":{"date-parts":[["2016","12","5"]]},"page":"142","publisher":"BioMed Central","title":"Modelling the relative abundance of the primary African vectors of malaria before and after the implementation of indoor, insecticide-based vector control","type":"article-journal","volume":"15"},"uris":["http://www.mendeley.com/documents/?uuid=22448b40-9dfb-3589-9641-18e03cf906d6"]}],"mendeley":{"formattedCitation":"[6]","plainTextFormattedCitation":"[6]","previouslyFormattedCitation":"[6]"},"properties":{"noteIndex":0},"schema":"https://github.com/citation-style-language/schema/raw/master/csl-citation.json"}</w:instrText>
            </w:r>
            <w:r w:rsidRPr="00816890">
              <w:rPr>
                <w:rFonts w:eastAsia="Times New Roman" w:cstheme="minorHAnsi"/>
                <w:color w:val="000000"/>
              </w:rPr>
              <w:fldChar w:fldCharType="separate"/>
            </w:r>
            <w:r w:rsidRPr="00816890">
              <w:rPr>
                <w:rFonts w:eastAsia="Times New Roman" w:cstheme="minorHAnsi"/>
                <w:noProof/>
                <w:color w:val="000000"/>
                <w:sz w:val="22"/>
                <w:szCs w:val="22"/>
              </w:rPr>
              <w:t>[6]</w:t>
            </w:r>
            <w:r w:rsidRPr="00816890">
              <w:rPr>
                <w:rFonts w:eastAsia="Times New Roman" w:cstheme="minorHAnsi"/>
                <w:color w:val="000000"/>
              </w:rPr>
              <w:fldChar w:fldCharType="end"/>
            </w:r>
          </w:p>
        </w:tc>
      </w:tr>
      <w:tr w:rsidR="00D9641B" w:rsidRPr="00816890" w14:paraId="619AFE71" w14:textId="77777777" w:rsidTr="00FE3157">
        <w:trPr>
          <w:trHeight w:val="288"/>
        </w:trPr>
        <w:tc>
          <w:tcPr>
            <w:tcW w:w="1705" w:type="dxa"/>
            <w:tcBorders>
              <w:left w:val="single" w:sz="4" w:space="0" w:color="FFFFFF" w:themeColor="background1"/>
            </w:tcBorders>
            <w:noWrap/>
            <w:hideMark/>
          </w:tcPr>
          <w:p w14:paraId="63CF15E9" w14:textId="4D71D6CA"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Annual PfPR</w:t>
            </w:r>
          </w:p>
        </w:tc>
        <w:tc>
          <w:tcPr>
            <w:tcW w:w="1080" w:type="dxa"/>
            <w:noWrap/>
            <w:hideMark/>
          </w:tcPr>
          <w:p w14:paraId="1A887AC4" w14:textId="77777777"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sz w:val="22"/>
                <w:szCs w:val="22"/>
              </w:rPr>
              <w:t>3</w:t>
            </w:r>
          </w:p>
        </w:tc>
        <w:tc>
          <w:tcPr>
            <w:tcW w:w="3240" w:type="dxa"/>
            <w:noWrap/>
            <w:hideMark/>
          </w:tcPr>
          <w:p w14:paraId="00DA72FF" w14:textId="77777777"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MAP PfPR estimates from 2000, 2004, 2006, 2008, and 2010</w:t>
            </w:r>
          </w:p>
        </w:tc>
        <w:tc>
          <w:tcPr>
            <w:tcW w:w="1440" w:type="dxa"/>
            <w:noWrap/>
            <w:hideMark/>
          </w:tcPr>
          <w:p w14:paraId="577A402E" w14:textId="77777777" w:rsidR="00D9641B" w:rsidRPr="00816890" w:rsidRDefault="00D9641B" w:rsidP="00C0372B">
            <w:pPr>
              <w:rPr>
                <w:rFonts w:eastAsia="Times New Roman" w:cstheme="minorHAnsi"/>
                <w:color w:val="000000"/>
                <w:sz w:val="22"/>
                <w:szCs w:val="22"/>
              </w:rPr>
            </w:pPr>
            <w:r w:rsidRPr="00816890">
              <w:rPr>
                <w:rFonts w:eastAsia="Times New Roman" w:cstheme="minorHAnsi"/>
                <w:color w:val="000000"/>
                <w:sz w:val="22"/>
                <w:szCs w:val="22"/>
              </w:rPr>
              <w:t>5</w:t>
            </w:r>
          </w:p>
        </w:tc>
        <w:tc>
          <w:tcPr>
            <w:tcW w:w="1350" w:type="dxa"/>
            <w:noWrap/>
            <w:hideMark/>
          </w:tcPr>
          <w:p w14:paraId="07FD109D" w14:textId="2C5E4E26"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0.6</w:t>
            </w:r>
          </w:p>
        </w:tc>
        <w:tc>
          <w:tcPr>
            <w:tcW w:w="1170" w:type="dxa"/>
            <w:tcBorders>
              <w:right w:val="single" w:sz="4" w:space="0" w:color="FFFFFF"/>
            </w:tcBorders>
            <w:noWrap/>
            <w:hideMark/>
          </w:tcPr>
          <w:p w14:paraId="12730532" w14:textId="22883F38"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rPr>
              <w:fldChar w:fldCharType="begin" w:fldLock="1"/>
            </w:r>
            <w:r w:rsidR="006D6AE3" w:rsidRPr="00816890">
              <w:rPr>
                <w:rFonts w:eastAsia="Times New Roman" w:cstheme="minorHAnsi"/>
                <w:color w:val="000000"/>
                <w:sz w:val="22"/>
                <w:szCs w:val="22"/>
              </w:rPr>
              <w:instrText>ADDIN CSL_CITATION {"citationItems":[{"id":"ITEM-1","itemData":{"DOI":"10.1371/journal.pmed.0030473","ISSN":"15491277","PMID":"17147467","author":[{"dropping-particle":"","family":"Hay","given":"Simon I.","non-dropping-particle":"","parse-names":false,"suffix":""},{"dropping-particle":"","family":"Snow","given":"Robert W.","non-dropping-particle":"","parse-names":false,"suffix":""}],"container-title":"PLoS Medicine","id":"ITEM-1","issue":"12","issued":{"date-parts":[["2006","12"]]},"page":"2204-2208","publisher":"Public Library of Science","title":"The Malaria Atlas Project: Developing global maps of malaria risk","type":"article","volume":"3"},"uris":["http://www.mendeley.com/documents/?uuid=87d5cf0e-95ff-3b18-8f0c-016906b64c76"]},{"id":"ITEM-2","itemData":{"DOI":"10.1186/1475-2875-10-378","ISSN":"14752875","PMID":"22185615","abstract":"Background: Transmission intensity affects almost all aspects of malaria epidemiology and the impact of malaria on human populations. Maps of transmission intensity are necessary to identify populations at different levels of risk and to evaluate objectively options for disease control. To remain relevant operationally, such maps must be updated frequently. Following the first global effort to map Plasmodium falciparum malaria endemicity in 2007, this paper describes the generation of a new world map for the year 2010. This analysis is extended to provide the first global estimates of two other metrics of transmission intensity for P. falciparum that underpin contemporary questions in malaria control: the entomological inoculation rate (PfEIR) and the basic reproductive number (PfR). Methods. Annual parasite incidence data for 13,449 administrative units in 43 endemic countries were sourced to define the spatial limits of P. falciparum transmission in 2010 and 22,212 P. falciparum parasite rate (PfPR) surveys were used in a model-based geostatistical (MBG) prediction to create a continuous contemporary surface of malaria endemicity within these limits. A suite of transmission models were developed that link PfPR to PfEIR and PfR and these were fitted to field data. These models were combined with the PfPR map to create new global predictions of PfEIR and PfR. All output maps included measured uncertainty. Results: An estimated 1.13 and 1.44 billion people worldwide were at risk of unstable and stable P. falciparum malaria, respectively. The majority of the endemic world was predicted with a median PfEIR of less than one and a median PfR cof less than two. Values of either metric exceeding 10 were almost exclusive to Africa. The uncertainty described in both PfEIR and PfR was substantial in regions of intense transmission. Conclusions: The year 2010 has a particular significance as an evaluation milestone for malaria global health policy. The maps presented here contribute to a rational basis for control and elimination decisions and can serve as a baseline assessment as the global health community looks ahead to the next series of milestones targeted at 2015. © 2011 Gething et al; licensee BioMed Central Ltd.","author":[{"dropping-particle":"","family":"Gething","given":"Peter W.","non-dropping-particle":"","parse-names":false,"suffix":""},{"dropping-particle":"","family":"Patil","given":"Anand P.","non-dropping-particle":"","parse-names":false,"suffix":""},{"dropping-particle":"","family":"Smith","given":"David L.","non-dropping-particle":"","parse-names":false,"suffix":""},{"dropping-particle":"","family":"Guerra","given":"Carlos A.","non-dropping-particle":"","parse-names":false,"suffix":""},{"dropping-particle":"","family":"Elyazar","given":"Iqbal R.F.","non-dropping-particle":"","parse-names":false,"suffix":""},{"dropping-particle":"","family":"Johnston","given":"Geoffrey L.","non-dropping-particle":"","parse-names":false,"suffix":""},{"dropping-particle":"","family":"Tatem","given":"Andrew J.","non-dropping-particle":"","parse-names":false,"suffix":""},{"dropping-particle":"","family":"Hay","given":"Simon I.","non-dropping-particle":"","parse-names":false,"suffix":""}],"container-title":"Malaria Journal","id":"ITEM-2","issued":{"date-parts":[["2011"]]},"page":"378","publisher":"BioMed Central","title":"A new world malaria map: Plasmodium falciparum endemicity in 2010","type":"article-journal","volume":"10"},"uris":["http://www.mendeley.com/documents/?uuid=a65c0033-2809-31c1-a3a6-77244591da07"]}],"mendeley":{"formattedCitation":"[7,8]","plainTextFormattedCitation":"[7,8]","previouslyFormattedCitation":"[7,8]"},"properties":{"noteIndex":0},"schema":"https://github.com/citation-style-language/schema/raw/master/csl-citation.json"}</w:instrText>
            </w:r>
            <w:r w:rsidRPr="00816890">
              <w:rPr>
                <w:rFonts w:eastAsia="Times New Roman" w:cstheme="minorHAnsi"/>
                <w:color w:val="000000"/>
              </w:rPr>
              <w:fldChar w:fldCharType="separate"/>
            </w:r>
            <w:r w:rsidRPr="00816890">
              <w:rPr>
                <w:rFonts w:eastAsia="Times New Roman" w:cstheme="minorHAnsi"/>
                <w:noProof/>
                <w:color w:val="000000"/>
                <w:sz w:val="22"/>
                <w:szCs w:val="22"/>
              </w:rPr>
              <w:t>[7,8]</w:t>
            </w:r>
            <w:r w:rsidRPr="00816890">
              <w:rPr>
                <w:rFonts w:eastAsia="Times New Roman" w:cstheme="minorHAnsi"/>
                <w:color w:val="000000"/>
              </w:rPr>
              <w:fldChar w:fldCharType="end"/>
            </w:r>
          </w:p>
        </w:tc>
      </w:tr>
      <w:tr w:rsidR="00D9641B" w:rsidRPr="00816890" w14:paraId="4A50970E" w14:textId="77777777" w:rsidTr="00FE3157">
        <w:trPr>
          <w:trHeight w:val="288"/>
        </w:trPr>
        <w:tc>
          <w:tcPr>
            <w:tcW w:w="1705" w:type="dxa"/>
            <w:tcBorders>
              <w:left w:val="single" w:sz="4" w:space="0" w:color="FFFFFF" w:themeColor="background1"/>
            </w:tcBorders>
            <w:noWrap/>
            <w:hideMark/>
          </w:tcPr>
          <w:p w14:paraId="1220267F" w14:textId="603DE185"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 xml:space="preserve">ITN </w:t>
            </w:r>
            <w:r w:rsidR="007D473E" w:rsidRPr="00816890">
              <w:rPr>
                <w:rFonts w:eastAsia="Times New Roman" w:cstheme="minorHAnsi"/>
                <w:color w:val="000000"/>
                <w:sz w:val="22"/>
                <w:szCs w:val="22"/>
              </w:rPr>
              <w:t>use</w:t>
            </w:r>
          </w:p>
        </w:tc>
        <w:tc>
          <w:tcPr>
            <w:tcW w:w="1080" w:type="dxa"/>
            <w:noWrap/>
            <w:hideMark/>
          </w:tcPr>
          <w:p w14:paraId="767189C2" w14:textId="77777777" w:rsidR="00D9641B" w:rsidRPr="00816890" w:rsidRDefault="00D9641B" w:rsidP="00FE3157">
            <w:pPr>
              <w:rPr>
                <w:rFonts w:eastAsia="Times New Roman" w:cstheme="minorHAnsi"/>
                <w:color w:val="000000"/>
                <w:sz w:val="22"/>
                <w:szCs w:val="22"/>
              </w:rPr>
            </w:pPr>
            <w:r w:rsidRPr="00816890">
              <w:rPr>
                <w:rFonts w:eastAsia="Times New Roman" w:cstheme="minorHAnsi"/>
                <w:color w:val="000000"/>
                <w:sz w:val="22"/>
                <w:szCs w:val="22"/>
              </w:rPr>
              <w:t>1</w:t>
            </w:r>
          </w:p>
        </w:tc>
        <w:tc>
          <w:tcPr>
            <w:tcW w:w="3240" w:type="dxa"/>
            <w:noWrap/>
            <w:hideMark/>
          </w:tcPr>
          <w:p w14:paraId="7CBEDD72" w14:textId="77777777"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MAP ITN estimates for 2008, 2009, and 2010</w:t>
            </w:r>
          </w:p>
        </w:tc>
        <w:tc>
          <w:tcPr>
            <w:tcW w:w="1440" w:type="dxa"/>
            <w:noWrap/>
            <w:hideMark/>
          </w:tcPr>
          <w:p w14:paraId="414255ED" w14:textId="77777777" w:rsidR="00D9641B" w:rsidRPr="00816890" w:rsidRDefault="00D9641B" w:rsidP="00FE3157">
            <w:pPr>
              <w:rPr>
                <w:rFonts w:eastAsia="Times New Roman" w:cstheme="minorHAnsi"/>
                <w:color w:val="000000"/>
                <w:sz w:val="22"/>
                <w:szCs w:val="22"/>
              </w:rPr>
            </w:pPr>
            <w:r w:rsidRPr="00816890">
              <w:rPr>
                <w:rFonts w:eastAsia="Times New Roman" w:cstheme="minorHAnsi"/>
                <w:color w:val="000000"/>
                <w:sz w:val="22"/>
                <w:szCs w:val="22"/>
              </w:rPr>
              <w:t>3</w:t>
            </w:r>
          </w:p>
        </w:tc>
        <w:tc>
          <w:tcPr>
            <w:tcW w:w="1350" w:type="dxa"/>
            <w:noWrap/>
            <w:hideMark/>
          </w:tcPr>
          <w:p w14:paraId="28E73426" w14:textId="2F76EFBE" w:rsidR="00D9641B" w:rsidRPr="00816890" w:rsidRDefault="00D9641B" w:rsidP="00D9641B">
            <w:pPr>
              <w:rPr>
                <w:rFonts w:eastAsia="Times New Roman" w:cstheme="minorHAnsi"/>
                <w:color w:val="000000"/>
                <w:sz w:val="22"/>
                <w:szCs w:val="22"/>
              </w:rPr>
            </w:pPr>
            <w:r w:rsidRPr="00816890">
              <w:rPr>
                <w:rFonts w:eastAsia="Times New Roman" w:cstheme="minorHAnsi"/>
                <w:color w:val="000000"/>
                <w:sz w:val="22"/>
                <w:szCs w:val="22"/>
              </w:rPr>
              <w:t>0.333</w:t>
            </w:r>
          </w:p>
        </w:tc>
        <w:tc>
          <w:tcPr>
            <w:tcW w:w="1170" w:type="dxa"/>
            <w:tcBorders>
              <w:right w:val="single" w:sz="4" w:space="0" w:color="FFFFFF"/>
            </w:tcBorders>
            <w:noWrap/>
            <w:hideMark/>
          </w:tcPr>
          <w:p w14:paraId="48C8617B" w14:textId="554E45C6" w:rsidR="00D9641B" w:rsidRPr="00816890" w:rsidRDefault="00D540A2" w:rsidP="00D540A2">
            <w:pPr>
              <w:rPr>
                <w:rFonts w:eastAsia="Times New Roman" w:cstheme="minorHAnsi"/>
                <w:color w:val="000000"/>
                <w:sz w:val="22"/>
                <w:szCs w:val="22"/>
              </w:rPr>
            </w:pPr>
            <w:r w:rsidRPr="00816890">
              <w:rPr>
                <w:rFonts w:eastAsia="Times New Roman" w:cstheme="minorHAnsi"/>
                <w:color w:val="000000"/>
              </w:rPr>
              <w:fldChar w:fldCharType="begin" w:fldLock="1"/>
            </w:r>
            <w:r w:rsidR="00C72B9D" w:rsidRPr="00816890">
              <w:rPr>
                <w:rFonts w:eastAsia="Times New Roman" w:cstheme="minorHAnsi"/>
                <w:color w:val="000000"/>
                <w:sz w:val="22"/>
                <w:szCs w:val="22"/>
              </w:rPr>
              <w:instrText>ADDIN CSL_CITATION {"citationItems":[{"id":"ITEM-1","itemData":{"author":[{"dropping-particle":"","family":"Bertozzi-Villa","given":"Amelia","non-dropping-particle":"","parse-names":false,"suffix":""},{"dropping-particle":"","family":"Bever","given":"Caitlin","non-dropping-particle":"","parse-names":false,"suffix":""},{"dropping-particle":"","family":"Koenker","given":"Hannah","non-dropping-particle":"","parse-names":false,"suffix":""},{"dropping-particle":"","family":"Weiss","given":"Daniel J","non-dropping-particle":"","parse-names":false,"suffix":""},{"dropping-particle":"","family":"Vargas-Ruiz","given":"Camilo","non-dropping-particle":"","parse-names":false,"suffix":""},{"dropping-particle":"","family":"Nandi","given":"Anita K","non-dropping-particle":"","parse-names":false,"suffix":""},{"dropping-particle":"","family":"Gibson","given":"Harry S","non-dropping-particle":"","parse-names":false,"suffix":""},{"dropping-particle":"","family":"Harris","given":"Joseph","non-dropping-particle":"","parse-names":false,"suffix":""},{"dropping-particle":"","family":"Battle","given":"Katherine E","non-dropping-particle":"","parse-names":false,"suffix":""},{"dropping-particle":"","family":"Rumisha","given":"Susan F","non-dropping-particle":"","parse-names":false,"suffix":""},{"dropping-particle":"","family":"Keddie","given":"Suzanne","non-dropping-particle":"","parse-names":false,"suffix":""},{"dropping-particle":"","family":"Amratia","given":"Punam","non-dropping-particle":"","parse-names":false,"suffix":""},{"dropping-particle":"","family":"Arambepola","given":"Rohan","non-dropping-particle":"","parse-names":false,"suffix":""},{"dropping-particle":"","family":"Cameron","given":"Ewan","non-dropping-particle":"","parse-names":false,"suffix":""},{"dropping-particle":"","family":"Chestnutt","given":"Elisabeth G","non-dropping-particle":"","parse-names":false,"suffix":""},{"dropping-particle":"","family":"Collins","given":"Emma L","non-dropping-particle":"","parse-names":false,"suffix":""},{"dropping-particle":"","family":"Millar","given":"Justin","non-dropping-particle":"","parse-names":false,"suffix":""},{"dropping-particle":"","family":"Mishra","given":"Swapnil","non-dropping-particle":"","parse-names":false,"suffix":""},{"dropping-particle":"","family":"Rozier","given":"Jennifer","non-dropping-particle":"","parse-names":false,"suffix":""},{"dropping-particle":"","family":"Symons","given":"Tasmin","non-dropping-particle":"","parse-names":false,"suffix":""},{"dropping-particle":"","family":"Twohig","given":"Katherine A","non-dropping-particle":"","parse-names":false,"suffix":""},{"dropping-particle":"","family":"Hollingsworth","given":"T Deirdre","non-dropping-particle":"","parse-names":false,"suffix":""},{"dropping-particle":"","family":"Gething","given":"Peter W","non-dropping-particle":"","parse-names":false,"suffix":""},{"dropping-particle":"","family":"Bhatt","given":"Samir","non-dropping-particle":"","parse-names":false,"suffix":""}],"id":"ITEM-1","issued":{"date-parts":[["2021"]]},"title":"Maps and Metrics of Insecticide-Treated Net Coverage in Africa: Access, Use, and Nets-Per-Capita, 2000-2020","type":"report"},"uris":["http://www.mendeley.com/documents/?uuid=f6b594b6-32fb-3060-ae3a-978906909559"]}],"mendeley":{"formattedCitation":"[9]","plainTextFormattedCitation":"[9]","previouslyFormattedCitation":"[9]"},"properties":{"noteIndex":0},"schema":"https://github.com/citation-style-language/schema/raw/master/csl-citation.json"}</w:instrText>
            </w:r>
            <w:r w:rsidRPr="00816890">
              <w:rPr>
                <w:rFonts w:eastAsia="Times New Roman" w:cstheme="minorHAnsi"/>
                <w:color w:val="000000"/>
              </w:rPr>
              <w:fldChar w:fldCharType="separate"/>
            </w:r>
            <w:r w:rsidRPr="00816890">
              <w:rPr>
                <w:rFonts w:eastAsia="Times New Roman" w:cstheme="minorHAnsi"/>
                <w:noProof/>
                <w:color w:val="000000"/>
                <w:sz w:val="22"/>
                <w:szCs w:val="22"/>
              </w:rPr>
              <w:t>[9]</w:t>
            </w:r>
            <w:r w:rsidRPr="00816890">
              <w:rPr>
                <w:rFonts w:eastAsia="Times New Roman" w:cstheme="minorHAnsi"/>
                <w:color w:val="000000"/>
              </w:rPr>
              <w:fldChar w:fldCharType="end"/>
            </w:r>
          </w:p>
        </w:tc>
      </w:tr>
    </w:tbl>
    <w:p w14:paraId="63F7DF9D" w14:textId="0B43D6AB" w:rsidR="00D9641B" w:rsidRPr="00455A3C" w:rsidRDefault="00D9641B" w:rsidP="005354EA">
      <w:pPr>
        <w:spacing w:after="0" w:line="276" w:lineRule="auto"/>
        <w:contextualSpacing/>
        <w:rPr>
          <w:rFonts w:cstheme="minorHAnsi"/>
        </w:rPr>
      </w:pPr>
    </w:p>
    <w:p w14:paraId="0C80D473" w14:textId="456308C2" w:rsidR="00D9641B" w:rsidRPr="00455A3C" w:rsidRDefault="00D9641B" w:rsidP="005354EA">
      <w:pPr>
        <w:spacing w:after="0" w:line="276" w:lineRule="auto"/>
        <w:contextualSpacing/>
        <w:rPr>
          <w:rFonts w:cstheme="minorHAnsi"/>
        </w:rPr>
      </w:pPr>
    </w:p>
    <w:p w14:paraId="0353D12C" w14:textId="77777777" w:rsidR="00D9641B" w:rsidRPr="00455A3C" w:rsidRDefault="00D9641B" w:rsidP="005354EA">
      <w:pPr>
        <w:spacing w:after="0" w:line="276" w:lineRule="auto"/>
        <w:contextualSpacing/>
        <w:rPr>
          <w:rFonts w:cstheme="minorHAnsi"/>
        </w:rPr>
      </w:pPr>
    </w:p>
    <w:p w14:paraId="1E23B564" w14:textId="2C8FBAFB" w:rsidR="001F0DE0" w:rsidRPr="00455A3C" w:rsidRDefault="001F0DE0" w:rsidP="005354EA">
      <w:pPr>
        <w:spacing w:after="0" w:line="276" w:lineRule="auto"/>
        <w:contextualSpacing/>
        <w:rPr>
          <w:rFonts w:cstheme="minorHAnsi"/>
        </w:rPr>
      </w:pPr>
      <w:r w:rsidRPr="00455A3C">
        <w:rPr>
          <w:rFonts w:cstheme="minorHAnsi"/>
          <w:noProof/>
        </w:rPr>
        <w:drawing>
          <wp:inline distT="0" distB="0" distL="0" distR="0" wp14:anchorId="2104EECD" wp14:editId="5D49A045">
            <wp:extent cx="3368765" cy="2260600"/>
            <wp:effectExtent l="0" t="0" r="3175"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1_archetype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74440" cy="2264408"/>
                    </a:xfrm>
                    <a:prstGeom prst="rect">
                      <a:avLst/>
                    </a:prstGeom>
                  </pic:spPr>
                </pic:pic>
              </a:graphicData>
            </a:graphic>
          </wp:inline>
        </w:drawing>
      </w:r>
    </w:p>
    <w:p w14:paraId="03B0062E" w14:textId="581930AA" w:rsidR="00CC38BF" w:rsidRPr="00455A3C" w:rsidRDefault="003F3A8A" w:rsidP="005354EA">
      <w:pPr>
        <w:spacing w:after="0" w:line="276" w:lineRule="auto"/>
        <w:contextualSpacing/>
        <w:rPr>
          <w:rFonts w:cstheme="minorHAnsi"/>
        </w:rPr>
      </w:pPr>
      <w:r w:rsidRPr="00455A3C">
        <w:rPr>
          <w:rFonts w:cstheme="minorHAnsi"/>
        </w:rPr>
        <w:t xml:space="preserve">Figure </w:t>
      </w:r>
      <w:r w:rsidR="00D26E76" w:rsidRPr="00455A3C">
        <w:rPr>
          <w:rFonts w:cstheme="minorHAnsi"/>
        </w:rPr>
        <w:t>S</w:t>
      </w:r>
      <w:r w:rsidRPr="00455A3C">
        <w:rPr>
          <w:rFonts w:cstheme="minorHAnsi"/>
        </w:rPr>
        <w:t xml:space="preserve">1: </w:t>
      </w:r>
      <w:r w:rsidR="008541CE" w:rsidRPr="00455A3C">
        <w:rPr>
          <w:rFonts w:cstheme="minorHAnsi"/>
        </w:rPr>
        <w:t xml:space="preserve">Assignment of </w:t>
      </w:r>
      <w:r w:rsidR="00B95B1C" w:rsidRPr="00455A3C">
        <w:rPr>
          <w:rFonts w:cstheme="minorHAnsi"/>
        </w:rPr>
        <w:t>774 LGAs in Nigeria into 22 e</w:t>
      </w:r>
      <w:r w:rsidR="00EE7B2A" w:rsidRPr="00455A3C">
        <w:rPr>
          <w:rFonts w:cstheme="minorHAnsi"/>
        </w:rPr>
        <w:t>pidemiological</w:t>
      </w:r>
      <w:r w:rsidR="00B95B1C" w:rsidRPr="00455A3C">
        <w:rPr>
          <w:rFonts w:cstheme="minorHAnsi"/>
        </w:rPr>
        <w:t xml:space="preserve"> archetypes</w:t>
      </w:r>
      <w:r w:rsidR="00526191" w:rsidRPr="00455A3C">
        <w:rPr>
          <w:rFonts w:cstheme="minorHAnsi"/>
        </w:rPr>
        <w:t>.</w:t>
      </w:r>
      <w:r w:rsidR="00055762" w:rsidRPr="00455A3C">
        <w:rPr>
          <w:rFonts w:cstheme="minorHAnsi"/>
        </w:rPr>
        <w:t xml:space="preserve"> </w:t>
      </w:r>
    </w:p>
    <w:p w14:paraId="524755AF" w14:textId="56A7A801" w:rsidR="00882BA0" w:rsidRDefault="00882BA0">
      <w:pPr>
        <w:rPr>
          <w:rFonts w:eastAsiaTheme="majorEastAsia" w:cstheme="minorHAnsi"/>
          <w:color w:val="2E74B5" w:themeColor="accent1" w:themeShade="BF"/>
        </w:rPr>
      </w:pPr>
      <w:r>
        <w:rPr>
          <w:rFonts w:eastAsiaTheme="majorEastAsia" w:cstheme="minorHAnsi"/>
          <w:color w:val="2E74B5" w:themeColor="accent1" w:themeShade="BF"/>
        </w:rPr>
        <w:br w:type="page"/>
      </w:r>
    </w:p>
    <w:p w14:paraId="190C2E83" w14:textId="110978A2" w:rsidR="00FD1366" w:rsidRPr="00882BA0" w:rsidRDefault="00882BA0" w:rsidP="00882BA0">
      <w:pPr>
        <w:spacing w:after="0" w:line="276" w:lineRule="auto"/>
        <w:contextualSpacing/>
      </w:pPr>
      <w:r>
        <w:rPr>
          <w:rFonts w:eastAsiaTheme="majorEastAsia" w:cstheme="minorHAnsi"/>
          <w:color w:val="2E74B5" w:themeColor="accent1" w:themeShade="BF"/>
        </w:rPr>
        <w:lastRenderedPageBreak/>
        <w:fldChar w:fldCharType="begin"/>
      </w:r>
      <w:r>
        <w:rPr>
          <w:rFonts w:eastAsiaTheme="majorEastAsia" w:cstheme="minorHAnsi"/>
          <w:color w:val="2E74B5" w:themeColor="accent1" w:themeShade="BF"/>
        </w:rPr>
        <w:instrText xml:space="preserve"> LINK </w:instrText>
      </w:r>
      <w:r w:rsidR="00100ED8">
        <w:rPr>
          <w:rFonts w:eastAsiaTheme="majorEastAsia" w:cstheme="minorHAnsi"/>
          <w:color w:val="2E74B5" w:themeColor="accent1" w:themeShade="BF"/>
        </w:rPr>
        <w:instrText xml:space="preserve">Excel.SheetBinaryMacroEnabled.12 C:\\Users\\ido0493\\Box\\NU-malaria-team\\data\\nigeria_dhs\\data_analysis\\bin\\rep_DS\\representative_DS_orig60clusters.csv representative_DS_orig60cluster!R1C1:R775C3 </w:instrText>
      </w:r>
      <w:r>
        <w:rPr>
          <w:rFonts w:eastAsiaTheme="majorEastAsia" w:cstheme="minorHAnsi"/>
          <w:color w:val="2E74B5" w:themeColor="accent1" w:themeShade="BF"/>
        </w:rPr>
        <w:instrText xml:space="preserve">\a \f 5 \h  \* MERGEFORMAT </w:instrText>
      </w:r>
      <w:r w:rsidR="009C7427">
        <w:rPr>
          <w:rFonts w:eastAsiaTheme="majorEastAsia" w:cstheme="minorHAnsi"/>
          <w:color w:val="2E74B5" w:themeColor="accent1" w:themeShade="BF"/>
        </w:rPr>
        <w:fldChar w:fldCharType="separate"/>
      </w:r>
      <w:r>
        <w:rPr>
          <w:rFonts w:eastAsiaTheme="majorEastAsia" w:cstheme="minorHAnsi"/>
          <w:color w:val="2E74B5" w:themeColor="accent1" w:themeShade="BF"/>
        </w:rPr>
        <w:fldChar w:fldCharType="end"/>
      </w:r>
      <w:r w:rsidR="00FD1366" w:rsidRPr="00455A3C">
        <w:rPr>
          <w:rFonts w:cstheme="minorHAnsi"/>
          <w:u w:val="single"/>
        </w:rPr>
        <w:t xml:space="preserve">Setting </w:t>
      </w:r>
      <w:r w:rsidR="007A4073">
        <w:rPr>
          <w:rFonts w:cstheme="minorHAnsi"/>
          <w:u w:val="single"/>
        </w:rPr>
        <w:t>archetype</w:t>
      </w:r>
      <w:r w:rsidR="007A4073" w:rsidRPr="00455A3C">
        <w:rPr>
          <w:rFonts w:cstheme="minorHAnsi"/>
          <w:u w:val="single"/>
        </w:rPr>
        <w:t xml:space="preserve"> </w:t>
      </w:r>
      <w:r w:rsidR="00FD1366" w:rsidRPr="00455A3C">
        <w:rPr>
          <w:rFonts w:cstheme="minorHAnsi"/>
          <w:u w:val="single"/>
        </w:rPr>
        <w:t xml:space="preserve">seasonality </w:t>
      </w:r>
    </w:p>
    <w:p w14:paraId="0B1A61E9" w14:textId="590A128B" w:rsidR="00892EDB" w:rsidRPr="00455A3C" w:rsidRDefault="00E45B89" w:rsidP="005354EA">
      <w:pPr>
        <w:spacing w:after="0" w:line="276" w:lineRule="auto"/>
        <w:contextualSpacing/>
        <w:rPr>
          <w:rFonts w:cstheme="minorHAnsi"/>
        </w:rPr>
      </w:pPr>
      <w:r>
        <w:rPr>
          <w:rFonts w:cstheme="minorHAnsi"/>
          <w:noProof/>
        </w:rPr>
        <w:drawing>
          <wp:inline distT="0" distB="0" distL="0" distR="0" wp14:anchorId="72763BB4" wp14:editId="4420EA41">
            <wp:extent cx="5943600" cy="706628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12_incidence_comparison_201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066280"/>
                    </a:xfrm>
                    <a:prstGeom prst="rect">
                      <a:avLst/>
                    </a:prstGeom>
                  </pic:spPr>
                </pic:pic>
              </a:graphicData>
            </a:graphic>
          </wp:inline>
        </w:drawing>
      </w:r>
    </w:p>
    <w:p w14:paraId="3EC82D35" w14:textId="41816524" w:rsidR="00FD1366" w:rsidRPr="00547508" w:rsidRDefault="003F3A8A" w:rsidP="005354EA">
      <w:pPr>
        <w:spacing w:after="0" w:line="276" w:lineRule="auto"/>
        <w:contextualSpacing/>
        <w:rPr>
          <w:rFonts w:cstheme="minorHAnsi"/>
          <w:iCs/>
        </w:rPr>
      </w:pPr>
      <w:r w:rsidRPr="00547508">
        <w:rPr>
          <w:rFonts w:cstheme="minorHAnsi"/>
        </w:rPr>
        <w:t xml:space="preserve">Figure </w:t>
      </w:r>
      <w:r w:rsidR="008541CE" w:rsidRPr="00547508">
        <w:rPr>
          <w:rFonts w:cstheme="minorHAnsi"/>
        </w:rPr>
        <w:t>S</w:t>
      </w:r>
      <w:r w:rsidRPr="00547508">
        <w:rPr>
          <w:rFonts w:cstheme="minorHAnsi"/>
        </w:rPr>
        <w:t>2</w:t>
      </w:r>
      <w:r w:rsidR="00FD1366" w:rsidRPr="00547508">
        <w:rPr>
          <w:rFonts w:cstheme="minorHAnsi"/>
        </w:rPr>
        <w:t xml:space="preserve">: </w:t>
      </w:r>
      <w:r w:rsidR="00FC15A9" w:rsidRPr="00547508">
        <w:rPr>
          <w:rFonts w:cstheme="minorHAnsi"/>
          <w:iCs/>
        </w:rPr>
        <w:t>Simulated seasonality of clinical malaria by archetype compared with the Rapid Impact Assessment health facility data</w:t>
      </w:r>
      <w:r w:rsidR="003F7509" w:rsidRPr="00547508">
        <w:rPr>
          <w:rFonts w:cstheme="minorHAnsi"/>
          <w:iCs/>
        </w:rPr>
        <w:t xml:space="preserve"> </w:t>
      </w:r>
      <w:r w:rsidR="003F7509" w:rsidRPr="00547508">
        <w:rPr>
          <w:rFonts w:cstheme="minorHAnsi"/>
        </w:rPr>
        <w:t>for years 2014 – 2018</w:t>
      </w:r>
      <w:r w:rsidR="008541CE" w:rsidRPr="00547508">
        <w:rPr>
          <w:rFonts w:cstheme="minorHAnsi"/>
          <w:iCs/>
        </w:rPr>
        <w:t>.</w:t>
      </w:r>
      <w:r w:rsidR="00177E79" w:rsidRPr="00547508">
        <w:rPr>
          <w:rFonts w:cstheme="minorHAnsi"/>
          <w:iCs/>
        </w:rPr>
        <w:t xml:space="preserve"> Thin red lines show 50 stochastic realizations and solid red dots and line show the mean over the realizations.</w:t>
      </w:r>
    </w:p>
    <w:p w14:paraId="5CE8D1BE" w14:textId="77777777" w:rsidR="008541CE" w:rsidRPr="00547508" w:rsidRDefault="008541CE" w:rsidP="005354EA">
      <w:pPr>
        <w:spacing w:after="0" w:line="276" w:lineRule="auto"/>
        <w:contextualSpacing/>
        <w:rPr>
          <w:rFonts w:cstheme="minorHAnsi"/>
        </w:rPr>
      </w:pPr>
    </w:p>
    <w:p w14:paraId="17CDE623" w14:textId="45ABB483" w:rsidR="00434B92" w:rsidRDefault="000E2C80" w:rsidP="005354EA">
      <w:pPr>
        <w:pStyle w:val="Heading1"/>
        <w:spacing w:before="0" w:line="276" w:lineRule="auto"/>
        <w:contextualSpacing/>
        <w:rPr>
          <w:rFonts w:asciiTheme="minorHAnsi" w:hAnsiTheme="minorHAnsi" w:cstheme="minorHAnsi"/>
          <w:color w:val="auto"/>
          <w:sz w:val="22"/>
          <w:szCs w:val="22"/>
          <w:u w:val="single"/>
        </w:rPr>
      </w:pPr>
      <w:bookmarkStart w:id="1" w:name="_Toc77757574"/>
      <w:r w:rsidRPr="00455A3C">
        <w:rPr>
          <w:rFonts w:asciiTheme="minorHAnsi" w:hAnsiTheme="minorHAnsi" w:cstheme="minorHAnsi"/>
          <w:color w:val="auto"/>
          <w:sz w:val="22"/>
          <w:szCs w:val="22"/>
          <w:u w:val="single"/>
        </w:rPr>
        <w:lastRenderedPageBreak/>
        <w:t xml:space="preserve">Setting baseline transmission intensity </w:t>
      </w:r>
      <w:r w:rsidR="00186A99">
        <w:rPr>
          <w:rFonts w:asciiTheme="minorHAnsi" w:hAnsiTheme="minorHAnsi" w:cstheme="minorHAnsi"/>
          <w:color w:val="auto"/>
          <w:sz w:val="22"/>
          <w:szCs w:val="22"/>
          <w:u w:val="single"/>
        </w:rPr>
        <w:t>by archetype</w:t>
      </w:r>
      <w:bookmarkEnd w:id="1"/>
    </w:p>
    <w:p w14:paraId="4883916D" w14:textId="7793E8EF" w:rsidR="00C376E0" w:rsidRPr="00C0372B" w:rsidRDefault="00AB51FF" w:rsidP="00C0372B">
      <w:pPr>
        <w:spacing w:line="276" w:lineRule="auto"/>
        <w:rPr>
          <w:rFonts w:cstheme="minorHAnsi"/>
        </w:rPr>
      </w:pPr>
      <w:r w:rsidRPr="00C0372B">
        <w:rPr>
          <w:rFonts w:cstheme="minorHAnsi"/>
        </w:rPr>
        <w:t>Each</w:t>
      </w:r>
      <w:r>
        <w:rPr>
          <w:rFonts w:cstheme="minorHAnsi"/>
        </w:rPr>
        <w:t xml:space="preserve"> larval habitat scaling factor on</w:t>
      </w:r>
      <w:r w:rsidR="001017B7">
        <w:rPr>
          <w:rFonts w:cstheme="minorHAnsi"/>
        </w:rPr>
        <w:t xml:space="preserve"> each</w:t>
      </w:r>
      <w:r w:rsidRPr="00C0372B">
        <w:rPr>
          <w:rFonts w:cstheme="minorHAnsi"/>
        </w:rPr>
        <w:t xml:space="preserve"> epidemiological archetype was simulated for 50 years up to January 1, 2010 to capture population immunity</w:t>
      </w:r>
      <w:r w:rsidR="007C61A0">
        <w:rPr>
          <w:rFonts w:cstheme="minorHAnsi"/>
        </w:rPr>
        <w:t>.</w:t>
      </w:r>
      <w:r w:rsidRPr="00C0372B">
        <w:rPr>
          <w:rFonts w:cstheme="minorHAnsi"/>
        </w:rPr>
        <w:t xml:space="preserve"> </w:t>
      </w:r>
      <w:r w:rsidR="007C61A0">
        <w:rPr>
          <w:rFonts w:cstheme="minorHAnsi"/>
        </w:rPr>
        <w:t>C</w:t>
      </w:r>
      <w:r w:rsidRPr="00C0372B">
        <w:rPr>
          <w:rFonts w:cstheme="minorHAnsi"/>
        </w:rPr>
        <w:t xml:space="preserve">ase management coverage from the 2010 DHS was </w:t>
      </w:r>
      <w:r w:rsidR="007C61A0">
        <w:rPr>
          <w:rFonts w:cstheme="minorHAnsi"/>
        </w:rPr>
        <w:t>applied beginning in 2005</w:t>
      </w:r>
      <w:r w:rsidRPr="00C0372B">
        <w:rPr>
          <w:rFonts w:cstheme="minorHAnsi"/>
        </w:rPr>
        <w:t>.</w:t>
      </w:r>
      <w:r w:rsidR="007D6804">
        <w:rPr>
          <w:rFonts w:cstheme="minorHAnsi"/>
        </w:rPr>
        <w:t xml:space="preserve"> Simulated PfPR shown in Figure S3 correspond to the 2010 calendar year.</w:t>
      </w:r>
    </w:p>
    <w:p w14:paraId="6E088B10" w14:textId="23B89A50" w:rsidR="00943B8A" w:rsidRPr="00455A3C" w:rsidRDefault="006D7F3D" w:rsidP="005354EA">
      <w:pPr>
        <w:spacing w:after="0" w:line="276" w:lineRule="auto"/>
        <w:contextualSpacing/>
        <w:rPr>
          <w:rFonts w:cstheme="minorHAnsi"/>
        </w:rPr>
      </w:pPr>
      <w:r w:rsidRPr="00C0372B">
        <w:rPr>
          <w:rFonts w:cstheme="minorHAnsi"/>
          <w:noProof/>
        </w:rPr>
        <w:drawing>
          <wp:inline distT="0" distB="0" distL="0" distR="0" wp14:anchorId="1C57CD91" wp14:editId="0052CFC2">
            <wp:extent cx="5943600" cy="66313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3_.larval archetype scale factors_prevalenc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6631305"/>
                    </a:xfrm>
                    <a:prstGeom prst="rect">
                      <a:avLst/>
                    </a:prstGeom>
                  </pic:spPr>
                </pic:pic>
              </a:graphicData>
            </a:graphic>
          </wp:inline>
        </w:drawing>
      </w:r>
    </w:p>
    <w:p w14:paraId="6988C90B" w14:textId="549A1A7B" w:rsidR="00057F63" w:rsidRPr="00547508" w:rsidRDefault="003F3A8A">
      <w:pPr>
        <w:spacing w:line="276" w:lineRule="auto"/>
        <w:rPr>
          <w:rFonts w:cstheme="minorHAnsi"/>
        </w:rPr>
      </w:pPr>
      <w:r w:rsidRPr="00547508">
        <w:rPr>
          <w:rFonts w:cstheme="minorHAnsi"/>
        </w:rPr>
        <w:t xml:space="preserve">Figure </w:t>
      </w:r>
      <w:r w:rsidR="00D150B6" w:rsidRPr="00547508">
        <w:rPr>
          <w:rFonts w:cstheme="minorHAnsi"/>
        </w:rPr>
        <w:t>S</w:t>
      </w:r>
      <w:r w:rsidRPr="00547508">
        <w:rPr>
          <w:rFonts w:cstheme="minorHAnsi"/>
        </w:rPr>
        <w:t>3</w:t>
      </w:r>
      <w:r w:rsidR="00D150B6" w:rsidRPr="00547508">
        <w:rPr>
          <w:rFonts w:cstheme="minorHAnsi"/>
        </w:rPr>
        <w:t>a</w:t>
      </w:r>
      <w:r w:rsidR="00D632F8" w:rsidRPr="00547508">
        <w:rPr>
          <w:rFonts w:cstheme="minorHAnsi"/>
        </w:rPr>
        <w:t>:</w:t>
      </w:r>
      <w:r w:rsidR="000D62A0" w:rsidRPr="00547508">
        <w:rPr>
          <w:rFonts w:cstheme="minorHAnsi"/>
        </w:rPr>
        <w:t xml:space="preserve"> Two plots are shown for each archetype with archetype names at the top of each plot. The left plot is the</w:t>
      </w:r>
      <w:r w:rsidR="00D632F8" w:rsidRPr="00547508">
        <w:rPr>
          <w:rFonts w:cstheme="minorHAnsi"/>
        </w:rPr>
        <w:t xml:space="preserve"> </w:t>
      </w:r>
      <w:r w:rsidR="000D62A0" w:rsidRPr="00547508">
        <w:rPr>
          <w:rFonts w:cstheme="minorHAnsi"/>
        </w:rPr>
        <w:t>l</w:t>
      </w:r>
      <w:r w:rsidR="00CE6C82" w:rsidRPr="00547508">
        <w:rPr>
          <w:rFonts w:cstheme="minorHAnsi"/>
        </w:rPr>
        <w:t xml:space="preserve">arval habitat </w:t>
      </w:r>
      <w:r w:rsidR="00310A6B" w:rsidRPr="00547508">
        <w:rPr>
          <w:rFonts w:cstheme="minorHAnsi"/>
        </w:rPr>
        <w:t>multiplier (LHM)</w:t>
      </w:r>
      <w:r w:rsidR="00CE6C82" w:rsidRPr="00547508">
        <w:rPr>
          <w:rFonts w:cstheme="minorHAnsi"/>
        </w:rPr>
        <w:t xml:space="preserve"> </w:t>
      </w:r>
      <w:r w:rsidR="000A0FC9" w:rsidRPr="00547508">
        <w:rPr>
          <w:rFonts w:cstheme="minorHAnsi"/>
        </w:rPr>
        <w:t>and likelihood</w:t>
      </w:r>
      <w:r w:rsidR="00201DED" w:rsidRPr="00547508">
        <w:rPr>
          <w:rFonts w:cstheme="minorHAnsi"/>
        </w:rPr>
        <w:t xml:space="preserve"> evaluation</w:t>
      </w:r>
      <w:r w:rsidR="000A0FC9" w:rsidRPr="00547508">
        <w:rPr>
          <w:rFonts w:cstheme="minorHAnsi"/>
        </w:rPr>
        <w:t xml:space="preserve"> against</w:t>
      </w:r>
      <w:r w:rsidR="00CE6C82" w:rsidRPr="00547508">
        <w:rPr>
          <w:rFonts w:cstheme="minorHAnsi"/>
        </w:rPr>
        <w:t xml:space="preserve"> archetype U5 </w:t>
      </w:r>
      <w:r w:rsidR="00310A6B" w:rsidRPr="00547508">
        <w:rPr>
          <w:rFonts w:cstheme="minorHAnsi"/>
          <w:i/>
        </w:rPr>
        <w:t>Pf</w:t>
      </w:r>
      <w:r w:rsidR="00310A6B" w:rsidRPr="00547508">
        <w:rPr>
          <w:rFonts w:cstheme="minorHAnsi"/>
        </w:rPr>
        <w:t>PR</w:t>
      </w:r>
      <w:r w:rsidR="000D62A0" w:rsidRPr="00547508">
        <w:rPr>
          <w:rFonts w:cstheme="minorHAnsi"/>
        </w:rPr>
        <w:t xml:space="preserve"> 2010 MIS</w:t>
      </w:r>
      <w:r w:rsidR="00CE6C82" w:rsidRPr="00547508">
        <w:rPr>
          <w:rFonts w:cstheme="minorHAnsi"/>
        </w:rPr>
        <w:t xml:space="preserve">. </w:t>
      </w:r>
      <w:r w:rsidR="000D62A0" w:rsidRPr="00547508">
        <w:rPr>
          <w:rFonts w:cstheme="minorHAnsi"/>
        </w:rPr>
        <w:t>The r</w:t>
      </w:r>
      <w:r w:rsidR="00E00A02" w:rsidRPr="00547508">
        <w:rPr>
          <w:rFonts w:cstheme="minorHAnsi"/>
        </w:rPr>
        <w:t>ed dot is maximum likelihood estimate</w:t>
      </w:r>
      <w:r w:rsidR="001528C8" w:rsidRPr="00547508">
        <w:rPr>
          <w:rFonts w:cstheme="minorHAnsi"/>
        </w:rPr>
        <w:t xml:space="preserve"> of LHM</w:t>
      </w:r>
      <w:r w:rsidR="00E00A02" w:rsidRPr="00547508">
        <w:rPr>
          <w:rFonts w:cstheme="minorHAnsi"/>
        </w:rPr>
        <w:t xml:space="preserve">. </w:t>
      </w:r>
      <w:r w:rsidR="000D62A0" w:rsidRPr="00547508">
        <w:rPr>
          <w:rFonts w:cstheme="minorHAnsi"/>
        </w:rPr>
        <w:t>The right plot is the</w:t>
      </w:r>
      <w:r w:rsidR="00CE6C82" w:rsidRPr="00547508">
        <w:rPr>
          <w:rFonts w:cstheme="minorHAnsi"/>
        </w:rPr>
        <w:t xml:space="preserve"> </w:t>
      </w:r>
      <w:r w:rsidR="000D62A0" w:rsidRPr="00547508">
        <w:rPr>
          <w:rFonts w:cstheme="minorHAnsi"/>
        </w:rPr>
        <w:t>s</w:t>
      </w:r>
      <w:r w:rsidR="00CE6C82" w:rsidRPr="00547508">
        <w:rPr>
          <w:rFonts w:cstheme="minorHAnsi"/>
        </w:rPr>
        <w:t xml:space="preserve">imulated U5 </w:t>
      </w:r>
      <w:r w:rsidR="00CE6C82" w:rsidRPr="00547508">
        <w:rPr>
          <w:rFonts w:cstheme="minorHAnsi"/>
          <w:i/>
        </w:rPr>
        <w:t>Pf</w:t>
      </w:r>
      <w:r w:rsidR="00CE6C82" w:rsidRPr="00547508">
        <w:rPr>
          <w:rFonts w:cstheme="minorHAnsi"/>
        </w:rPr>
        <w:t xml:space="preserve">PR </w:t>
      </w:r>
      <w:r w:rsidR="004D1DD5" w:rsidRPr="00547508">
        <w:rPr>
          <w:rFonts w:cstheme="minorHAnsi"/>
        </w:rPr>
        <w:t xml:space="preserve">within </w:t>
      </w:r>
      <w:r w:rsidR="004D1DD5" w:rsidRPr="00547508">
        <w:rPr>
          <w:rFonts w:cstheme="minorHAnsi"/>
        </w:rPr>
        <w:lastRenderedPageBreak/>
        <w:t>each archetype compared with mo</w:t>
      </w:r>
      <w:r w:rsidR="001528C8" w:rsidRPr="00547508">
        <w:rPr>
          <w:rFonts w:cstheme="minorHAnsi"/>
        </w:rPr>
        <w:t xml:space="preserve">nthly U5 </w:t>
      </w:r>
      <w:r w:rsidR="001528C8" w:rsidRPr="00547508">
        <w:rPr>
          <w:rFonts w:cstheme="minorHAnsi"/>
          <w:i/>
        </w:rPr>
        <w:t>Pf</w:t>
      </w:r>
      <w:r w:rsidR="001528C8" w:rsidRPr="00547508">
        <w:rPr>
          <w:rFonts w:cstheme="minorHAnsi"/>
        </w:rPr>
        <w:t>PR from the</w:t>
      </w:r>
      <w:r w:rsidR="00302E20" w:rsidRPr="00547508">
        <w:rPr>
          <w:rFonts w:cstheme="minorHAnsi"/>
        </w:rPr>
        <w:t xml:space="preserve"> </w:t>
      </w:r>
      <w:r w:rsidR="001528C8" w:rsidRPr="00547508">
        <w:rPr>
          <w:rFonts w:cstheme="minorHAnsi"/>
        </w:rPr>
        <w:t>2010</w:t>
      </w:r>
      <w:r w:rsidR="000D62A0" w:rsidRPr="00547508">
        <w:rPr>
          <w:rFonts w:cstheme="minorHAnsi"/>
        </w:rPr>
        <w:t xml:space="preserve"> MIS</w:t>
      </w:r>
      <w:r w:rsidR="000D62A0" w:rsidRPr="00547508">
        <w:rPr>
          <w:rFonts w:cstheme="minorHAnsi"/>
          <w:iCs/>
        </w:rPr>
        <w:t xml:space="preserve">. The thick red line indicates the best match while thin red lines show </w:t>
      </w:r>
      <w:r w:rsidR="000D62A0" w:rsidRPr="00547508">
        <w:rPr>
          <w:rFonts w:cstheme="minorHAnsi"/>
          <w:i/>
        </w:rPr>
        <w:t>Pf</w:t>
      </w:r>
      <w:r w:rsidR="000D62A0" w:rsidRPr="00547508">
        <w:rPr>
          <w:rFonts w:cstheme="minorHAnsi"/>
          <w:iCs/>
        </w:rPr>
        <w:t>PR under other larval habitat scale factors. Each line is the mean of 10 stochastic realizations.</w:t>
      </w:r>
      <w:r w:rsidR="005F6802" w:rsidRPr="00547508">
        <w:rPr>
          <w:rFonts w:cstheme="minorHAnsi"/>
          <w:iCs/>
        </w:rPr>
        <w:t xml:space="preserve"> 12</w:t>
      </w:r>
      <w:r w:rsidR="00F0796C">
        <w:rPr>
          <w:rFonts w:cstheme="minorHAnsi"/>
          <w:iCs/>
        </w:rPr>
        <w:t xml:space="preserve"> out of the </w:t>
      </w:r>
      <w:r w:rsidR="005F6802" w:rsidRPr="00547508">
        <w:rPr>
          <w:rFonts w:cstheme="minorHAnsi"/>
          <w:iCs/>
        </w:rPr>
        <w:t>22 archetypes are shown here, remainder are</w:t>
      </w:r>
      <w:r w:rsidR="00C07CC4" w:rsidRPr="00547508">
        <w:rPr>
          <w:rFonts w:cstheme="minorHAnsi"/>
          <w:iCs/>
        </w:rPr>
        <w:t xml:space="preserve"> shown</w:t>
      </w:r>
      <w:r w:rsidR="005F6802" w:rsidRPr="00547508">
        <w:rPr>
          <w:rFonts w:cstheme="minorHAnsi"/>
          <w:iCs/>
        </w:rPr>
        <w:t xml:space="preserve"> in Fig S3b.</w:t>
      </w:r>
    </w:p>
    <w:p w14:paraId="6A15295F" w14:textId="77777777" w:rsidR="00057F63" w:rsidRPr="00455A3C" w:rsidRDefault="00057F63">
      <w:pPr>
        <w:spacing w:line="276" w:lineRule="auto"/>
        <w:rPr>
          <w:rFonts w:cstheme="minorHAnsi"/>
        </w:rPr>
      </w:pPr>
    </w:p>
    <w:p w14:paraId="0CF16F79" w14:textId="72CAA7DF" w:rsidR="00310A6B" w:rsidRPr="00455A3C" w:rsidRDefault="00A96979" w:rsidP="005354EA">
      <w:pPr>
        <w:spacing w:after="0" w:line="276" w:lineRule="auto"/>
        <w:contextualSpacing/>
        <w:rPr>
          <w:rFonts w:cstheme="minorHAnsi"/>
        </w:rPr>
      </w:pPr>
      <w:r w:rsidRPr="00455A3C">
        <w:rPr>
          <w:rFonts w:cstheme="minorHAnsi"/>
          <w:noProof/>
        </w:rPr>
        <w:drawing>
          <wp:inline distT="0" distB="0" distL="0" distR="0" wp14:anchorId="6396FAA3" wp14:editId="78B2139F">
            <wp:extent cx="5943600" cy="584708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3_continued.larval archetype scale factors_prevalenc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847080"/>
                    </a:xfrm>
                    <a:prstGeom prst="rect">
                      <a:avLst/>
                    </a:prstGeom>
                  </pic:spPr>
                </pic:pic>
              </a:graphicData>
            </a:graphic>
          </wp:inline>
        </w:drawing>
      </w:r>
    </w:p>
    <w:p w14:paraId="3EC42A3A" w14:textId="60F6444E" w:rsidR="00FE3157" w:rsidRDefault="003F3A8A" w:rsidP="00135CAD">
      <w:pPr>
        <w:spacing w:line="276" w:lineRule="auto"/>
        <w:rPr>
          <w:rFonts w:cstheme="minorHAnsi"/>
        </w:rPr>
      </w:pPr>
      <w:r w:rsidRPr="00455A3C">
        <w:rPr>
          <w:rFonts w:cstheme="minorHAnsi"/>
        </w:rPr>
        <w:t xml:space="preserve">Figure </w:t>
      </w:r>
      <w:r w:rsidR="00D150B6" w:rsidRPr="00455A3C">
        <w:rPr>
          <w:rFonts w:cstheme="minorHAnsi"/>
        </w:rPr>
        <w:t>S</w:t>
      </w:r>
      <w:r w:rsidRPr="00455A3C">
        <w:rPr>
          <w:rFonts w:cstheme="minorHAnsi"/>
        </w:rPr>
        <w:t>3</w:t>
      </w:r>
      <w:r w:rsidR="000D62A0" w:rsidRPr="00455A3C">
        <w:rPr>
          <w:rFonts w:cstheme="minorHAnsi"/>
        </w:rPr>
        <w:t>b</w:t>
      </w:r>
      <w:r w:rsidR="005F6802">
        <w:rPr>
          <w:rFonts w:cstheme="minorHAnsi"/>
        </w:rPr>
        <w:t>.</w:t>
      </w:r>
      <w:r w:rsidR="0009662D">
        <w:rPr>
          <w:rFonts w:cstheme="minorHAnsi"/>
        </w:rPr>
        <w:t xml:space="preserve"> Continuation of Fig S3a.</w:t>
      </w:r>
    </w:p>
    <w:p w14:paraId="3F8892B0" w14:textId="77777777" w:rsidR="0009662D" w:rsidRPr="00455A3C" w:rsidRDefault="0009662D" w:rsidP="00C0372B">
      <w:pPr>
        <w:spacing w:line="276" w:lineRule="auto"/>
        <w:rPr>
          <w:rFonts w:cstheme="minorHAnsi"/>
        </w:rPr>
      </w:pPr>
    </w:p>
    <w:p w14:paraId="00D6E81D" w14:textId="62A7485D" w:rsidR="0036760E" w:rsidRPr="00455A3C" w:rsidRDefault="00051BFE" w:rsidP="005354EA">
      <w:pPr>
        <w:pStyle w:val="Heading1"/>
        <w:spacing w:before="0" w:line="276" w:lineRule="auto"/>
        <w:contextualSpacing/>
        <w:rPr>
          <w:rFonts w:asciiTheme="minorHAnsi" w:hAnsiTheme="minorHAnsi" w:cstheme="minorHAnsi"/>
          <w:color w:val="auto"/>
          <w:sz w:val="22"/>
          <w:szCs w:val="22"/>
          <w:u w:val="single"/>
        </w:rPr>
      </w:pPr>
      <w:bookmarkStart w:id="2" w:name="_Toc77757575"/>
      <w:r w:rsidRPr="00455A3C">
        <w:rPr>
          <w:rFonts w:asciiTheme="minorHAnsi" w:hAnsiTheme="minorHAnsi" w:cstheme="minorHAnsi"/>
          <w:color w:val="auto"/>
          <w:sz w:val="22"/>
          <w:szCs w:val="22"/>
          <w:u w:val="single"/>
        </w:rPr>
        <w:t xml:space="preserve">Parameterizing </w:t>
      </w:r>
      <w:r w:rsidR="006538ED" w:rsidRPr="00455A3C">
        <w:rPr>
          <w:rFonts w:asciiTheme="minorHAnsi" w:hAnsiTheme="minorHAnsi" w:cstheme="minorHAnsi"/>
          <w:color w:val="auto"/>
          <w:sz w:val="22"/>
          <w:szCs w:val="22"/>
          <w:u w:val="single"/>
        </w:rPr>
        <w:t>intervention</w:t>
      </w:r>
      <w:r w:rsidR="006538ED">
        <w:rPr>
          <w:rFonts w:asciiTheme="minorHAnsi" w:hAnsiTheme="minorHAnsi" w:cstheme="minorHAnsi"/>
          <w:color w:val="auto"/>
          <w:sz w:val="22"/>
          <w:szCs w:val="22"/>
          <w:u w:val="single"/>
        </w:rPr>
        <w:t xml:space="preserve"> coverage</w:t>
      </w:r>
      <w:bookmarkEnd w:id="2"/>
      <w:r w:rsidR="006538ED" w:rsidRPr="00455A3C">
        <w:rPr>
          <w:rFonts w:asciiTheme="minorHAnsi" w:hAnsiTheme="minorHAnsi" w:cstheme="minorHAnsi"/>
          <w:color w:val="auto"/>
          <w:sz w:val="22"/>
          <w:szCs w:val="22"/>
          <w:u w:val="single"/>
        </w:rPr>
        <w:t xml:space="preserve"> </w:t>
      </w:r>
    </w:p>
    <w:p w14:paraId="26370D1C" w14:textId="39AC07A4" w:rsidR="007A4640" w:rsidRPr="00455A3C" w:rsidRDefault="008D6DD9" w:rsidP="005354EA">
      <w:pPr>
        <w:spacing w:after="0" w:line="276" w:lineRule="auto"/>
        <w:contextualSpacing/>
        <w:rPr>
          <w:rFonts w:cstheme="minorHAnsi"/>
          <w:iCs/>
        </w:rPr>
      </w:pPr>
      <w:r w:rsidRPr="00455A3C">
        <w:rPr>
          <w:rFonts w:cstheme="minorHAnsi"/>
          <w:iCs/>
        </w:rPr>
        <w:t>Intervention coverage</w:t>
      </w:r>
      <w:r w:rsidR="00287883" w:rsidRPr="00455A3C">
        <w:rPr>
          <w:rFonts w:cstheme="minorHAnsi"/>
          <w:iCs/>
        </w:rPr>
        <w:t xml:space="preserve"> at the LGA-level</w:t>
      </w:r>
      <w:r w:rsidRPr="00455A3C">
        <w:rPr>
          <w:rFonts w:cstheme="minorHAnsi"/>
          <w:iCs/>
        </w:rPr>
        <w:t xml:space="preserve"> </w:t>
      </w:r>
      <w:r w:rsidR="00C222DF">
        <w:rPr>
          <w:rFonts w:cstheme="minorHAnsi"/>
          <w:iCs/>
        </w:rPr>
        <w:t xml:space="preserve">for case management, ITN use, and IPTp </w:t>
      </w:r>
      <w:r w:rsidRPr="00455A3C">
        <w:rPr>
          <w:rFonts w:cstheme="minorHAnsi"/>
          <w:iCs/>
        </w:rPr>
        <w:t>was parameterized using data from the Demographic and Health Surveys (DHS)</w:t>
      </w:r>
      <w:r w:rsidR="00C222DF">
        <w:rPr>
          <w:rFonts w:cstheme="minorHAnsi"/>
          <w:iCs/>
        </w:rPr>
        <w:t>,</w:t>
      </w:r>
      <w:r w:rsidRPr="00455A3C">
        <w:rPr>
          <w:rFonts w:cstheme="minorHAnsi"/>
          <w:iCs/>
        </w:rPr>
        <w:t xml:space="preserve"> the Malaria Indicator Surveys (MIS)</w:t>
      </w:r>
      <w:r w:rsidR="00C222DF">
        <w:rPr>
          <w:rFonts w:cstheme="minorHAnsi"/>
          <w:iCs/>
        </w:rPr>
        <w:t>, and programmatic data</w:t>
      </w:r>
      <w:r w:rsidRPr="00455A3C">
        <w:rPr>
          <w:rFonts w:cstheme="minorHAnsi"/>
          <w:iCs/>
        </w:rPr>
        <w:t xml:space="preserve">. </w:t>
      </w:r>
    </w:p>
    <w:p w14:paraId="41080891" w14:textId="7C3FCB20" w:rsidR="007A4640" w:rsidRPr="00455A3C" w:rsidRDefault="00051BFE" w:rsidP="007A4640">
      <w:pPr>
        <w:pStyle w:val="ListParagraph"/>
        <w:numPr>
          <w:ilvl w:val="0"/>
          <w:numId w:val="17"/>
        </w:numPr>
        <w:spacing w:line="276" w:lineRule="auto"/>
        <w:rPr>
          <w:rFonts w:cstheme="minorHAnsi"/>
          <w:iCs/>
          <w:sz w:val="22"/>
          <w:szCs w:val="22"/>
        </w:rPr>
      </w:pPr>
      <w:r w:rsidRPr="00455A3C">
        <w:rPr>
          <w:rFonts w:cstheme="minorHAnsi"/>
          <w:iCs/>
          <w:sz w:val="22"/>
          <w:szCs w:val="22"/>
        </w:rPr>
        <w:lastRenderedPageBreak/>
        <w:t>Whether individuals received effective case management for uncomplicated malaria was assessed from a</w:t>
      </w:r>
      <w:r w:rsidR="008D6DD9" w:rsidRPr="00455A3C">
        <w:rPr>
          <w:rFonts w:cstheme="minorHAnsi"/>
          <w:iCs/>
          <w:sz w:val="22"/>
          <w:szCs w:val="22"/>
        </w:rPr>
        <w:t xml:space="preserve"> DHS/MIS</w:t>
      </w:r>
      <w:r w:rsidRPr="00455A3C">
        <w:rPr>
          <w:rFonts w:cstheme="minorHAnsi"/>
          <w:iCs/>
          <w:sz w:val="22"/>
          <w:szCs w:val="22"/>
        </w:rPr>
        <w:t xml:space="preserve"> question inquiring whether a child with fever within the two-week period before the survey received artemisinin combination therapy (ACT)</w:t>
      </w:r>
      <w:r w:rsidR="00EC5922" w:rsidRPr="00455A3C">
        <w:rPr>
          <w:rFonts w:cstheme="minorHAnsi"/>
          <w:iCs/>
          <w:sz w:val="22"/>
          <w:szCs w:val="22"/>
        </w:rPr>
        <w:t xml:space="preserve"> (Question item name in DHS data dictionary</w:t>
      </w:r>
      <w:r w:rsidR="00FF2638">
        <w:rPr>
          <w:rFonts w:cstheme="minorHAnsi"/>
          <w:iCs/>
          <w:sz w:val="22"/>
          <w:szCs w:val="22"/>
        </w:rPr>
        <w:t>:</w:t>
      </w:r>
      <w:r w:rsidR="00EC5922" w:rsidRPr="00455A3C">
        <w:rPr>
          <w:rFonts w:cstheme="minorHAnsi"/>
          <w:iCs/>
          <w:sz w:val="22"/>
          <w:szCs w:val="22"/>
        </w:rPr>
        <w:t xml:space="preserve"> ML13e)</w:t>
      </w:r>
      <w:r w:rsidRPr="00455A3C">
        <w:rPr>
          <w:rFonts w:cstheme="minorHAnsi"/>
          <w:iCs/>
          <w:sz w:val="22"/>
          <w:szCs w:val="22"/>
        </w:rPr>
        <w:t xml:space="preserve">. </w:t>
      </w:r>
    </w:p>
    <w:p w14:paraId="0F0F57EB" w14:textId="36608A01" w:rsidR="007A4640" w:rsidRPr="00455A3C" w:rsidRDefault="00051BFE" w:rsidP="007A4640">
      <w:pPr>
        <w:pStyle w:val="ListParagraph"/>
        <w:numPr>
          <w:ilvl w:val="0"/>
          <w:numId w:val="17"/>
        </w:numPr>
        <w:spacing w:line="276" w:lineRule="auto"/>
        <w:rPr>
          <w:rFonts w:cstheme="minorHAnsi"/>
          <w:iCs/>
          <w:sz w:val="22"/>
          <w:szCs w:val="22"/>
        </w:rPr>
      </w:pPr>
      <w:r w:rsidRPr="00455A3C">
        <w:rPr>
          <w:rFonts w:cstheme="minorHAnsi"/>
          <w:iCs/>
          <w:sz w:val="22"/>
          <w:szCs w:val="22"/>
        </w:rPr>
        <w:t xml:space="preserve">ITN use for all ages was assessed from </w:t>
      </w:r>
      <w:r w:rsidR="00587171" w:rsidRPr="00455A3C">
        <w:rPr>
          <w:rFonts w:cstheme="minorHAnsi"/>
          <w:iCs/>
          <w:sz w:val="22"/>
          <w:szCs w:val="22"/>
        </w:rPr>
        <w:t xml:space="preserve">DHS/MIS </w:t>
      </w:r>
      <w:r w:rsidRPr="00455A3C">
        <w:rPr>
          <w:rFonts w:cstheme="minorHAnsi"/>
          <w:iCs/>
          <w:sz w:val="22"/>
          <w:szCs w:val="22"/>
        </w:rPr>
        <w:t>responses to the question on the type of bednet that an individual slept under the night before the survey</w:t>
      </w:r>
      <w:r w:rsidR="00EC5922" w:rsidRPr="00455A3C">
        <w:rPr>
          <w:rFonts w:cstheme="minorHAnsi"/>
          <w:iCs/>
          <w:sz w:val="22"/>
          <w:szCs w:val="22"/>
        </w:rPr>
        <w:t xml:space="preserve"> (Question item name in DHS data dictionary</w:t>
      </w:r>
      <w:r w:rsidR="00FF2638">
        <w:rPr>
          <w:rFonts w:cstheme="minorHAnsi"/>
          <w:iCs/>
          <w:sz w:val="22"/>
          <w:szCs w:val="22"/>
        </w:rPr>
        <w:t>:</w:t>
      </w:r>
      <w:r w:rsidR="00DE6AAA" w:rsidRPr="00455A3C">
        <w:rPr>
          <w:rFonts w:cstheme="minorHAnsi"/>
          <w:iCs/>
          <w:sz w:val="22"/>
          <w:szCs w:val="22"/>
        </w:rPr>
        <w:t xml:space="preserve"> HML12</w:t>
      </w:r>
      <w:r w:rsidR="00EC5922" w:rsidRPr="00455A3C">
        <w:rPr>
          <w:rFonts w:cstheme="minorHAnsi"/>
          <w:iCs/>
          <w:sz w:val="22"/>
          <w:szCs w:val="22"/>
        </w:rPr>
        <w:t>)</w:t>
      </w:r>
      <w:r w:rsidRPr="00455A3C">
        <w:rPr>
          <w:rFonts w:cstheme="minorHAnsi"/>
          <w:iCs/>
          <w:sz w:val="22"/>
          <w:szCs w:val="22"/>
        </w:rPr>
        <w:t xml:space="preserve">. </w:t>
      </w:r>
    </w:p>
    <w:p w14:paraId="6193FA8B" w14:textId="26F63C5D" w:rsidR="00587171" w:rsidRPr="00455A3C" w:rsidRDefault="008D6DD9" w:rsidP="007A4640">
      <w:pPr>
        <w:pStyle w:val="ListParagraph"/>
        <w:numPr>
          <w:ilvl w:val="0"/>
          <w:numId w:val="17"/>
        </w:numPr>
        <w:spacing w:line="276" w:lineRule="auto"/>
        <w:rPr>
          <w:rFonts w:cstheme="minorHAnsi"/>
          <w:iCs/>
          <w:sz w:val="22"/>
          <w:szCs w:val="22"/>
        </w:rPr>
      </w:pPr>
      <w:r w:rsidRPr="00455A3C">
        <w:rPr>
          <w:rFonts w:cstheme="minorHAnsi"/>
          <w:iCs/>
          <w:sz w:val="22"/>
          <w:szCs w:val="22"/>
        </w:rPr>
        <w:t xml:space="preserve">Program data was used to estimate </w:t>
      </w:r>
      <w:r w:rsidR="0067171F" w:rsidRPr="00455A3C">
        <w:rPr>
          <w:rFonts w:cstheme="minorHAnsi"/>
          <w:iCs/>
          <w:sz w:val="22"/>
          <w:szCs w:val="22"/>
        </w:rPr>
        <w:t>ITN coverage</w:t>
      </w:r>
      <w:r w:rsidR="00287883" w:rsidRPr="00455A3C">
        <w:rPr>
          <w:rFonts w:cstheme="minorHAnsi"/>
          <w:iCs/>
          <w:sz w:val="22"/>
          <w:szCs w:val="22"/>
        </w:rPr>
        <w:t xml:space="preserve"> among pregnant wom</w:t>
      </w:r>
      <w:r w:rsidR="00587171" w:rsidRPr="00455A3C">
        <w:rPr>
          <w:rFonts w:cstheme="minorHAnsi"/>
          <w:iCs/>
          <w:sz w:val="22"/>
          <w:szCs w:val="22"/>
        </w:rPr>
        <w:t>en</w:t>
      </w:r>
      <w:r w:rsidR="00B06495" w:rsidRPr="00455A3C">
        <w:rPr>
          <w:rFonts w:cstheme="minorHAnsi"/>
          <w:iCs/>
          <w:sz w:val="22"/>
          <w:szCs w:val="22"/>
        </w:rPr>
        <w:t xml:space="preserve"> </w:t>
      </w:r>
      <w:r w:rsidR="0067171F" w:rsidRPr="00455A3C">
        <w:rPr>
          <w:rFonts w:cstheme="minorHAnsi"/>
          <w:iCs/>
          <w:sz w:val="22"/>
          <w:szCs w:val="22"/>
        </w:rPr>
        <w:t xml:space="preserve">who attended </w:t>
      </w:r>
      <w:r w:rsidR="00CA5363">
        <w:rPr>
          <w:rFonts w:cstheme="minorHAnsi"/>
          <w:iCs/>
          <w:sz w:val="22"/>
          <w:szCs w:val="22"/>
        </w:rPr>
        <w:t>antenatal care (</w:t>
      </w:r>
      <w:r w:rsidR="0067171F" w:rsidRPr="00455A3C">
        <w:rPr>
          <w:rFonts w:cstheme="minorHAnsi"/>
          <w:iCs/>
          <w:sz w:val="22"/>
          <w:szCs w:val="22"/>
        </w:rPr>
        <w:t>ANC</w:t>
      </w:r>
      <w:r w:rsidR="00CA5363">
        <w:rPr>
          <w:rFonts w:cstheme="minorHAnsi"/>
          <w:iCs/>
          <w:sz w:val="22"/>
          <w:szCs w:val="22"/>
        </w:rPr>
        <w:t>)</w:t>
      </w:r>
      <w:r w:rsidR="0067171F" w:rsidRPr="00455A3C">
        <w:rPr>
          <w:rFonts w:cstheme="minorHAnsi"/>
          <w:iCs/>
          <w:sz w:val="22"/>
          <w:szCs w:val="22"/>
        </w:rPr>
        <w:t xml:space="preserve"> </w:t>
      </w:r>
      <w:r w:rsidR="00B06495" w:rsidRPr="00455A3C">
        <w:rPr>
          <w:rFonts w:cstheme="minorHAnsi"/>
          <w:iCs/>
          <w:sz w:val="22"/>
          <w:szCs w:val="22"/>
        </w:rPr>
        <w:t>in 2018</w:t>
      </w:r>
      <w:r w:rsidR="00D4132C">
        <w:rPr>
          <w:rFonts w:cstheme="minorHAnsi"/>
          <w:iCs/>
          <w:sz w:val="22"/>
          <w:szCs w:val="22"/>
        </w:rPr>
        <w:t xml:space="preserve"> by dividing the number of nets distributed at ANC by the estimated number of pregnancies</w:t>
      </w:r>
      <w:r w:rsidR="00587171" w:rsidRPr="00455A3C">
        <w:rPr>
          <w:rFonts w:cstheme="minorHAnsi"/>
          <w:iCs/>
          <w:sz w:val="22"/>
          <w:szCs w:val="22"/>
        </w:rPr>
        <w:t xml:space="preserve"> (Figure </w:t>
      </w:r>
      <w:r w:rsidR="00D16A7C" w:rsidRPr="00455A3C">
        <w:rPr>
          <w:rFonts w:cstheme="minorHAnsi"/>
          <w:iCs/>
          <w:sz w:val="22"/>
          <w:szCs w:val="22"/>
        </w:rPr>
        <w:t>S</w:t>
      </w:r>
      <w:r w:rsidR="00587171" w:rsidRPr="00455A3C">
        <w:rPr>
          <w:rFonts w:cstheme="minorHAnsi"/>
          <w:iCs/>
          <w:sz w:val="22"/>
          <w:szCs w:val="22"/>
        </w:rPr>
        <w:t>4)</w:t>
      </w:r>
      <w:r w:rsidR="00B37258" w:rsidRPr="00455A3C">
        <w:rPr>
          <w:rFonts w:cstheme="minorHAnsi"/>
          <w:iCs/>
          <w:sz w:val="22"/>
          <w:szCs w:val="22"/>
        </w:rPr>
        <w:t>.</w:t>
      </w:r>
    </w:p>
    <w:p w14:paraId="0F7E9CF0" w14:textId="2E634B4D" w:rsidR="006D6AE3" w:rsidRPr="00455A3C" w:rsidRDefault="007A4640" w:rsidP="006D6AE3">
      <w:pPr>
        <w:pStyle w:val="ListParagraph"/>
        <w:numPr>
          <w:ilvl w:val="0"/>
          <w:numId w:val="17"/>
        </w:numPr>
        <w:spacing w:line="276" w:lineRule="auto"/>
        <w:rPr>
          <w:rFonts w:cstheme="minorHAnsi"/>
          <w:iCs/>
          <w:sz w:val="22"/>
          <w:szCs w:val="22"/>
        </w:rPr>
      </w:pPr>
      <w:r w:rsidRPr="00455A3C">
        <w:rPr>
          <w:rFonts w:cstheme="minorHAnsi"/>
          <w:iCs/>
          <w:sz w:val="22"/>
          <w:szCs w:val="22"/>
        </w:rPr>
        <w:t>Receipt of IPTp was assessed using two DHS/MIS questions: 1) Whether parous women took SP/Fansidar during their most recent pregnancy</w:t>
      </w:r>
      <w:r w:rsidR="00DE6AAA" w:rsidRPr="00455A3C">
        <w:rPr>
          <w:rFonts w:cstheme="minorHAnsi"/>
          <w:iCs/>
          <w:sz w:val="22"/>
          <w:szCs w:val="22"/>
        </w:rPr>
        <w:t xml:space="preserve"> (Question item name in DHS data dictionary</w:t>
      </w:r>
      <w:r w:rsidR="00BB0671">
        <w:rPr>
          <w:rFonts w:cstheme="minorHAnsi"/>
          <w:iCs/>
          <w:sz w:val="22"/>
          <w:szCs w:val="22"/>
        </w:rPr>
        <w:t>:</w:t>
      </w:r>
      <w:r w:rsidR="00DE6AAA" w:rsidRPr="00455A3C">
        <w:rPr>
          <w:rFonts w:cstheme="minorHAnsi"/>
          <w:iCs/>
          <w:sz w:val="22"/>
          <w:szCs w:val="22"/>
        </w:rPr>
        <w:t xml:space="preserve"> M49A)</w:t>
      </w:r>
      <w:r w:rsidR="00D9384E" w:rsidRPr="00455A3C">
        <w:rPr>
          <w:rFonts w:cstheme="minorHAnsi"/>
          <w:iCs/>
          <w:sz w:val="22"/>
          <w:szCs w:val="22"/>
        </w:rPr>
        <w:t>; and</w:t>
      </w:r>
      <w:r w:rsidRPr="00455A3C">
        <w:rPr>
          <w:rFonts w:cstheme="minorHAnsi"/>
          <w:iCs/>
          <w:sz w:val="22"/>
          <w:szCs w:val="22"/>
        </w:rPr>
        <w:t xml:space="preserve"> 2) The number of times respondents to question </w:t>
      </w:r>
      <w:r w:rsidR="00F90849" w:rsidRPr="00455A3C">
        <w:rPr>
          <w:rFonts w:cstheme="minorHAnsi"/>
          <w:iCs/>
          <w:sz w:val="22"/>
          <w:szCs w:val="22"/>
        </w:rPr>
        <w:t>1</w:t>
      </w:r>
      <w:r w:rsidRPr="00455A3C">
        <w:rPr>
          <w:rFonts w:cstheme="minorHAnsi"/>
          <w:iCs/>
          <w:sz w:val="22"/>
          <w:szCs w:val="22"/>
        </w:rPr>
        <w:t xml:space="preserve"> took Fansidar during pregnancy</w:t>
      </w:r>
      <w:r w:rsidR="00DE6AAA" w:rsidRPr="00455A3C">
        <w:rPr>
          <w:rFonts w:cstheme="minorHAnsi"/>
          <w:iCs/>
          <w:sz w:val="22"/>
          <w:szCs w:val="22"/>
        </w:rPr>
        <w:t xml:space="preserve"> (Question item name in DHS data dictionary</w:t>
      </w:r>
      <w:r w:rsidR="00BB0671">
        <w:rPr>
          <w:rFonts w:cstheme="minorHAnsi"/>
          <w:iCs/>
          <w:sz w:val="22"/>
          <w:szCs w:val="22"/>
        </w:rPr>
        <w:t>:</w:t>
      </w:r>
      <w:r w:rsidR="00DE6AAA" w:rsidRPr="00455A3C">
        <w:rPr>
          <w:rFonts w:cstheme="minorHAnsi"/>
          <w:iCs/>
          <w:sz w:val="22"/>
          <w:szCs w:val="22"/>
        </w:rPr>
        <w:t xml:space="preserve"> ML1).  </w:t>
      </w:r>
      <w:r w:rsidRPr="00455A3C">
        <w:rPr>
          <w:rFonts w:cstheme="minorHAnsi"/>
          <w:iCs/>
          <w:sz w:val="22"/>
          <w:szCs w:val="22"/>
        </w:rPr>
        <w:t xml:space="preserve"> </w:t>
      </w:r>
    </w:p>
    <w:p w14:paraId="326B77A9" w14:textId="77777777" w:rsidR="006D6AE3" w:rsidRPr="00C0372B" w:rsidRDefault="006D6AE3" w:rsidP="00C0372B">
      <w:pPr>
        <w:pStyle w:val="ListParagraph"/>
        <w:spacing w:line="276" w:lineRule="auto"/>
        <w:rPr>
          <w:rFonts w:cstheme="minorHAnsi"/>
          <w:iCs/>
          <w:sz w:val="22"/>
          <w:szCs w:val="22"/>
        </w:rPr>
      </w:pPr>
    </w:p>
    <w:p w14:paraId="49206C43" w14:textId="5E60D264" w:rsidR="00E8598C" w:rsidRPr="00455A3C" w:rsidRDefault="00AB6C6B" w:rsidP="005354EA">
      <w:pPr>
        <w:spacing w:after="0" w:line="276" w:lineRule="auto"/>
        <w:contextualSpacing/>
        <w:rPr>
          <w:rFonts w:cstheme="minorHAnsi"/>
          <w:iCs/>
        </w:rPr>
      </w:pPr>
      <w:r w:rsidRPr="00C0372B">
        <w:rPr>
          <w:rFonts w:cstheme="minorHAnsi"/>
          <w:iCs/>
          <w:noProof/>
        </w:rPr>
        <w:drawing>
          <wp:inline distT="0" distB="0" distL="0" distR="0" wp14:anchorId="78C3BB75" wp14:editId="4E741FA9">
            <wp:extent cx="2871061" cy="2171700"/>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4_ITN pregnant women coverag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5303" cy="2182473"/>
                    </a:xfrm>
                    <a:prstGeom prst="rect">
                      <a:avLst/>
                    </a:prstGeom>
                  </pic:spPr>
                </pic:pic>
              </a:graphicData>
            </a:graphic>
          </wp:inline>
        </w:drawing>
      </w:r>
    </w:p>
    <w:p w14:paraId="5D85BFE4" w14:textId="7D078DBB" w:rsidR="00587171" w:rsidRPr="00455A3C" w:rsidRDefault="00E8598C" w:rsidP="005354EA">
      <w:pPr>
        <w:spacing w:after="0" w:line="276" w:lineRule="auto"/>
        <w:contextualSpacing/>
        <w:rPr>
          <w:rFonts w:cstheme="minorHAnsi"/>
          <w:iCs/>
        </w:rPr>
      </w:pPr>
      <w:r w:rsidRPr="00455A3C">
        <w:rPr>
          <w:rFonts w:cstheme="minorHAnsi"/>
          <w:iCs/>
        </w:rPr>
        <w:t xml:space="preserve">Figure </w:t>
      </w:r>
      <w:r w:rsidR="00D16A7C" w:rsidRPr="00455A3C">
        <w:rPr>
          <w:rFonts w:cstheme="minorHAnsi"/>
          <w:iCs/>
        </w:rPr>
        <w:t>S</w:t>
      </w:r>
      <w:r w:rsidRPr="00455A3C">
        <w:rPr>
          <w:rFonts w:cstheme="minorHAnsi"/>
          <w:iCs/>
        </w:rPr>
        <w:t>4: ITN coverage among pregnant women</w:t>
      </w:r>
      <w:r w:rsidR="0067171F" w:rsidRPr="00455A3C">
        <w:rPr>
          <w:rFonts w:cstheme="minorHAnsi"/>
          <w:iCs/>
        </w:rPr>
        <w:t xml:space="preserve"> attending ANC</w:t>
      </w:r>
      <w:r w:rsidRPr="00455A3C">
        <w:rPr>
          <w:rFonts w:cstheme="minorHAnsi"/>
          <w:iCs/>
        </w:rPr>
        <w:t xml:space="preserve"> in 2018</w:t>
      </w:r>
    </w:p>
    <w:p w14:paraId="7614776D" w14:textId="50775B3F" w:rsidR="00A96979" w:rsidRPr="00455A3C" w:rsidRDefault="00A96979" w:rsidP="005354EA">
      <w:pPr>
        <w:spacing w:after="0" w:line="276" w:lineRule="auto"/>
        <w:contextualSpacing/>
        <w:rPr>
          <w:rFonts w:cstheme="minorHAnsi"/>
          <w:iCs/>
        </w:rPr>
      </w:pPr>
    </w:p>
    <w:p w14:paraId="15BE38E6" w14:textId="18427C7F" w:rsidR="000A7B79" w:rsidRPr="00455A3C" w:rsidRDefault="00064909" w:rsidP="005354EA">
      <w:pPr>
        <w:pStyle w:val="Heading1"/>
        <w:spacing w:before="0" w:line="276" w:lineRule="auto"/>
        <w:contextualSpacing/>
        <w:rPr>
          <w:rFonts w:asciiTheme="minorHAnsi" w:hAnsiTheme="minorHAnsi" w:cstheme="minorHAnsi"/>
          <w:color w:val="auto"/>
          <w:sz w:val="22"/>
          <w:szCs w:val="22"/>
          <w:u w:val="single"/>
        </w:rPr>
      </w:pPr>
      <w:bookmarkStart w:id="3" w:name="_Toc77757576"/>
      <w:r w:rsidRPr="00455A3C">
        <w:rPr>
          <w:rFonts w:asciiTheme="minorHAnsi" w:hAnsiTheme="minorHAnsi" w:cstheme="minorHAnsi"/>
          <w:color w:val="auto"/>
          <w:sz w:val="22"/>
          <w:szCs w:val="22"/>
          <w:u w:val="single"/>
        </w:rPr>
        <w:t xml:space="preserve">Parametrizing </w:t>
      </w:r>
      <w:r w:rsidR="000A7B79" w:rsidRPr="00455A3C">
        <w:rPr>
          <w:rFonts w:asciiTheme="minorHAnsi" w:hAnsiTheme="minorHAnsi" w:cstheme="minorHAnsi"/>
          <w:color w:val="auto"/>
          <w:sz w:val="22"/>
          <w:szCs w:val="22"/>
          <w:u w:val="single"/>
        </w:rPr>
        <w:t xml:space="preserve">the </w:t>
      </w:r>
      <w:r w:rsidR="00432932" w:rsidRPr="00455A3C">
        <w:rPr>
          <w:rFonts w:asciiTheme="minorHAnsi" w:hAnsiTheme="minorHAnsi" w:cstheme="minorHAnsi"/>
          <w:color w:val="auto"/>
          <w:sz w:val="22"/>
          <w:szCs w:val="22"/>
          <w:u w:val="single"/>
        </w:rPr>
        <w:t xml:space="preserve">ITN </w:t>
      </w:r>
      <w:r w:rsidR="000A7B79" w:rsidRPr="00455A3C">
        <w:rPr>
          <w:rFonts w:asciiTheme="minorHAnsi" w:hAnsiTheme="minorHAnsi" w:cstheme="minorHAnsi"/>
          <w:color w:val="auto"/>
          <w:sz w:val="22"/>
          <w:szCs w:val="22"/>
          <w:u w:val="single"/>
        </w:rPr>
        <w:t>model</w:t>
      </w:r>
      <w:bookmarkEnd w:id="3"/>
      <w:r w:rsidR="000A7B79" w:rsidRPr="00455A3C">
        <w:rPr>
          <w:rFonts w:asciiTheme="minorHAnsi" w:hAnsiTheme="minorHAnsi" w:cstheme="minorHAnsi"/>
          <w:color w:val="auto"/>
          <w:sz w:val="22"/>
          <w:szCs w:val="22"/>
          <w:u w:val="single"/>
        </w:rPr>
        <w:t xml:space="preserve"> </w:t>
      </w:r>
    </w:p>
    <w:p w14:paraId="3D9991A4" w14:textId="75F3D947" w:rsidR="007A6265" w:rsidRPr="00455A3C" w:rsidRDefault="00AC590E" w:rsidP="005354EA">
      <w:pPr>
        <w:spacing w:after="0" w:line="276" w:lineRule="auto"/>
        <w:contextualSpacing/>
        <w:rPr>
          <w:rFonts w:cstheme="minorHAnsi"/>
          <w:iCs/>
        </w:rPr>
      </w:pPr>
      <w:r w:rsidRPr="00455A3C">
        <w:rPr>
          <w:rFonts w:cstheme="minorHAnsi"/>
          <w:iCs/>
        </w:rPr>
        <w:t xml:space="preserve">ITN efficacy </w:t>
      </w:r>
      <w:r w:rsidR="00AD63F5">
        <w:rPr>
          <w:rFonts w:cstheme="minorHAnsi"/>
          <w:iCs/>
        </w:rPr>
        <w:t xml:space="preserve">in EMOD </w:t>
      </w:r>
      <w:r w:rsidRPr="00455A3C">
        <w:rPr>
          <w:rFonts w:cstheme="minorHAnsi"/>
          <w:iCs/>
        </w:rPr>
        <w:t xml:space="preserve">is </w:t>
      </w:r>
      <w:r w:rsidR="00AD63F5">
        <w:rPr>
          <w:rFonts w:cstheme="minorHAnsi"/>
          <w:iCs/>
        </w:rPr>
        <w:t>determined</w:t>
      </w:r>
      <w:r w:rsidR="00AD63F5" w:rsidRPr="00455A3C">
        <w:rPr>
          <w:rFonts w:cstheme="minorHAnsi"/>
          <w:iCs/>
        </w:rPr>
        <w:t xml:space="preserve"> </w:t>
      </w:r>
      <w:r w:rsidRPr="00455A3C">
        <w:rPr>
          <w:rFonts w:cstheme="minorHAnsi"/>
          <w:iCs/>
        </w:rPr>
        <w:t xml:space="preserve">by </w:t>
      </w:r>
      <w:r w:rsidR="00AD63F5">
        <w:rPr>
          <w:rFonts w:cstheme="minorHAnsi"/>
          <w:iCs/>
        </w:rPr>
        <w:t>two parameters:</w:t>
      </w:r>
      <w:r w:rsidR="00AD63F5" w:rsidRPr="00455A3C">
        <w:rPr>
          <w:rFonts w:cstheme="minorHAnsi"/>
          <w:iCs/>
        </w:rPr>
        <w:t xml:space="preserve"> </w:t>
      </w:r>
      <w:r w:rsidRPr="00455A3C">
        <w:rPr>
          <w:rFonts w:cstheme="minorHAnsi"/>
          <w:iCs/>
        </w:rPr>
        <w:t>killing and blocking rates. ITN killing rate is the probability that a treated net kills a mosquito given an attempted indoor feed on a protected human</w:t>
      </w:r>
      <w:r w:rsidR="00C51F4B" w:rsidRPr="00455A3C">
        <w:rPr>
          <w:rFonts w:cstheme="minorHAnsi"/>
          <w:iCs/>
        </w:rPr>
        <w:t>,</w:t>
      </w:r>
      <w:r w:rsidRPr="00455A3C">
        <w:rPr>
          <w:rFonts w:cstheme="minorHAnsi"/>
          <w:iCs/>
        </w:rPr>
        <w:t xml:space="preserve"> </w:t>
      </w:r>
      <w:r w:rsidR="00C51F4B" w:rsidRPr="00455A3C">
        <w:rPr>
          <w:rFonts w:cstheme="minorHAnsi"/>
          <w:iCs/>
        </w:rPr>
        <w:t>w</w:t>
      </w:r>
      <w:r w:rsidRPr="00455A3C">
        <w:rPr>
          <w:rFonts w:cstheme="minorHAnsi"/>
          <w:iCs/>
        </w:rPr>
        <w:t xml:space="preserve">hereas ITN </w:t>
      </w:r>
      <w:r w:rsidR="00681103" w:rsidRPr="00455A3C">
        <w:rPr>
          <w:rFonts w:cstheme="minorHAnsi"/>
          <w:iCs/>
        </w:rPr>
        <w:t xml:space="preserve">blocking </w:t>
      </w:r>
      <w:r w:rsidRPr="00455A3C">
        <w:rPr>
          <w:rFonts w:cstheme="minorHAnsi"/>
          <w:iCs/>
        </w:rPr>
        <w:t xml:space="preserve">rate is the probability that a net blocks an attempted indoor feed on a protected human. </w:t>
      </w:r>
      <w:r w:rsidR="00102EB1" w:rsidRPr="00455A3C">
        <w:rPr>
          <w:rFonts w:cstheme="minorHAnsi"/>
          <w:iCs/>
        </w:rPr>
        <w:t>I</w:t>
      </w:r>
      <w:r w:rsidR="000A7B79" w:rsidRPr="00455A3C">
        <w:rPr>
          <w:rFonts w:cstheme="minorHAnsi"/>
          <w:iCs/>
        </w:rPr>
        <w:t xml:space="preserve">TN </w:t>
      </w:r>
      <w:r w:rsidR="00102EB1" w:rsidRPr="00455A3C">
        <w:rPr>
          <w:rFonts w:cstheme="minorHAnsi"/>
          <w:iCs/>
        </w:rPr>
        <w:t xml:space="preserve">killing </w:t>
      </w:r>
      <w:r w:rsidR="002F7197">
        <w:rPr>
          <w:rFonts w:cstheme="minorHAnsi"/>
          <w:iCs/>
        </w:rPr>
        <w:t xml:space="preserve">and blocking </w:t>
      </w:r>
      <w:r w:rsidR="000A7B79" w:rsidRPr="00455A3C">
        <w:rPr>
          <w:rFonts w:cstheme="minorHAnsi"/>
          <w:iCs/>
        </w:rPr>
        <w:t xml:space="preserve">parameters </w:t>
      </w:r>
      <w:r w:rsidR="000B36A1" w:rsidRPr="00455A3C">
        <w:rPr>
          <w:rFonts w:cstheme="minorHAnsi"/>
          <w:iCs/>
        </w:rPr>
        <w:t>were</w:t>
      </w:r>
      <w:r w:rsidR="00102EB1" w:rsidRPr="00455A3C">
        <w:rPr>
          <w:rFonts w:cstheme="minorHAnsi"/>
          <w:iCs/>
        </w:rPr>
        <w:t xml:space="preserve"> </w:t>
      </w:r>
      <w:r w:rsidR="000B36A1" w:rsidRPr="00455A3C">
        <w:rPr>
          <w:rFonts w:cstheme="minorHAnsi"/>
          <w:iCs/>
        </w:rPr>
        <w:t>adjusted</w:t>
      </w:r>
      <w:r w:rsidR="00F20A87" w:rsidRPr="00455A3C">
        <w:rPr>
          <w:rFonts w:cstheme="minorHAnsi"/>
          <w:iCs/>
        </w:rPr>
        <w:t xml:space="preserve"> to account for </w:t>
      </w:r>
      <w:r w:rsidR="00AA61DD" w:rsidRPr="00455A3C">
        <w:rPr>
          <w:rFonts w:cstheme="minorHAnsi"/>
          <w:iCs/>
        </w:rPr>
        <w:t xml:space="preserve">reported </w:t>
      </w:r>
      <w:r w:rsidR="00F20A87" w:rsidRPr="00455A3C">
        <w:rPr>
          <w:rFonts w:cstheme="minorHAnsi"/>
          <w:iCs/>
        </w:rPr>
        <w:t>pyrethroid resistance</w:t>
      </w:r>
      <w:r w:rsidR="00102EB1" w:rsidRPr="00455A3C">
        <w:rPr>
          <w:rFonts w:cstheme="minorHAnsi"/>
          <w:iCs/>
        </w:rPr>
        <w:t xml:space="preserve"> in </w:t>
      </w:r>
      <w:r w:rsidR="000A7B79" w:rsidRPr="00455A3C">
        <w:rPr>
          <w:rFonts w:cstheme="minorHAnsi"/>
          <w:iCs/>
        </w:rPr>
        <w:t>predict</w:t>
      </w:r>
      <w:r w:rsidR="000E0DD5" w:rsidRPr="00455A3C">
        <w:rPr>
          <w:rFonts w:cstheme="minorHAnsi"/>
          <w:iCs/>
        </w:rPr>
        <w:t>ions of</w:t>
      </w:r>
      <w:r w:rsidR="000A7B79" w:rsidRPr="00455A3C">
        <w:rPr>
          <w:rFonts w:cstheme="minorHAnsi"/>
          <w:iCs/>
        </w:rPr>
        <w:t xml:space="preserve"> the impact of </w:t>
      </w:r>
      <w:r w:rsidR="00AA61DD" w:rsidRPr="00455A3C">
        <w:rPr>
          <w:rFonts w:cstheme="minorHAnsi"/>
          <w:iCs/>
        </w:rPr>
        <w:t>ITNs</w:t>
      </w:r>
      <w:r w:rsidR="000A7B79" w:rsidRPr="00455A3C">
        <w:rPr>
          <w:rFonts w:cstheme="minorHAnsi"/>
          <w:iCs/>
        </w:rPr>
        <w:t xml:space="preserve"> on </w:t>
      </w:r>
      <w:r w:rsidR="00102EB1" w:rsidRPr="00455A3C">
        <w:rPr>
          <w:rFonts w:cstheme="minorHAnsi"/>
          <w:iCs/>
        </w:rPr>
        <w:t>morbidity and mortality indicators</w:t>
      </w:r>
      <w:r w:rsidR="0098170F" w:rsidRPr="00455A3C">
        <w:rPr>
          <w:rFonts w:cstheme="minorHAnsi"/>
          <w:iCs/>
        </w:rPr>
        <w:t xml:space="preserve"> at the LGA-level</w:t>
      </w:r>
      <w:r w:rsidR="00EE3C3F" w:rsidRPr="00455A3C">
        <w:rPr>
          <w:rFonts w:cstheme="minorHAnsi"/>
          <w:iCs/>
        </w:rPr>
        <w:t xml:space="preserve"> </w:t>
      </w:r>
      <w:r w:rsidR="00EE3C3F" w:rsidRPr="00C0372B">
        <w:rPr>
          <w:rFonts w:cstheme="minorHAnsi"/>
          <w:iCs/>
        </w:rPr>
        <w:fldChar w:fldCharType="begin" w:fldLock="1"/>
      </w:r>
      <w:r w:rsidR="00C72B9D">
        <w:rPr>
          <w:rFonts w:cstheme="minorHAnsi"/>
          <w:iCs/>
        </w:rPr>
        <w:instrText>ADDIN CSL_CITATION {"citationItems":[{"id":"ITEM-1","itemData":{"ISBN":"9789241511711","ISSN":"0311-4546","PMID":"9375913","abstract":"The World Malaria Report 2016 summarizes information received from malaria-endemic countries and other sources, and updates the analyses presented in the 2015 report. The World Malaria Report is WHO’s flagship malaria publication, released each year in December. It assesses global and regional malaria trends, highlights progress towards global targets, and describes opportunities and challenges in controlling and eliminating the disease. Most of the data presented in this report is for 2015.","author":[{"dropping-particle":"","family":"World Health Organization","given":"","non-dropping-particle":"","parse-names":false,"suffix":""}],"id":"ITEM-1","issued":{"date-parts":[["2017"]]},"publisher-place":"Geneva","title":"World Malaria Report 2017","type":"report"},"uris":["http://www.mendeley.com/documents/?uuid=d2ff0e6e-a253-4bb9-98f9-922be831b892","http://www.mendeley.com/documents/?uuid=e31cb378-defa-4698-a694-49a882ea49df"]}],"mendeley":{"formattedCitation":"[10]","plainTextFormattedCitation":"[10]","previouslyFormattedCitation":"[10]"},"properties":{"noteIndex":0},"schema":"https://github.com/citation-style-language/schema/raw/master/csl-citation.json"}</w:instrText>
      </w:r>
      <w:r w:rsidR="00EE3C3F" w:rsidRPr="00C0372B">
        <w:rPr>
          <w:rFonts w:cstheme="minorHAnsi"/>
          <w:iCs/>
        </w:rPr>
        <w:fldChar w:fldCharType="separate"/>
      </w:r>
      <w:r w:rsidR="00D540A2" w:rsidRPr="00D540A2">
        <w:rPr>
          <w:rFonts w:cstheme="minorHAnsi"/>
          <w:iCs/>
          <w:noProof/>
        </w:rPr>
        <w:t>[10]</w:t>
      </w:r>
      <w:r w:rsidR="00EE3C3F" w:rsidRPr="00C0372B">
        <w:rPr>
          <w:rFonts w:cstheme="minorHAnsi"/>
          <w:iCs/>
        </w:rPr>
        <w:fldChar w:fldCharType="end"/>
      </w:r>
      <w:r w:rsidR="00102EB1" w:rsidRPr="00455A3C">
        <w:rPr>
          <w:rFonts w:cstheme="minorHAnsi"/>
          <w:iCs/>
        </w:rPr>
        <w:t xml:space="preserve">. </w:t>
      </w:r>
      <w:r w:rsidR="00D83515" w:rsidRPr="00455A3C">
        <w:rPr>
          <w:rFonts w:cstheme="minorHAnsi"/>
          <w:iCs/>
        </w:rPr>
        <w:t xml:space="preserve">Widespread </w:t>
      </w:r>
      <w:r w:rsidR="00D83515" w:rsidRPr="00455A3C">
        <w:rPr>
          <w:rFonts w:cstheme="minorHAnsi"/>
          <w:i/>
          <w:iCs/>
        </w:rPr>
        <w:t>A. gambiae</w:t>
      </w:r>
      <w:r w:rsidR="00D83515" w:rsidRPr="00455A3C">
        <w:rPr>
          <w:rFonts w:cstheme="minorHAnsi"/>
          <w:iCs/>
        </w:rPr>
        <w:t xml:space="preserve"> complex resistance to 4 pyrethroids – deltamethrin, permethrin, </w:t>
      </w:r>
      <w:r w:rsidR="00E93D1F" w:rsidRPr="00455A3C">
        <w:rPr>
          <w:rFonts w:cstheme="minorHAnsi"/>
          <w:iCs/>
        </w:rPr>
        <w:t>λ-cyhalothrin, α-cypermethrin – has been observed in West and East Africa from 20</w:t>
      </w:r>
      <w:r w:rsidR="00E4453B" w:rsidRPr="00455A3C">
        <w:rPr>
          <w:rFonts w:cstheme="minorHAnsi"/>
          <w:iCs/>
        </w:rPr>
        <w:t>05</w:t>
      </w:r>
      <w:r w:rsidR="00E93D1F" w:rsidRPr="00455A3C">
        <w:rPr>
          <w:rFonts w:cstheme="minorHAnsi"/>
          <w:iCs/>
        </w:rPr>
        <w:t xml:space="preserve"> – 2017</w:t>
      </w:r>
      <w:r w:rsidRPr="00455A3C">
        <w:rPr>
          <w:rFonts w:cstheme="minorHAnsi"/>
          <w:iCs/>
        </w:rPr>
        <w:t xml:space="preserve"> </w:t>
      </w:r>
      <w:r w:rsidRPr="00C0372B">
        <w:rPr>
          <w:rFonts w:cstheme="minorHAnsi"/>
          <w:iCs/>
        </w:rPr>
        <w:fldChar w:fldCharType="begin" w:fldLock="1"/>
      </w:r>
      <w:r w:rsidR="00C72B9D">
        <w:rPr>
          <w:rFonts w:cstheme="minorHAnsi"/>
          <w:iCs/>
        </w:rPr>
        <w:instrText>ADDIN CSL_CITATION {"citationItems":[{"id":"ITEM-1","itemData":{"DOI":"10.1371/journal.pbio.3000633","ISSN":"15457885","PMID":"32584814","abstract":"Mitigating the threat of insecticide resistance in African malaria vector populations requires comprehensive information about where resistance occurs, to what degree, and how this has changed over time. Estimating these trends is complicated by the sparse, heterogeneous distribution of observations of resistance phenotypes in field populations. We use 6,423 observations of the prevalence of resistance to the most important vector control insecticides to inform a Bayesian geostatistical ensemble modelling approach, generating fine-scale predictive maps of resistance phenotypes in mosquitoes from the Anopheles gambiae complex across Africa. Our models are informed by a suite of 111 predictor variables describing potential drivers of selection for resistance. Our maps show alarming increases in the prevalence of resistance to pyrethroids and DDT across sub-Saharan Africa from 2005 to 2017, with mean mortality following insecticide exposure declining from almost 100% to less than 30% in some areas, as well as substantial spatial variation in resistance trends.","author":[{"dropping-particle":"","family":"Hancock","given":"Penelope A.","non-dropping-particle":"","parse-names":false,"suffix":""},{"dropping-particle":"","family":"Hendriks","given":"Chantal J.M.","non-dropping-particle":"","parse-names":false,"suffix":""},{"dropping-particle":"","family":"Tangena","given":"Julie Anne","non-dropping-particle":"","parse-names":false,"suffix":""},{"dropping-particle":"","family":"Gibson","given":"Harry","non-dropping-particle":"","parse-names":false,"suffix":""},{"dropping-particle":"","family":"Hemingway","given":"Janet","non-dropping-particle":"","parse-names":false,"suffix":""},{"dropping-particle":"","family":"Coleman","given":"Michael","non-dropping-particle":"","parse-names":false,"suffix":""},{"dropping-particle":"","family":"Gething","given":"Peter W.","non-dropping-particle":"","parse-names":false,"suffix":""},{"dropping-particle":"","family":"Cameron","given":"Ewan","non-dropping-particle":"","parse-names":false,"suffix":""},{"dropping-particle":"","family":"Bhatt","given":"Samir","non-dropping-particle":"","parse-names":false,"suffix":""},{"dropping-particle":"","family":"Moyes","given":"Catherine L.","non-dropping-particle":"","parse-names":false,"suffix":""}],"container-title":"PLoS Biology","id":"ITEM-1","issue":"6","issued":{"date-parts":[["2020","6","1"]]},"page":"e3000633","publisher":"Public Library of Science","title":"Mapping trends in insecticide resistance phenotypes in African malaria vectors","type":"article-journal","volume":"18"},"uris":["http://www.mendeley.com/documents/?uuid=050fd5d4-efb9-3724-b6cf-d6a59f667545","http://www.mendeley.com/documents/?uuid=491703a2-18fe-4c41-803e-6dc1dfeef4e4"]}],"mendeley":{"formattedCitation":"[11]","plainTextFormattedCitation":"[11]","previouslyFormattedCitation":"[11]"},"properties":{"noteIndex":0},"schema":"https://github.com/citation-style-language/schema/raw/master/csl-citation.json"}</w:instrText>
      </w:r>
      <w:r w:rsidRPr="00C0372B">
        <w:rPr>
          <w:rFonts w:cstheme="minorHAnsi"/>
          <w:iCs/>
        </w:rPr>
        <w:fldChar w:fldCharType="separate"/>
      </w:r>
      <w:r w:rsidR="00D540A2" w:rsidRPr="00D540A2">
        <w:rPr>
          <w:rFonts w:cstheme="minorHAnsi"/>
          <w:iCs/>
          <w:noProof/>
        </w:rPr>
        <w:t>[11]</w:t>
      </w:r>
      <w:r w:rsidRPr="00C0372B">
        <w:rPr>
          <w:rFonts w:cstheme="minorHAnsi"/>
          <w:iCs/>
        </w:rPr>
        <w:fldChar w:fldCharType="end"/>
      </w:r>
      <w:r w:rsidR="00E93D1F" w:rsidRPr="00455A3C">
        <w:rPr>
          <w:rFonts w:cstheme="minorHAnsi"/>
          <w:iCs/>
        </w:rPr>
        <w:t xml:space="preserve">. </w:t>
      </w:r>
      <w:r w:rsidR="00056F54" w:rsidRPr="00455A3C">
        <w:rPr>
          <w:rFonts w:cstheme="minorHAnsi"/>
          <w:iCs/>
        </w:rPr>
        <w:t>Previous param</w:t>
      </w:r>
      <w:r w:rsidR="00230254" w:rsidRPr="00455A3C">
        <w:rPr>
          <w:rFonts w:cstheme="minorHAnsi"/>
          <w:iCs/>
        </w:rPr>
        <w:t>eterization of ITN efficacy</w:t>
      </w:r>
      <w:r w:rsidR="005F4BC5" w:rsidRPr="00455A3C">
        <w:rPr>
          <w:rFonts w:cstheme="minorHAnsi"/>
          <w:iCs/>
        </w:rPr>
        <w:t xml:space="preserve"> </w:t>
      </w:r>
      <w:r w:rsidR="00E93D1F" w:rsidRPr="00455A3C">
        <w:rPr>
          <w:rFonts w:cstheme="minorHAnsi"/>
          <w:iCs/>
        </w:rPr>
        <w:t>did not account for resistance</w:t>
      </w:r>
      <w:r w:rsidR="00230254" w:rsidRPr="00455A3C">
        <w:rPr>
          <w:rFonts w:cstheme="minorHAnsi"/>
          <w:iCs/>
        </w:rPr>
        <w:t xml:space="preserve"> </w:t>
      </w:r>
      <w:r w:rsidRPr="00455A3C">
        <w:rPr>
          <w:rFonts w:cstheme="minorHAnsi"/>
          <w:iCs/>
        </w:rPr>
        <w:t xml:space="preserve">and </w:t>
      </w:r>
      <w:r w:rsidR="00230254" w:rsidRPr="00455A3C">
        <w:rPr>
          <w:rFonts w:cstheme="minorHAnsi"/>
          <w:iCs/>
        </w:rPr>
        <w:t xml:space="preserve">was based on </w:t>
      </w:r>
      <w:r w:rsidR="00C32681">
        <w:rPr>
          <w:rFonts w:cstheme="minorHAnsi"/>
          <w:iCs/>
        </w:rPr>
        <w:t>calibration</w:t>
      </w:r>
      <w:r w:rsidR="00230254" w:rsidRPr="00455A3C">
        <w:rPr>
          <w:rFonts w:cstheme="minorHAnsi"/>
          <w:iCs/>
        </w:rPr>
        <w:t xml:space="preserve"> to incidence reduction in </w:t>
      </w:r>
      <w:r w:rsidRPr="00455A3C">
        <w:rPr>
          <w:rFonts w:cstheme="minorHAnsi"/>
          <w:iCs/>
        </w:rPr>
        <w:t>older</w:t>
      </w:r>
      <w:r w:rsidR="00207611">
        <w:rPr>
          <w:rFonts w:cstheme="minorHAnsi"/>
          <w:iCs/>
        </w:rPr>
        <w:t xml:space="preserve"> ITN</w:t>
      </w:r>
      <w:r w:rsidRPr="00455A3C">
        <w:rPr>
          <w:rFonts w:cstheme="minorHAnsi"/>
          <w:iCs/>
        </w:rPr>
        <w:t xml:space="preserve"> </w:t>
      </w:r>
      <w:r w:rsidR="00230254" w:rsidRPr="00455A3C">
        <w:rPr>
          <w:rFonts w:cstheme="minorHAnsi"/>
          <w:iCs/>
        </w:rPr>
        <w:t>clinical trials</w:t>
      </w:r>
      <w:r w:rsidR="00D83515" w:rsidRPr="00455A3C">
        <w:rPr>
          <w:rFonts w:cstheme="minorHAnsi"/>
          <w:iCs/>
        </w:rPr>
        <w:t xml:space="preserve"> </w:t>
      </w:r>
      <w:r w:rsidR="00D83515" w:rsidRPr="00C0372B">
        <w:rPr>
          <w:rFonts w:cstheme="minorHAnsi"/>
          <w:iCs/>
        </w:rPr>
        <w:fldChar w:fldCharType="begin" w:fldLock="1"/>
      </w:r>
      <w:r w:rsidR="00C72B9D">
        <w:rPr>
          <w:rFonts w:cstheme="minorHAnsi"/>
          <w:iCs/>
        </w:rPr>
        <w:instrText>ADDIN CSL_CITATION {"citationItems":[{"id":"ITEM-1","itemData":{"DOI":"10.4269/ajtmh.12-0007","ISSN":"00029637","PMID":"23589530","abstract":"A model for Anopheles population dynamics and malaria transmission is combined with a within-host dynamics microsolver to study baseline transmission, the effects of seasonality, and the impact of interventions. The Garki Project is recreated in simulation of the pre-intervention baseline and the different combinations of interventions deployed. Modifications are introduced, and longer project duration, extension of dry-season spraying, and transmission-blocking vaccines together achieve local elimination in some conditions. A variety of interventions are simulated in transmission settings that vary in transmission intensity and underlying seasonality. Adding vaccines to existing vector control efforts extends the ability to achieve elimination to higher baseline transmission and less favorable vector behavior. If one species of the Anopheles gambiae species complex feeds disproportionately outdoors for a given complex average behavior, vector control impacts are less than for a single species. Non-zero dry-season transmission limits seasonal oscillation in parasite dynamics and impact of wet-season interventions. Copyright © 2013 by The American Society of Tropical Medicine and Hygiene.","author":[{"dropping-particle":"","family":"Eckhoff","given":"Philip","non-dropping-particle":"","parse-names":false,"suffix":""}],"container-title":"American Journal of Tropical Medicine and Hygiene","id":"ITEM-1","issue":"5","issued":{"date-parts":[["2013","5"]]},"page":"817-827","publisher":"The American Society of Tropical Medicine and Hygiene","title":"Mathematical models of within-host and transmission dynamics to determine effects of malaria interventions in a variety of transmission settings","type":"article-journal","volume":"88"},"uris":["http://www.mendeley.com/documents/?uuid=693dd8c3-892a-35fb-a145-aacd8c7af1c0"]},{"id":"ITEM-2","itemData":{"DOI":"10.1002/14651858.cd000363.pub2","ISSN":"1469-493X","PMID":"10796535","abstract":"Malaria is an important cause of illness and death in many parts of the world, especially in sub-Saharan Africa. There has been a renewed emphasis on preventive measures at community and individual levels. Insecticide-treated nets (ITNs) are the most prominent malaria preventive measure for large-scale deployment in highly endemic areas.","author":[{"dropping-particle":"","family":"Lengeler","given":"Christian","non-dropping-particle":"","parse-names":false,"suffix":""}],"container-title":"Cochrane Database of Systematic Reviews","id":"ITEM-2","issue":"2","issued":{"date-parts":[["2004","4","19"]]},"publisher":"Wiley","title":"Insecticide-treated bed nets and curtains for preventing malaria","type":"article-journal"},"uris":["http://www.mendeley.com/documents/?uuid=8f821eb4-1e1b-3c7d-b2c0-769c3319a352","http://www.mendeley.com/documents/?uuid=d3ddd962-45c1-48e6-a504-4bc010557835"]}],"mendeley":{"formattedCitation":"[12,13]","plainTextFormattedCitation":"[12,13]","previouslyFormattedCitation":"[12,13]"},"properties":{"noteIndex":0},"schema":"https://github.com/citation-style-language/schema/raw/master/csl-citation.json"}</w:instrText>
      </w:r>
      <w:r w:rsidR="00D83515" w:rsidRPr="00C0372B">
        <w:rPr>
          <w:rFonts w:cstheme="minorHAnsi"/>
          <w:iCs/>
        </w:rPr>
        <w:fldChar w:fldCharType="separate"/>
      </w:r>
      <w:r w:rsidR="00D540A2" w:rsidRPr="00D540A2">
        <w:rPr>
          <w:rFonts w:cstheme="minorHAnsi"/>
          <w:iCs/>
          <w:noProof/>
        </w:rPr>
        <w:t>[12,13]</w:t>
      </w:r>
      <w:r w:rsidR="00D83515" w:rsidRPr="00C0372B">
        <w:rPr>
          <w:rFonts w:cstheme="minorHAnsi"/>
          <w:iCs/>
        </w:rPr>
        <w:fldChar w:fldCharType="end"/>
      </w:r>
      <w:r w:rsidR="00230254" w:rsidRPr="00455A3C">
        <w:rPr>
          <w:rFonts w:cstheme="minorHAnsi"/>
          <w:iCs/>
        </w:rPr>
        <w:t xml:space="preserve">. </w:t>
      </w:r>
    </w:p>
    <w:p w14:paraId="4775225C" w14:textId="603C4998" w:rsidR="00DD2BAE" w:rsidRDefault="00DD2BAE" w:rsidP="005354EA">
      <w:pPr>
        <w:spacing w:after="0" w:line="276" w:lineRule="auto"/>
        <w:contextualSpacing/>
        <w:rPr>
          <w:rFonts w:cstheme="minorHAnsi"/>
          <w:iCs/>
          <w:u w:val="single"/>
        </w:rPr>
      </w:pPr>
    </w:p>
    <w:p w14:paraId="03E036D8" w14:textId="19BA0213" w:rsidR="009516B0" w:rsidRDefault="009516B0" w:rsidP="005354EA">
      <w:pPr>
        <w:spacing w:after="0" w:line="276" w:lineRule="auto"/>
        <w:contextualSpacing/>
        <w:rPr>
          <w:rFonts w:cstheme="minorHAnsi"/>
          <w:iCs/>
          <w:u w:val="single"/>
        </w:rPr>
      </w:pPr>
    </w:p>
    <w:p w14:paraId="0FEE59B6" w14:textId="77777777" w:rsidR="009516B0" w:rsidRPr="00455A3C" w:rsidRDefault="009516B0" w:rsidP="005354EA">
      <w:pPr>
        <w:spacing w:after="0" w:line="276" w:lineRule="auto"/>
        <w:contextualSpacing/>
        <w:rPr>
          <w:rFonts w:cstheme="minorHAnsi"/>
          <w:iCs/>
          <w:u w:val="single"/>
        </w:rPr>
      </w:pPr>
    </w:p>
    <w:p w14:paraId="2928A8EF" w14:textId="77777777" w:rsidR="006D391E" w:rsidRPr="00455A3C" w:rsidRDefault="006D391E" w:rsidP="005354EA">
      <w:pPr>
        <w:pStyle w:val="Heading2"/>
        <w:spacing w:line="276" w:lineRule="auto"/>
        <w:rPr>
          <w:rFonts w:asciiTheme="minorHAnsi" w:hAnsiTheme="minorHAnsi" w:cstheme="minorHAnsi"/>
          <w:sz w:val="22"/>
          <w:szCs w:val="22"/>
        </w:rPr>
      </w:pPr>
      <w:bookmarkStart w:id="4" w:name="_Toc77757577"/>
      <w:r w:rsidRPr="00455A3C">
        <w:rPr>
          <w:rFonts w:asciiTheme="minorHAnsi" w:hAnsiTheme="minorHAnsi" w:cstheme="minorHAnsi"/>
          <w:sz w:val="22"/>
          <w:szCs w:val="22"/>
        </w:rPr>
        <w:lastRenderedPageBreak/>
        <w:t>ITN blocking rate</w:t>
      </w:r>
      <w:bookmarkEnd w:id="4"/>
      <w:r w:rsidRPr="00455A3C">
        <w:rPr>
          <w:rFonts w:asciiTheme="minorHAnsi" w:hAnsiTheme="minorHAnsi" w:cstheme="minorHAnsi"/>
          <w:sz w:val="22"/>
          <w:szCs w:val="22"/>
        </w:rPr>
        <w:t xml:space="preserve"> </w:t>
      </w:r>
    </w:p>
    <w:p w14:paraId="28C07E4E" w14:textId="1DABB338" w:rsidR="00E7669F" w:rsidRPr="00455A3C" w:rsidRDefault="004D50F1" w:rsidP="005354EA">
      <w:pPr>
        <w:spacing w:after="0" w:line="276" w:lineRule="auto"/>
        <w:contextualSpacing/>
        <w:rPr>
          <w:rFonts w:eastAsia="Times New Roman" w:cstheme="minorHAnsi"/>
          <w:color w:val="000000"/>
        </w:rPr>
      </w:pPr>
      <w:r w:rsidRPr="00455A3C">
        <w:rPr>
          <w:rFonts w:eastAsia="Times New Roman" w:cstheme="minorHAnsi"/>
          <w:color w:val="000000"/>
        </w:rPr>
        <w:t xml:space="preserve">In EMOD, the blocking rate is the probability that an ITN successfully blocks a blood-feeding attempt by a mosquito. </w:t>
      </w:r>
      <w:r w:rsidR="006D391E" w:rsidRPr="00455A3C">
        <w:rPr>
          <w:rFonts w:eastAsia="Times New Roman" w:cstheme="minorHAnsi"/>
          <w:color w:val="000000"/>
        </w:rPr>
        <w:t xml:space="preserve">ITN blocking rate was </w:t>
      </w:r>
      <w:r w:rsidR="00E7669F" w:rsidRPr="00455A3C">
        <w:rPr>
          <w:rFonts w:eastAsia="Times New Roman" w:cstheme="minorHAnsi"/>
          <w:color w:val="000000"/>
        </w:rPr>
        <w:t xml:space="preserve">estimated using the following equation: </w:t>
      </w:r>
    </w:p>
    <w:p w14:paraId="663A3ECF" w14:textId="64D081BC" w:rsidR="006D391E" w:rsidRPr="00455A3C" w:rsidRDefault="008C243F" w:rsidP="005354EA">
      <w:pPr>
        <w:spacing w:after="0" w:line="276" w:lineRule="auto"/>
        <w:contextualSpacing/>
        <w:rPr>
          <w:rFonts w:eastAsia="Times New Roman" w:cstheme="minorHAnsi"/>
          <w:color w:val="000000"/>
        </w:rPr>
      </w:pPr>
      <m:oMathPara>
        <m:oMath>
          <m:r>
            <w:rPr>
              <w:rFonts w:ascii="Cambria Math" w:eastAsia="Times New Roman" w:hAnsi="Cambria Math" w:cstheme="minorHAnsi"/>
              <w:color w:val="000000"/>
            </w:rPr>
            <m:t xml:space="preserve">Blocking rate=  1- </m:t>
          </m:r>
          <m:f>
            <m:fPr>
              <m:type m:val="skw"/>
              <m:ctrlPr>
                <w:rPr>
                  <w:rFonts w:ascii="Cambria Math" w:eastAsia="Times New Roman" w:hAnsi="Cambria Math" w:cstheme="minorHAnsi"/>
                  <w:i/>
                  <w:color w:val="000000"/>
                </w:rPr>
              </m:ctrlPr>
            </m:fPr>
            <m:num>
              <m:r>
                <w:rPr>
                  <w:rFonts w:ascii="Cambria Math" w:eastAsia="Times New Roman" w:hAnsi="Cambria Math" w:cstheme="minorHAnsi"/>
                  <w:color w:val="000000"/>
                </w:rPr>
                <m:t>x</m:t>
              </m:r>
            </m:num>
            <m:den>
              <m:r>
                <w:rPr>
                  <w:rFonts w:ascii="Cambria Math" w:eastAsia="Times New Roman" w:hAnsi="Cambria Math" w:cstheme="minorHAnsi"/>
                  <w:color w:val="000000"/>
                </w:rPr>
                <m:t>0.81</m:t>
              </m:r>
            </m:den>
          </m:f>
        </m:oMath>
      </m:oMathPara>
    </w:p>
    <w:p w14:paraId="6011E438" w14:textId="37C45A65" w:rsidR="00E7669F" w:rsidRPr="00455A3C" w:rsidRDefault="00A30A97" w:rsidP="005354EA">
      <w:pPr>
        <w:spacing w:after="0" w:line="276" w:lineRule="auto"/>
        <w:contextualSpacing/>
        <w:rPr>
          <w:rFonts w:cstheme="minorHAnsi"/>
          <w:iCs/>
        </w:rPr>
      </w:pPr>
      <w:r>
        <w:rPr>
          <w:rFonts w:cstheme="minorHAnsi"/>
          <w:iCs/>
        </w:rPr>
        <w:t>w</w:t>
      </w:r>
      <w:r w:rsidRPr="00455A3C">
        <w:rPr>
          <w:rFonts w:cstheme="minorHAnsi"/>
          <w:iCs/>
        </w:rPr>
        <w:t xml:space="preserve">here </w:t>
      </w:r>
      <m:oMath>
        <m:r>
          <w:rPr>
            <w:rFonts w:ascii="Cambria Math" w:hAnsi="Cambria Math" w:cstheme="minorHAnsi"/>
          </w:rPr>
          <m:t xml:space="preserve">x </m:t>
        </m:r>
      </m:oMath>
      <w:r w:rsidR="00545916" w:rsidRPr="00455A3C">
        <w:rPr>
          <w:rFonts w:cstheme="minorHAnsi"/>
          <w:iCs/>
        </w:rPr>
        <w:t xml:space="preserve"> is the blood-feeding </w:t>
      </w:r>
      <w:r w:rsidR="008C243F" w:rsidRPr="00455A3C">
        <w:rPr>
          <w:rFonts w:cstheme="minorHAnsi"/>
          <w:iCs/>
        </w:rPr>
        <w:t xml:space="preserve">rate for </w:t>
      </w:r>
      <w:r w:rsidR="00545916" w:rsidRPr="00455A3C">
        <w:rPr>
          <w:rFonts w:cstheme="minorHAnsi"/>
          <w:iCs/>
        </w:rPr>
        <w:t xml:space="preserve">a treated net </w:t>
      </w:r>
      <w:r w:rsidR="008C243F" w:rsidRPr="00455A3C">
        <w:rPr>
          <w:rFonts w:cstheme="minorHAnsi"/>
          <w:iCs/>
        </w:rPr>
        <w:t>and 0.81 is the blood-feeding rate for an</w:t>
      </w:r>
      <w:r w:rsidR="00545916" w:rsidRPr="00455A3C">
        <w:rPr>
          <w:rFonts w:cstheme="minorHAnsi"/>
          <w:iCs/>
        </w:rPr>
        <w:t xml:space="preserve"> untreated net</w:t>
      </w:r>
      <w:r w:rsidR="00F41480">
        <w:rPr>
          <w:rFonts w:cstheme="minorHAnsi"/>
          <w:iCs/>
        </w:rPr>
        <w:t xml:space="preserve"> with 6 holes</w:t>
      </w:r>
      <w:r w:rsidR="00DD22A0" w:rsidRPr="00455A3C">
        <w:rPr>
          <w:rFonts w:cstheme="minorHAnsi"/>
          <w:iCs/>
        </w:rPr>
        <w:t xml:space="preserve"> </w:t>
      </w:r>
      <w:r w:rsidR="00DD22A0" w:rsidRPr="00455A3C">
        <w:rPr>
          <w:rFonts w:cstheme="minorHAnsi"/>
          <w:iCs/>
        </w:rPr>
        <w:fldChar w:fldCharType="begin" w:fldLock="1"/>
      </w:r>
      <w:r w:rsidR="00C72B9D">
        <w:rPr>
          <w:rFonts w:cstheme="minorHAnsi"/>
          <w:iCs/>
        </w:rPr>
        <w:instrText>ADDIN CSL_CITATION {"citationItems":[{"id":"ITEM-1","itemData":{"DOI":"10.1371/journal.pone.0083897","ISSN":"19326203","PMID":"24409286","abstract":"Background: New approaches to delivering insecticides need to be developed to improve malaria vector control. Insecticidal durable wall lining (DL) and net wall hangings (NWH) are novel alternatives to indoor residual spraying which can be produced in a long-lasting format. Non-pyrethroid versions could be used in combination with long-lasting insecticidal nets for improved control and management of insecticide resistant vector populations. Methods: Experimental hut trials were carried out in Valley du Kou, Burkina Faso to evaluate the efficacy of pirimiphos methyl treated DL and NWH either alone or in combination with LLINs against pyrethroid resistant Anopheles gambiae ss. Comparison was made with pyrethroid DL. Mosquitoes were genotyped for kdr and ace-1R resistant genes to investigate the insecticide resistance management potential of the combination. Results: The overall kdr and ace-1R allele frequencies were 0.95 and 0.01 respectively. Mortality with p-methyl DL and NWH alone was higher than with pyrethroid DL alone (&gt;95% vs 40%; P&lt;0.001). Combining pyrethroid DL with LLINs did not show improvement in mortality (48%) compared to the LLIN alone (44%) (P&gt;0.1). Combining p-methyl DL or NWH with LLINs reduced biting rates significantly (8-9%) compared to p-methyl DL and NWH alone (&gt;40%) and killed all An gambiae that entered the huts. Mosquitoes bearing the ace-1R gene were more likely to survive in huts with p-methyl DL alone (p&lt;0.03) whereas all resistant and susceptible genotypes were killed by the combination. Conclusion: P-methyl DL and NWH outperformed pyrethroid DL. Combining p-methyl DL and NWH with LLINs could provide significant epidemiological benefits against a vector population which is resistant to pyrethroids but susceptible to organophosphates. There was evidence that the single intervention would select kdr and ace-1R resistance genes and the combination intervention might select less strongly. Technology to bind organophosphates to plastic wall lining would be worth developing. © 2014 Ngufor et al.","author":[{"dropping-particle":"","family":"Ngufor","given":"Corine","non-dropping-particle":"","parse-names":false,"suffix":""},{"dropping-particle":"","family":"Tchicaya","given":"Emile","non-dropping-particle":"","parse-names":false,"suffix":""},{"dropping-particle":"","family":"Koudou","given":"Benjamin","non-dropping-particle":"","parse-names":false,"suffix":""},{"dropping-particle":"","family":"N'Fale","given":"Sagnon","non-dropping-particle":"","parse-names":false,"suffix":""},{"dropping-particle":"","family":"Dabire","given":"Roch","non-dropping-particle":"","parse-names":false,"suffix":""},{"dropping-particle":"","family":"Johnson","given":"Paul","non-dropping-particle":"","parse-names":false,"suffix":""},{"dropping-particle":"","family":"Ranson","given":"Hilary","non-dropping-particle":"","parse-names":false,"suffix":""},{"dropping-particle":"","family":"Rowland","given":"Mark","non-dropping-particle":"","parse-names":false,"suffix":""}],"container-title":"PLoS ONE","id":"ITEM-1","issue":"1","issued":{"date-parts":[["2014","1","7"]]},"publisher":"Public Library of Science","title":"Combining organophosphate treated wall linings and long-lasting insecticidal nets for improved control of pyrethroid resistant Anopheles gambiae","type":"article-journal","volume":"9"},"uris":["http://www.mendeley.com/documents/?uuid=0f0c7f38-129a-3db7-b9bb-d19756ccd401"]}],"mendeley":{"formattedCitation":"[14]","plainTextFormattedCitation":"[14]","previouslyFormattedCitation":"[14]"},"properties":{"noteIndex":0},"schema":"https://github.com/citation-style-language/schema/raw/master/csl-citation.json"}</w:instrText>
      </w:r>
      <w:r w:rsidR="00DD22A0" w:rsidRPr="00455A3C">
        <w:rPr>
          <w:rFonts w:cstheme="minorHAnsi"/>
          <w:iCs/>
        </w:rPr>
        <w:fldChar w:fldCharType="separate"/>
      </w:r>
      <w:r w:rsidR="00D540A2" w:rsidRPr="00D540A2">
        <w:rPr>
          <w:rFonts w:cstheme="minorHAnsi"/>
          <w:iCs/>
          <w:noProof/>
        </w:rPr>
        <w:t>[14]</w:t>
      </w:r>
      <w:r w:rsidR="00DD22A0" w:rsidRPr="00455A3C">
        <w:rPr>
          <w:rFonts w:cstheme="minorHAnsi"/>
          <w:iCs/>
        </w:rPr>
        <w:fldChar w:fldCharType="end"/>
      </w:r>
      <w:r w:rsidR="003A1FC5" w:rsidRPr="00455A3C">
        <w:rPr>
          <w:rFonts w:cstheme="minorHAnsi"/>
          <w:iCs/>
        </w:rPr>
        <w:t>, which was assumed to approximate a lack of net</w:t>
      </w:r>
      <w:r w:rsidR="00545916" w:rsidRPr="00455A3C">
        <w:rPr>
          <w:rFonts w:cstheme="minorHAnsi"/>
          <w:iCs/>
        </w:rPr>
        <w:t>. The b</w:t>
      </w:r>
      <w:r w:rsidR="00E7669F" w:rsidRPr="00455A3C">
        <w:rPr>
          <w:rFonts w:cstheme="minorHAnsi"/>
          <w:iCs/>
        </w:rPr>
        <w:t>lood</w:t>
      </w:r>
      <w:r w:rsidR="00545916" w:rsidRPr="00455A3C">
        <w:rPr>
          <w:rFonts w:cstheme="minorHAnsi"/>
          <w:iCs/>
        </w:rPr>
        <w:t>-</w:t>
      </w:r>
      <w:r w:rsidR="00E7669F" w:rsidRPr="00455A3C">
        <w:rPr>
          <w:rFonts w:cstheme="minorHAnsi"/>
          <w:iCs/>
        </w:rPr>
        <w:t xml:space="preserve">feeding rate </w:t>
      </w:r>
      <w:r w:rsidR="008C243F" w:rsidRPr="00455A3C">
        <w:rPr>
          <w:rFonts w:cstheme="minorHAnsi"/>
          <w:iCs/>
        </w:rPr>
        <w:t xml:space="preserve">for treated nets </w:t>
      </w:r>
      <w:r w:rsidR="00DF22F0" w:rsidRPr="00455A3C">
        <w:rPr>
          <w:rFonts w:cstheme="minorHAnsi"/>
          <w:iCs/>
        </w:rPr>
        <w:t>was</w:t>
      </w:r>
      <w:r w:rsidR="008C243F" w:rsidRPr="00455A3C">
        <w:rPr>
          <w:rFonts w:cstheme="minorHAnsi"/>
          <w:iCs/>
        </w:rPr>
        <w:t xml:space="preserve"> estimated </w:t>
      </w:r>
      <w:r w:rsidR="007A6AA2" w:rsidRPr="00455A3C">
        <w:rPr>
          <w:rFonts w:cstheme="minorHAnsi"/>
          <w:iCs/>
        </w:rPr>
        <w:t xml:space="preserve">as 0.38 </w:t>
      </w:r>
      <w:r w:rsidR="008C243F" w:rsidRPr="00455A3C">
        <w:rPr>
          <w:rFonts w:cstheme="minorHAnsi"/>
          <w:iCs/>
        </w:rPr>
        <w:t xml:space="preserve">through a literature review </w:t>
      </w:r>
      <w:r w:rsidR="008C243F" w:rsidRPr="00C0372B">
        <w:rPr>
          <w:rFonts w:cstheme="minorHAnsi"/>
          <w:iCs/>
        </w:rPr>
        <w:fldChar w:fldCharType="begin" w:fldLock="1"/>
      </w:r>
      <w:r w:rsidR="00C72B9D">
        <w:rPr>
          <w:rFonts w:cstheme="minorHAnsi"/>
          <w:iCs/>
        </w:rPr>
        <w:instrText>ADDIN CSL_CITATION {"citationItems":[{"id":"ITEM-1","itemData":{"ISSN":"09729062","PMID":"23428523","abstract":"Background &amp; objectives: Malaria prevention relies heavily on insecticide-treated bednets. Even though the benefits of bednets have been proven that in most of the studies carried out in Africa, their efficacy remains dependent on local conditions. In this study, under field conditions, we evaluated the efficacy of two LLINs (PermaNet® vs Interceptor®) and two bednet treatment kits (K-O TAB® vs Fendona 6SC®) against Anopheles gambiae s.l. Methods: Bednets were evaluated using experimental huts in the village of Pissy located in the Saponé health district of Burkina Faso. Treatments and sleepers were randomly rotated between huts. Results are expressed in terms of induced exophily, mortality after 24 h and blood-feeding inhibition. Results: A total of 1392 An. gambiae s.l. mosquitoes were collected during 120 nights in the experimental huts. The overall mortality rates were 85.4% (CL: 79.7-91.4) and 77.5% (CL: 56.9-97.3) for PermaNet® and Interceptor®, respectively. For the conventionally treated bednets, the mortality was 78.2% (CL: 63.13-96.7) with the Fendona 6SC®-treated nets and 75.5% (CL: 61.2-93) with the K-O TAB®-treated nets. The proportion of blood-fed mosquitoes was significantly higher in the untreated bednet arm than in the treated one, as well as for long-lasting nets than for conventionally treated nets. The entry rate did not vary significantly according to the bednet type, but the treated bednets increased the level of exophily by at least 43%. Conclusion: In the field, the Fendona 6SC® kit and the Interceptor bednets showed comparable efficacy to the already used K-O TAB® kit and PermaNet® bednets. These results could help National Malaria Program managers to formulate appropriate policy for effective vector control.","author":[{"dropping-particle":"","family":"Badolo","given":"Athanase","non-dropping-particle":"","parse-names":false,"suffix":""},{"dropping-particle":"","family":"Guelbeogo","given":"Wamdaogo M.","non-dropping-particle":"","parse-names":false,"suffix":""},{"dropping-particle":"","family":"Tiono","given":"Alfred B.","non-dropping-particle":"","parse-names":false,"suffix":""},{"dropping-particle":"","family":"Traoré","given":"Abdoulaye","non-dropping-particle":"","parse-names":false,"suffix":""},{"dropping-particle":"","family":"Sagnon","given":"N'Falé","non-dropping-particle":"","parse-names":false,"suffix":""},{"dropping-particle":"","family":"Sirima","given":"Sodiomon B.","non-dropping-particle":"","parse-names":false,"suffix":""}],"container-title":"Journal of Vector Borne Diseases","id":"ITEM-1","issued":{"date-parts":[["2012"]]},"title":"Experimental hut evaluation of Fendona 6SC®-treated bednets and interceptor® long-lasting nets against Anopheles gambiae s.l. in Burkina Faso","type":"article-journal"},"uris":["http://www.mendeley.com/documents/?uuid=372a3a0c-5bcc-4fc1-bda7-bc52f653db1f","http://www.mendeley.com/documents/?uuid=51df992e-a4e8-47fb-9b68-66cb3c69ceaf"]},{"id":"ITEM-2","itemData":{"DOI":"10.1111/mve.12316","ISSN":"13652915","PMID":"29998497","abstract":"Malaria control is dependent on the use of longlasting insecticidal nets (LLINs) containing pyrethroids. A new generation of LLINs containing both pyrethroids and the synergist piperonyl butoxide (PBO) has been developed in response to increasing pyrethroid resistance in African malaria vectors, but questions remain about the performance of these nets in areas where levels of pyrethroid resistance are very high. This study was conducted in two settings in southwest Burkina Faso, Vallée du Kou 5 and Tengrela, where Anopheles gambiae s.l. (Diptera: Culicidae) mortality rates in World Health Organization (WHO) discriminating dose assays were &lt; 14% for permethrin and &lt; 33% for deltamethrin. When mosquitoes were pre-exposed to PBO in WHO tube assays, mortality rates increased substantially but full susceptibility was not restored. Molecular characterization revealed high levels of kdr alleles and elevated levels of P450s previously implicated in pyrethroid resistance. In cone bioassays and experimental huts, PBO LLINs outperformed the pyrethroid-only equivalents from the same manufacturers. Blood feeding rates were 1.6–2.2-fold lower and mortality rates were 1.69–1.78-fold greater in huts with PBO LLINs vs. non-PBO LLINs. This study indicates that PBO LLINs provide greater personal and community-level protection than standard LLINs against highly pyrethroid-resistant mosquito populations.","author":[{"dropping-particle":"","family":"Toe","given":"K. H.","non-dropping-particle":"","parse-names":false,"suffix":""},{"dropping-particle":"","family":"Müller","given":"P.","non-dropping-particle":"","parse-names":false,"suffix":""},{"dropping-particle":"","family":"Badolo","given":"A.","non-dropping-particle":"","parse-names":false,"suffix":""},{"dropping-particle":"","family":"Traore","given":"A.","non-dropping-particle":"","parse-names":false,"suffix":""},{"dropping-particle":"","family":"Sagnon","given":"N.","non-dropping-particle":"","parse-names":false,"suffix":""},{"dropping-particle":"","family":"Dabiré","given":"R. K.","non-dropping-particle":"","parse-names":false,"suffix":""},{"dropping-particle":"","family":"Ranson","given":"H.","non-dropping-particle":"","parse-names":false,"suffix":""}],"container-title":"Medical and Veterinary Entomology","id":"ITEM-2","issued":{"date-parts":[["2018"]]},"title":"Do bednets including piperonyl butoxide offer additional protection against populations of Anopheles gambiae s.l. that are highly resistant to pyrethroids? An experimental hut evaluation in Burkina Fasov","type":"article-journal"},"uris":["http://www.mendeley.com/documents/?uuid=13c3ed7f-84ef-4231-9a75-e7a15a47dd41"]},{"id":"ITEM-3","itemData":{"DOI":"10.1186/s12936-017-1846-4","ISSN":"14752875","PMID":"28482891","abstract":"Background: Malaria vectors have acquired widespread resistance throughout sub-Saharan Africa to many of the currently used insecticides. Hence, there is an urgent need to develop alternative strategies including the development of new insecticides for effective management of insecticide resistance. To maintain progress against malaria, it is necessary to identify other residual insecticides for mosquito nets. In the present WHOPES phase II analogue study, the utility of chlorfenapyr, a pyrrole class insecticide mixed with alpha-cypermethrin on a long-lasting mosquito bed net was evaluated against Anopheles gambiae s.l. Methods: Bed nets treated with chlorfenapyr and alpha-cypermethrin and mixture of both compounds were tested for their efficacy on mosquitoes. Washed (20 times) and unwashed of each type of treated nets and were tested according to WHOPES guidelines. Efficacy of nets were expressed in terms of blood-feeding inhibition rate, deterrence, induced exophily and mortality rate. The evaluation was conducted in experimental huts of Vallée du Kou seven (VK7) in Burkina Faso (West Africa) following WHOPES phase II guidelines. In addition, a WHOPES phase I evaluation was also performed. Results: Mixture treated nets killed significantly (P &lt; 0.05) more mosquitoes than solo alpha-cypermethrin nets, unwashed and washed. Proportionally, this equated to mortalities of 78 and 76% (for mixture nets) compared to only 17 and 10% (for solo alpha-cypermethrin) to An. gambiae, respectively. In contrast mixture net proportions were not significantly (P &gt; 0.05) different from nets treated with chlorfenapyr 200 mg/m2 unwashed (86%). The washed and unwashed nets treated with the mixtures resulted in personal protection against An. gambiae s.l. biting 34 and 44%. In contrast the personal protection observed for washed and unwashed alpha-cypermethrin treated nets generated (14 and 24%), and chlorfenapyr solo treated net was rather low (22%). Conclusion: Among all nets trialled, the combination of chlorfenapyr and alpha-cypermethrin on bed nets provided better mortality in phase II after 20 washes. Results suggest that this combination could be a potential insecticide resistance management tool for preventing malaria transmission in areas compromised by the spread of pyrethroid resistance.","author":[{"dropping-particle":"","family":"Bayili","given":"Koama","non-dropping-particle":"","parse-names":false,"suffix":""},{"dropping-particle":"","family":"N’do","given":"Severin","non-dropping-particle":"","parse-names":false,"suffix":""},{"dropping-particle":"","family":"Namountougou","given":"Moussa","non-dropping-particle":"","parse-names":false,"suffix":""},{"dropping-particle":"","family":"Sanou","given":"Roger","non-dropping-particle":"","parse-names":false,"suffix":""},{"dropping-particle":"","family":"Ouattara","given":"Abdoulaye","non-dropping-particle":"","parse-names":false,"suffix":""},{"dropping-particle":"","family":"Dabiré","given":"Roch K.","non-dropping-particle":"","parse-names":false,"suffix":""},{"dropping-particle":"","family":"Ouédraogo","given":"Anicet G.","non-dropping-particle":"","parse-names":false,"suffix":""},{"dropping-particle":"","family":"Malone","given":"David","non-dropping-particle":"","parse-names":false,"suffix":""},{"dropping-particle":"","family":"Diabaté","given":"Abdoulaye","non-dropping-particle":"","parse-names":false,"suffix":""}],"container-title":"Malaria Journal","id":"ITEM-3","issued":{"date-parts":[["2017"]]},"title":"Evaluation of efficacy of Interceptor® G2, a long-lasting insecticide net coated with a mixture of chlorfenapyr and alpha-cypermethrin, against pyrethroid resistant Anopheles gambiae s.l. in Burkina Faso","type":"article-journal"},"uris":["http://www.mendeley.com/documents/?uuid=0178f86b-41b0-49e5-a7cd-27f669575a90"]}],"mendeley":{"formattedCitation":"[15–17]","plainTextFormattedCitation":"[15–17]","previouslyFormattedCitation":"[15–17]"},"properties":{"noteIndex":0},"schema":"https://github.com/citation-style-language/schema/raw/master/csl-citation.json"}</w:instrText>
      </w:r>
      <w:r w:rsidR="008C243F" w:rsidRPr="00C0372B">
        <w:rPr>
          <w:rFonts w:cstheme="minorHAnsi"/>
          <w:iCs/>
        </w:rPr>
        <w:fldChar w:fldCharType="separate"/>
      </w:r>
      <w:r w:rsidR="00D540A2" w:rsidRPr="00D540A2">
        <w:rPr>
          <w:rFonts w:cstheme="minorHAnsi"/>
          <w:iCs/>
          <w:noProof/>
        </w:rPr>
        <w:t>[15–17]</w:t>
      </w:r>
      <w:r w:rsidR="008C243F" w:rsidRPr="00C0372B">
        <w:rPr>
          <w:rFonts w:cstheme="minorHAnsi"/>
          <w:iCs/>
        </w:rPr>
        <w:fldChar w:fldCharType="end"/>
      </w:r>
      <w:r w:rsidR="004D50F1" w:rsidRPr="00455A3C">
        <w:rPr>
          <w:rFonts w:cstheme="minorHAnsi"/>
          <w:iCs/>
        </w:rPr>
        <w:t>, resulting in a blocking rate of 0.53</w:t>
      </w:r>
      <w:r w:rsidR="008C243F" w:rsidRPr="00455A3C">
        <w:rPr>
          <w:rFonts w:cstheme="minorHAnsi"/>
          <w:iCs/>
        </w:rPr>
        <w:t xml:space="preserve">. </w:t>
      </w:r>
      <w:r w:rsidR="005533EE" w:rsidRPr="00455A3C">
        <w:rPr>
          <w:rFonts w:cstheme="minorHAnsi"/>
          <w:iCs/>
        </w:rPr>
        <w:t>The 0.53 value for blocking rate was used for all simulations with pyrethroid nets</w:t>
      </w:r>
      <w:r w:rsidR="00B46B37" w:rsidRPr="00455A3C">
        <w:rPr>
          <w:rFonts w:cstheme="minorHAnsi"/>
          <w:iCs/>
        </w:rPr>
        <w:t>,</w:t>
      </w:r>
      <w:r w:rsidR="005533EE" w:rsidRPr="00455A3C">
        <w:rPr>
          <w:rFonts w:cstheme="minorHAnsi"/>
          <w:iCs/>
        </w:rPr>
        <w:t xml:space="preserve"> including during the kill rate calibration process</w:t>
      </w:r>
      <w:r w:rsidR="00B46B37" w:rsidRPr="00455A3C">
        <w:rPr>
          <w:rFonts w:cstheme="minorHAnsi"/>
          <w:iCs/>
        </w:rPr>
        <w:t>, regardless of local insecticide resistance</w:t>
      </w:r>
      <w:r w:rsidR="005533EE" w:rsidRPr="00455A3C">
        <w:rPr>
          <w:rFonts w:cstheme="minorHAnsi"/>
          <w:iCs/>
        </w:rPr>
        <w:t>.</w:t>
      </w:r>
    </w:p>
    <w:p w14:paraId="5F1181D0" w14:textId="5C14EB53" w:rsidR="001A230D" w:rsidRPr="00455A3C" w:rsidRDefault="001A230D" w:rsidP="005354EA">
      <w:pPr>
        <w:spacing w:after="0" w:line="276" w:lineRule="auto"/>
        <w:contextualSpacing/>
        <w:rPr>
          <w:rFonts w:cstheme="minorHAnsi"/>
          <w:iCs/>
        </w:rPr>
      </w:pPr>
    </w:p>
    <w:p w14:paraId="2994C192" w14:textId="3F68C36D" w:rsidR="001A230D" w:rsidRPr="00455A3C" w:rsidRDefault="001A230D" w:rsidP="005354EA">
      <w:pPr>
        <w:spacing w:after="0" w:line="276" w:lineRule="auto"/>
        <w:contextualSpacing/>
        <w:rPr>
          <w:rFonts w:cstheme="minorHAnsi"/>
          <w:iCs/>
        </w:rPr>
      </w:pPr>
      <w:r w:rsidRPr="00455A3C">
        <w:rPr>
          <w:rFonts w:cstheme="minorHAnsi"/>
          <w:iCs/>
        </w:rPr>
        <w:t>Blockin</w:t>
      </w:r>
      <w:r w:rsidR="00BF64EE" w:rsidRPr="00455A3C">
        <w:rPr>
          <w:rFonts w:cstheme="minorHAnsi"/>
          <w:iCs/>
        </w:rPr>
        <w:t>g rates for non-pyrethroid nets were assumed to be higher than those of pyrethroid nets and range</w:t>
      </w:r>
      <w:r w:rsidR="00995DBA" w:rsidRPr="00455A3C">
        <w:rPr>
          <w:rFonts w:cstheme="minorHAnsi"/>
          <w:iCs/>
        </w:rPr>
        <w:t>d</w:t>
      </w:r>
      <w:r w:rsidR="00BF64EE" w:rsidRPr="00455A3C">
        <w:rPr>
          <w:rFonts w:cstheme="minorHAnsi"/>
          <w:iCs/>
        </w:rPr>
        <w:t xml:space="preserve"> between 0.61 – 0.94 depending on the level of insecticide resistance. </w:t>
      </w:r>
    </w:p>
    <w:p w14:paraId="03E9532D" w14:textId="77777777" w:rsidR="006D391E" w:rsidRPr="00455A3C" w:rsidRDefault="006D391E" w:rsidP="005354EA">
      <w:pPr>
        <w:spacing w:after="0" w:line="276" w:lineRule="auto"/>
        <w:contextualSpacing/>
        <w:rPr>
          <w:rFonts w:cstheme="minorHAnsi"/>
          <w:iCs/>
          <w:u w:val="single"/>
        </w:rPr>
      </w:pPr>
    </w:p>
    <w:p w14:paraId="73B3FED5" w14:textId="77777777" w:rsidR="007A6265" w:rsidRPr="00455A3C" w:rsidRDefault="007A6265" w:rsidP="005354EA">
      <w:pPr>
        <w:pStyle w:val="Heading2"/>
        <w:spacing w:line="276" w:lineRule="auto"/>
        <w:rPr>
          <w:rFonts w:asciiTheme="minorHAnsi" w:hAnsiTheme="minorHAnsi" w:cstheme="minorHAnsi"/>
          <w:sz w:val="22"/>
          <w:szCs w:val="22"/>
        </w:rPr>
      </w:pPr>
      <w:bookmarkStart w:id="5" w:name="_Toc77757578"/>
      <w:r w:rsidRPr="00455A3C">
        <w:rPr>
          <w:rFonts w:asciiTheme="minorHAnsi" w:hAnsiTheme="minorHAnsi" w:cstheme="minorHAnsi"/>
          <w:sz w:val="22"/>
          <w:szCs w:val="22"/>
        </w:rPr>
        <w:t>ITN killing rate</w:t>
      </w:r>
      <w:bookmarkEnd w:id="5"/>
      <w:r w:rsidRPr="00455A3C">
        <w:rPr>
          <w:rFonts w:asciiTheme="minorHAnsi" w:hAnsiTheme="minorHAnsi" w:cstheme="minorHAnsi"/>
          <w:sz w:val="22"/>
          <w:szCs w:val="22"/>
        </w:rPr>
        <w:t xml:space="preserve"> </w:t>
      </w:r>
    </w:p>
    <w:p w14:paraId="5B44224B" w14:textId="7582AB51" w:rsidR="00DD2BAE" w:rsidRPr="00455A3C" w:rsidRDefault="002E7EE1" w:rsidP="005354EA">
      <w:pPr>
        <w:pStyle w:val="Heading3"/>
        <w:numPr>
          <w:ilvl w:val="0"/>
          <w:numId w:val="15"/>
        </w:numPr>
        <w:spacing w:before="0" w:line="276" w:lineRule="auto"/>
        <w:contextualSpacing/>
        <w:rPr>
          <w:rFonts w:asciiTheme="minorHAnsi" w:hAnsiTheme="minorHAnsi" w:cstheme="minorHAnsi"/>
          <w:i/>
          <w:color w:val="auto"/>
          <w:sz w:val="22"/>
          <w:szCs w:val="22"/>
          <w:u w:val="single"/>
        </w:rPr>
      </w:pPr>
      <w:bookmarkStart w:id="6" w:name="_Toc77757579"/>
      <w:r w:rsidRPr="00455A3C">
        <w:rPr>
          <w:rFonts w:asciiTheme="minorHAnsi" w:hAnsiTheme="minorHAnsi" w:cstheme="minorHAnsi"/>
          <w:i/>
          <w:color w:val="auto"/>
          <w:sz w:val="22"/>
          <w:szCs w:val="22"/>
          <w:u w:val="single"/>
        </w:rPr>
        <w:t>Permethrin</w:t>
      </w:r>
      <w:r w:rsidR="00074DBD">
        <w:rPr>
          <w:rFonts w:asciiTheme="minorHAnsi" w:hAnsiTheme="minorHAnsi" w:cstheme="minorHAnsi"/>
          <w:i/>
          <w:color w:val="auto"/>
          <w:sz w:val="22"/>
          <w:szCs w:val="22"/>
          <w:u w:val="single"/>
        </w:rPr>
        <w:t xml:space="preserve"> (pyrethroid)</w:t>
      </w:r>
      <w:r w:rsidRPr="00455A3C">
        <w:rPr>
          <w:rFonts w:asciiTheme="minorHAnsi" w:hAnsiTheme="minorHAnsi" w:cstheme="minorHAnsi"/>
          <w:i/>
          <w:color w:val="auto"/>
          <w:sz w:val="22"/>
          <w:szCs w:val="22"/>
          <w:u w:val="single"/>
        </w:rPr>
        <w:t xml:space="preserve"> </w:t>
      </w:r>
      <w:r w:rsidR="00DD2BAE" w:rsidRPr="00455A3C">
        <w:rPr>
          <w:rFonts w:asciiTheme="minorHAnsi" w:hAnsiTheme="minorHAnsi" w:cstheme="minorHAnsi"/>
          <w:i/>
          <w:color w:val="auto"/>
          <w:sz w:val="22"/>
          <w:szCs w:val="22"/>
          <w:u w:val="single"/>
        </w:rPr>
        <w:t>nets</w:t>
      </w:r>
      <w:bookmarkEnd w:id="6"/>
      <w:r w:rsidR="00DD2BAE" w:rsidRPr="00455A3C">
        <w:rPr>
          <w:rFonts w:asciiTheme="minorHAnsi" w:hAnsiTheme="minorHAnsi" w:cstheme="minorHAnsi"/>
          <w:i/>
          <w:color w:val="auto"/>
          <w:sz w:val="22"/>
          <w:szCs w:val="22"/>
          <w:u w:val="single"/>
        </w:rPr>
        <w:t xml:space="preserve"> </w:t>
      </w:r>
    </w:p>
    <w:p w14:paraId="5FE48D42" w14:textId="208366B0" w:rsidR="00331719" w:rsidRDefault="006D391E" w:rsidP="005354EA">
      <w:pPr>
        <w:spacing w:after="0" w:line="276" w:lineRule="auto"/>
        <w:contextualSpacing/>
        <w:rPr>
          <w:rFonts w:cstheme="minorHAnsi"/>
          <w:iCs/>
        </w:rPr>
      </w:pPr>
      <w:r w:rsidRPr="00455A3C">
        <w:rPr>
          <w:rFonts w:cstheme="minorHAnsi"/>
          <w:iCs/>
        </w:rPr>
        <w:t>Since resistance to pyrethroids is spatially varying across Nigeria and has increased through time,</w:t>
      </w:r>
      <w:r w:rsidR="00513522" w:rsidRPr="00455A3C">
        <w:rPr>
          <w:rFonts w:cstheme="minorHAnsi"/>
          <w:iCs/>
        </w:rPr>
        <w:t xml:space="preserve"> yet primary measurements of resistance are not universally available,</w:t>
      </w:r>
      <w:r w:rsidRPr="00455A3C">
        <w:rPr>
          <w:rFonts w:cstheme="minorHAnsi"/>
          <w:iCs/>
        </w:rPr>
        <w:t xml:space="preserve"> </w:t>
      </w:r>
      <w:r w:rsidR="00466950" w:rsidRPr="00455A3C">
        <w:rPr>
          <w:rFonts w:cstheme="minorHAnsi"/>
          <w:iCs/>
        </w:rPr>
        <w:t xml:space="preserve">we </w:t>
      </w:r>
      <w:r w:rsidRPr="00455A3C">
        <w:rPr>
          <w:rFonts w:cstheme="minorHAnsi"/>
          <w:iCs/>
        </w:rPr>
        <w:t>use</w:t>
      </w:r>
      <w:r w:rsidR="0083499A" w:rsidRPr="00455A3C">
        <w:rPr>
          <w:rFonts w:cstheme="minorHAnsi"/>
          <w:iCs/>
        </w:rPr>
        <w:t>d</w:t>
      </w:r>
      <w:r w:rsidRPr="00455A3C">
        <w:rPr>
          <w:rFonts w:cstheme="minorHAnsi"/>
          <w:iCs/>
        </w:rPr>
        <w:t xml:space="preserve"> </w:t>
      </w:r>
      <w:r w:rsidR="00360F0C" w:rsidRPr="00455A3C">
        <w:rPr>
          <w:rFonts w:cstheme="minorHAnsi"/>
          <w:iCs/>
        </w:rPr>
        <w:t>Malaria Atlas Project (</w:t>
      </w:r>
      <w:r w:rsidRPr="00455A3C">
        <w:rPr>
          <w:rFonts w:cstheme="minorHAnsi"/>
          <w:iCs/>
        </w:rPr>
        <w:t>MAP</w:t>
      </w:r>
      <w:r w:rsidR="00360F0C" w:rsidRPr="00455A3C">
        <w:rPr>
          <w:rFonts w:cstheme="minorHAnsi"/>
          <w:iCs/>
        </w:rPr>
        <w:t>)</w:t>
      </w:r>
      <w:r w:rsidRPr="00455A3C">
        <w:rPr>
          <w:rFonts w:cstheme="minorHAnsi"/>
          <w:iCs/>
        </w:rPr>
        <w:t xml:space="preserve"> estimates of pyrethroid resistance at the LGA level between 20</w:t>
      </w:r>
      <w:r w:rsidR="00BA56A2" w:rsidRPr="00455A3C">
        <w:rPr>
          <w:rFonts w:cstheme="minorHAnsi"/>
          <w:iCs/>
        </w:rPr>
        <w:t>10</w:t>
      </w:r>
      <w:r w:rsidRPr="00455A3C">
        <w:rPr>
          <w:rFonts w:cstheme="minorHAnsi"/>
          <w:iCs/>
        </w:rPr>
        <w:t xml:space="preserve"> and 2017 to inform the effect size of pyrethroid nets distributed in the simulations</w:t>
      </w:r>
      <w:r w:rsidR="00993719" w:rsidRPr="00455A3C">
        <w:rPr>
          <w:rFonts w:cstheme="minorHAnsi"/>
          <w:iCs/>
        </w:rPr>
        <w:t xml:space="preserve"> </w:t>
      </w:r>
      <w:r w:rsidR="00993719" w:rsidRPr="00C0372B">
        <w:rPr>
          <w:rFonts w:cstheme="minorHAnsi"/>
          <w:iCs/>
        </w:rPr>
        <w:fldChar w:fldCharType="begin" w:fldLock="1"/>
      </w:r>
      <w:r w:rsidR="00C72B9D">
        <w:rPr>
          <w:rFonts w:cstheme="minorHAnsi"/>
          <w:iCs/>
        </w:rPr>
        <w:instrText>ADDIN CSL_CITATION {"citationItems":[{"id":"ITEM-1","itemData":{"DOI":"10.1371/journal.pbio.3000633","ISSN":"15457885","PMID":"32584814","abstract":"Mitigating the threat of insecticide resistance in African malaria vector populations requires comprehensive information about where resistance occurs, to what degree, and how this has changed over time. Estimating these trends is complicated by the sparse, heterogeneous distribution of observations of resistance phenotypes in field populations. We use 6,423 observations of the prevalence of resistance to the most important vector control insecticides to inform a Bayesian geostatistical ensemble modelling approach, generating fine-scale predictive maps of resistance phenotypes in mosquitoes from the Anopheles gambiae complex across Africa. Our models are informed by a suite of 111 predictor variables describing potential drivers of selection for resistance. Our maps show alarming increases in the prevalence of resistance to pyrethroids and DDT across sub-Saharan Africa from 2005 to 2017, with mean mortality following insecticide exposure declining from almost 100% to less than 30% in some areas, as well as substantial spatial variation in resistance trends.","author":[{"dropping-particle":"","family":"Hancock","given":"Penelope A.","non-dropping-particle":"","parse-names":false,"suffix":""},{"dropping-particle":"","family":"Hendriks","given":"Chantal J.M.","non-dropping-particle":"","parse-names":false,"suffix":""},{"dropping-particle":"","family":"Tangena","given":"Julie Anne","non-dropping-particle":"","parse-names":false,"suffix":""},{"dropping-particle":"","family":"Gibson","given":"Harry","non-dropping-particle":"","parse-names":false,"suffix":""},{"dropping-particle":"","family":"Hemingway","given":"Janet","non-dropping-particle":"","parse-names":false,"suffix":""},{"dropping-particle":"","family":"Coleman","given":"Michael","non-dropping-particle":"","parse-names":false,"suffix":""},{"dropping-particle":"","family":"Gething","given":"Peter W.","non-dropping-particle":"","parse-names":false,"suffix":""},{"dropping-particle":"","family":"Cameron","given":"Ewan","non-dropping-particle":"","parse-names":false,"suffix":""},{"dropping-particle":"","family":"Bhatt","given":"Samir","non-dropping-particle":"","parse-names":false,"suffix":""},{"dropping-particle":"","family":"Moyes","given":"Catherine L.","non-dropping-particle":"","parse-names":false,"suffix":""}],"container-title":"PLoS Biology","id":"ITEM-1","issue":"6","issued":{"date-parts":[["2020","6","1"]]},"page":"e3000633","publisher":"Public Library of Science","title":"Mapping trends in insecticide resistance phenotypes in African malaria vectors","type":"article-journal","volume":"18"},"uris":["http://www.mendeley.com/documents/?uuid=491703a2-18fe-4c41-803e-6dc1dfeef4e4","http://www.mendeley.com/documents/?uuid=050fd5d4-efb9-3724-b6cf-d6a59f667545"]}],"mendeley":{"formattedCitation":"[11]","plainTextFormattedCitation":"[11]","previouslyFormattedCitation":"[11]"},"properties":{"noteIndex":0},"schema":"https://github.com/citation-style-language/schema/raw/master/csl-citation.json"}</w:instrText>
      </w:r>
      <w:r w:rsidR="00993719" w:rsidRPr="00C0372B">
        <w:rPr>
          <w:rFonts w:cstheme="minorHAnsi"/>
          <w:iCs/>
        </w:rPr>
        <w:fldChar w:fldCharType="separate"/>
      </w:r>
      <w:r w:rsidR="00D540A2" w:rsidRPr="00D540A2">
        <w:rPr>
          <w:rFonts w:cstheme="minorHAnsi"/>
          <w:iCs/>
          <w:noProof/>
        </w:rPr>
        <w:t>[11]</w:t>
      </w:r>
      <w:r w:rsidR="00993719" w:rsidRPr="00C0372B">
        <w:rPr>
          <w:rFonts w:cstheme="minorHAnsi"/>
          <w:iCs/>
        </w:rPr>
        <w:fldChar w:fldCharType="end"/>
      </w:r>
      <w:r w:rsidRPr="00455A3C">
        <w:rPr>
          <w:rFonts w:cstheme="minorHAnsi"/>
          <w:iCs/>
        </w:rPr>
        <w:t>. MAP use</w:t>
      </w:r>
      <w:r w:rsidR="0083499A" w:rsidRPr="00455A3C">
        <w:rPr>
          <w:rFonts w:cstheme="minorHAnsi"/>
          <w:iCs/>
        </w:rPr>
        <w:t>d</w:t>
      </w:r>
      <w:r w:rsidRPr="00455A3C">
        <w:rPr>
          <w:rFonts w:cstheme="minorHAnsi"/>
          <w:iCs/>
        </w:rPr>
        <w:t xml:space="preserve"> </w:t>
      </w:r>
      <w:r w:rsidR="00360F0C" w:rsidRPr="00455A3C">
        <w:rPr>
          <w:rFonts w:cstheme="minorHAnsi"/>
          <w:iCs/>
        </w:rPr>
        <w:t>insecticide resistance</w:t>
      </w:r>
      <w:r w:rsidRPr="00455A3C">
        <w:rPr>
          <w:rFonts w:cstheme="minorHAnsi"/>
          <w:iCs/>
        </w:rPr>
        <w:t xml:space="preserve"> surveillance data to generate annual pixel-level estimates of permethrin bioassay mortality rates</w:t>
      </w:r>
      <w:r w:rsidR="00466950" w:rsidRPr="00455A3C">
        <w:rPr>
          <w:rFonts w:cstheme="minorHAnsi"/>
          <w:iCs/>
        </w:rPr>
        <w:t>, which we aggregated to LGA-level</w:t>
      </w:r>
      <w:r w:rsidRPr="00455A3C">
        <w:rPr>
          <w:rFonts w:cstheme="minorHAnsi"/>
          <w:iCs/>
        </w:rPr>
        <w:t>. To convert bioassay mortality rates into ITN kill rates of appropriate magnitude in EMOD, we use a previously published statistical model</w:t>
      </w:r>
      <w:r w:rsidR="00A84C80" w:rsidRPr="00455A3C">
        <w:rPr>
          <w:rFonts w:cstheme="minorHAnsi"/>
          <w:iCs/>
        </w:rPr>
        <w:t xml:space="preserve"> </w:t>
      </w:r>
      <w:r w:rsidR="00A84C80" w:rsidRPr="00C0372B">
        <w:rPr>
          <w:rFonts w:cstheme="minorHAnsi"/>
          <w:iCs/>
        </w:rPr>
        <w:fldChar w:fldCharType="begin" w:fldLock="1"/>
      </w:r>
      <w:r w:rsidR="00C72B9D">
        <w:rPr>
          <w:rFonts w:cstheme="minorHAnsi"/>
          <w:iCs/>
        </w:rPr>
        <w:instrText>ADDIN CSL_CITATION {"citationItems":[{"id":"ITEM-1","itemData":{"DOI":"10.7554/eLife.16090","ISSN":"2050084X","PMID":"27547988","abstract":"Long lasting pyrethroid treated bednets are the most important tool for preventing malaria. Pyrethroid resistant Anopheline mosquitoes are now ubiquitous in Africa, though the public health impact remains unclear, impeding the deployment of more expensive nets. Meta-analyses of bioassay studies and experimental hut trials are used to characterise how pyrethroid resistance changes the efficacy of standard bednets, and those containing the synergist piperonyl butoxide (PBO), and assess its impact on malaria control. New bednets provide substantial personal protection until high levels of resistance, though protection may wane faster against more resistant mosquito populations as nets age. Transmission dynamics models indicate that even low levels of resistance would increase the incidence of malaria due to reduced mosquito mortality and lower overall community protection over the life-time of the net. Switching to PBO bednets could avert up to 0.5 clinical cases per person per year in some resistance scenarios.","author":[{"dropping-particle":"","family":"Churcher","given":"Thomas S.","non-dropping-particle":"","parse-names":false,"suffix":""},{"dropping-particle":"","family":"Lissenden","given":"Natalie","non-dropping-particle":"","parse-names":false,"suffix":""},{"dropping-particle":"","family":"Griffin","given":"Jamie T.","non-dropping-particle":"","parse-names":false,"suffix":""},{"dropping-particle":"","family":"Worrall","given":"Eve","non-dropping-particle":"","parse-names":false,"suffix":""},{"dropping-particle":"","family":"Ranson","given":"Hilary","non-dropping-particle":"","parse-names":false,"suffix":""}],"container-title":"eLife","id":"ITEM-1","issue":"AUGUST","issued":{"date-parts":[["2016","8","22"]]},"publisher":"eLife Sciences Publications Ltd","title":"The impact of pyrethroid resistance on the efficacy and effectiveness of bednets for malaria control in Africa","type":"article-journal","volume":"5"},"uris":["http://www.mendeley.com/documents/?uuid=469aec0f-1a04-3b85-85e4-9af79e7773ed"]}],"mendeley":{"formattedCitation":"[18]","plainTextFormattedCitation":"[18]","previouslyFormattedCitation":"[18]"},"properties":{"noteIndex":0},"schema":"https://github.com/citation-style-language/schema/raw/master/csl-citation.json"}</w:instrText>
      </w:r>
      <w:r w:rsidR="00A84C80" w:rsidRPr="00C0372B">
        <w:rPr>
          <w:rFonts w:cstheme="minorHAnsi"/>
          <w:iCs/>
        </w:rPr>
        <w:fldChar w:fldCharType="separate"/>
      </w:r>
      <w:r w:rsidR="00D540A2" w:rsidRPr="00D540A2">
        <w:rPr>
          <w:rFonts w:cstheme="minorHAnsi"/>
          <w:iCs/>
          <w:noProof/>
        </w:rPr>
        <w:t>[18]</w:t>
      </w:r>
      <w:r w:rsidR="00A84C80" w:rsidRPr="00C0372B">
        <w:rPr>
          <w:rFonts w:cstheme="minorHAnsi"/>
          <w:iCs/>
        </w:rPr>
        <w:fldChar w:fldCharType="end"/>
      </w:r>
      <w:r w:rsidRPr="00455A3C">
        <w:rPr>
          <w:rFonts w:cstheme="minorHAnsi"/>
          <w:iCs/>
        </w:rPr>
        <w:t xml:space="preserve"> to estimate experimental hut kill rates from the bioassay mortality rates, then rescale</w:t>
      </w:r>
      <w:r w:rsidR="00C62C98">
        <w:rPr>
          <w:rFonts w:cstheme="minorHAnsi"/>
          <w:iCs/>
        </w:rPr>
        <w:t>d</w:t>
      </w:r>
      <w:r w:rsidRPr="00455A3C">
        <w:rPr>
          <w:rFonts w:cstheme="minorHAnsi"/>
          <w:iCs/>
        </w:rPr>
        <w:t xml:space="preserve"> the experimental hut kill rates into input parameters for EMOD using ITN trial data from Burkina Faso</w:t>
      </w:r>
      <w:r w:rsidR="00C62C98">
        <w:rPr>
          <w:rFonts w:cstheme="minorHAnsi"/>
          <w:iCs/>
        </w:rPr>
        <w:t>.</w:t>
      </w:r>
    </w:p>
    <w:p w14:paraId="1D06BAF5" w14:textId="77777777" w:rsidR="00C62C98" w:rsidRPr="00455A3C" w:rsidRDefault="00C62C98" w:rsidP="005354EA">
      <w:pPr>
        <w:spacing w:after="0" w:line="276" w:lineRule="auto"/>
        <w:contextualSpacing/>
        <w:rPr>
          <w:rFonts w:cstheme="minorHAnsi"/>
          <w:iCs/>
        </w:rPr>
      </w:pPr>
    </w:p>
    <w:p w14:paraId="7A098226" w14:textId="7A439EC8" w:rsidR="00F9583E" w:rsidRPr="00455A3C" w:rsidRDefault="000E7F2D" w:rsidP="005354EA">
      <w:pPr>
        <w:pStyle w:val="ListParagraph"/>
        <w:numPr>
          <w:ilvl w:val="0"/>
          <w:numId w:val="8"/>
        </w:numPr>
        <w:spacing w:line="276" w:lineRule="auto"/>
        <w:rPr>
          <w:rFonts w:cstheme="minorHAnsi"/>
          <w:iCs/>
          <w:sz w:val="22"/>
          <w:szCs w:val="22"/>
        </w:rPr>
      </w:pPr>
      <w:r w:rsidRPr="00455A3C">
        <w:rPr>
          <w:rFonts w:cstheme="minorHAnsi"/>
          <w:iCs/>
          <w:sz w:val="22"/>
          <w:szCs w:val="22"/>
        </w:rPr>
        <w:t>We generated a simulation model of the control arm of the Olyset Duo bednet trial that took place in Banfora health district in 2014</w:t>
      </w:r>
      <w:r w:rsidR="008E0F51" w:rsidRPr="00455A3C">
        <w:rPr>
          <w:rFonts w:cstheme="minorHAnsi"/>
          <w:iCs/>
          <w:sz w:val="22"/>
          <w:szCs w:val="22"/>
        </w:rPr>
        <w:t xml:space="preserve"> </w:t>
      </w:r>
      <w:r w:rsidR="008E0F51" w:rsidRPr="00C0372B">
        <w:rPr>
          <w:rFonts w:cstheme="minorHAnsi"/>
          <w:iCs/>
          <w:sz w:val="22"/>
          <w:szCs w:val="22"/>
        </w:rPr>
        <w:fldChar w:fldCharType="begin" w:fldLock="1"/>
      </w:r>
      <w:r w:rsidR="00C72B9D">
        <w:rPr>
          <w:rFonts w:cstheme="minorHAnsi"/>
          <w:iCs/>
          <w:sz w:val="22"/>
          <w:szCs w:val="22"/>
        </w:rPr>
        <w:instrText>ADDIN CSL_CITATION {"citationItems":[{"id":"ITEM-1","itemData":{"DOI":"10.1016/S0140-6736(18)31711-2","ISSN":"1474547X","PMID":"30104047","abstract":"Background: Substantial reductions in malaria incidence in sub-Saharan Africa have been achieved with massive deployment of long-lasting insecticidal nets (LLINs), but pyrethroid resistance threatens control. Burkina Faso is an area with intense malaria transmission and highly pyrethroid-resistant vectors. We assessed the effectiveness of bednets containing permethrin, a pyrethroid, and pyriproxyfen, an insect growth regulator, versus permethrin-only (standard) LLINs against clinical malaria in children younger than 5 years in Banfora, Burkina Faso. Methods: In this two-group, step-wedge, cluster-randomised, controlled, superiority trial, standard LLINs were incrementally replaced with LLINs treated with permethrin plus pyriproxyfen (PPF) in 40 rural clusters in Burkina Faso. In each cluster, 50 children (aged 6 months to 5 years) were followed up by passive case detection for clinical malaria. Cross-sectional surveys were done at the start and the end of the transmission seasons in 2014 and 2015. We did monthly collections from indoor light traps to estimate vector densities. Primary endpoints were the incidence of clinical malaria, measured by passive case detection, and the entomological inoculation rate. Analyses were adjusted for clustering and for month and health centre. This trial is registered as ISRCTN21853394. Findings: 1980 children were enrolled in the cohort in 2014 and 2157 in 2015. At the end of the study, more than 99% of children slept under a bednet. The incidence of clinical malaria was 2·0 episodes per child-year in the standard LLIN group and 1·5 episodes per child-year in the PPF-treated LLIN group (incidence rate ratio 0·88 [95% CI 0·77–0·99; p=0·04]). The entomological inoculation rate was 85 (95% CI 63–108) infective bites per transmission season in the standard LLIN group versus 42 (32–52) infective bites per transmission season in the PPF-treated LLIN group (rate ratio 0·49, 95% CI 0·32–0·66; p&lt;0·0001). Interpretation: PPF-treated LLINs provide greater protection against clinical malaria than do standard LLINs and could be used as an alternative to standard LLINs in areas with intense transmission of Plasmodium falciparum malaria and highly pyrethroid-resistant vectors. Funding: EU Seventh Framework Programme.","author":[{"dropping-particle":"","family":"Tiono","given":"Alfred B.","non-dropping-particle":"","parse-names":false,"suffix":""},{"dropping-particle":"","family":"Ouédraogo","given":"Alphonse","non-dropping-particle":"","parse-names":false,"suffix":""},{"dropping-particle":"","family":"Ouattara","given":"Daouda","non-dropping-particle":"","parse-names":false,"suffix":""},{"dropping-particle":"","family":"Bougouma","given":"Edith C.","non-dropping-particle":"","parse-names":false,"suffix":""},{"dropping-particle":"","family":"Coulibaly","given":"Sam","non-dropping-particle":"","parse-names":false,"suffix":""},{"dropping-particle":"","family":"Diarra","given":"Amidou","non-dropping-particle":"","parse-names":false,"suffix":""},{"dropping-particle":"","family":"Faragher","given":"Brian","non-dropping-particle":"","parse-names":false,"suffix":""},{"dropping-particle":"","family":"Guelbeogo","given":"Moussa W.","non-dropping-particle":"","parse-names":false,"suffix":""},{"dropping-particle":"","family":"Grisales","given":"Nelson","non-dropping-particle":"","parse-names":false,"suffix":""},{"dropping-particle":"","family":"Ouédraogo","given":"Issa N.","non-dropping-particle":"","parse-names":false,"suffix":""},{"dropping-particle":"","family":"Ouédraogo","given":"Zininwindé Amidou","non-dropping-particle":"","parse-names":false,"suffix":""},{"dropping-particle":"","family":"Pinder","given":"Margaret","non-dropping-particle":"","parse-names":false,"suffix":""},{"dropping-particle":"","family":"Sanon","given":"Souleymane","non-dropping-particle":"","parse-names":false,"suffix":""},{"dropping-particle":"","family":"Smith","given":"Tom","non-dropping-particle":"","parse-names":false,"suffix":""},{"dropping-particle":"","family":"Vanobberghen","given":"Fiona","non-dropping-particle":"","parse-names":false,"suffix":""},{"dropping-particle":"","family":"Sagnon","given":"N'Fale","non-dropping-particle":"","parse-names":false,"suffix":""},{"dropping-particle":"","family":"Ranson","given":"Hilary","non-dropping-particle":"","parse-names":false,"suffix":""},{"dropping-particle":"","family":"Lindsay","given":"Steve W.","non-dropping-particle":"","parse-names":false,"suffix":""}],"container-title":"The Lancet","id":"ITEM-1","issue":"10147","issued":{"date-parts":[["2018","8","18"]]},"page":"569-580","publisher":"Lancet Publishing Group","title":"Efficacy of Olyset Duo, a bednet containing pyriproxyfen and permethrin, versus a permethrin-only net against clinical malaria in an area with highly pyrethroid-resistant vectors in rural Burkina Faso: a cluster-randomised controlled trial","type":"article-journal","volume":"392"},"uris":["http://www.mendeley.com/documents/?uuid=524b2a2c-53c3-3ba7-bdf5-bfc34aed4c5c"]}],"mendeley":{"formattedCitation":"[19]","plainTextFormattedCitation":"[19]","previouslyFormattedCitation":"[19]"},"properties":{"noteIndex":0},"schema":"https://github.com/citation-style-language/schema/raw/master/csl-citation.json"}</w:instrText>
      </w:r>
      <w:r w:rsidR="008E0F51" w:rsidRPr="00C0372B">
        <w:rPr>
          <w:rFonts w:cstheme="minorHAnsi"/>
          <w:iCs/>
          <w:sz w:val="22"/>
          <w:szCs w:val="22"/>
        </w:rPr>
        <w:fldChar w:fldCharType="separate"/>
      </w:r>
      <w:r w:rsidR="00D540A2" w:rsidRPr="00D540A2">
        <w:rPr>
          <w:rFonts w:cstheme="minorHAnsi"/>
          <w:iCs/>
          <w:noProof/>
          <w:sz w:val="22"/>
          <w:szCs w:val="22"/>
        </w:rPr>
        <w:t>[19]</w:t>
      </w:r>
      <w:r w:rsidR="008E0F51" w:rsidRPr="00C0372B">
        <w:rPr>
          <w:rFonts w:cstheme="minorHAnsi"/>
          <w:iCs/>
          <w:sz w:val="22"/>
          <w:szCs w:val="22"/>
        </w:rPr>
        <w:fldChar w:fldCharType="end"/>
      </w:r>
      <w:r w:rsidRPr="00455A3C">
        <w:rPr>
          <w:rFonts w:cstheme="minorHAnsi"/>
          <w:iCs/>
          <w:sz w:val="22"/>
          <w:szCs w:val="22"/>
        </w:rPr>
        <w:t xml:space="preserve"> (“Banfora trial” model). </w:t>
      </w:r>
      <w:r w:rsidR="00EE2ED4">
        <w:rPr>
          <w:rFonts w:cstheme="minorHAnsi"/>
          <w:iCs/>
          <w:sz w:val="22"/>
          <w:szCs w:val="22"/>
        </w:rPr>
        <w:t>We had previously constructed a</w:t>
      </w:r>
      <w:r w:rsidRPr="00455A3C">
        <w:rPr>
          <w:rFonts w:cstheme="minorHAnsi"/>
          <w:iCs/>
          <w:sz w:val="22"/>
          <w:szCs w:val="22"/>
        </w:rPr>
        <w:t xml:space="preserve"> model of Banfora health district</w:t>
      </w:r>
      <w:r w:rsidR="00902995" w:rsidRPr="00455A3C">
        <w:rPr>
          <w:rFonts w:cstheme="minorHAnsi"/>
          <w:iCs/>
          <w:sz w:val="22"/>
          <w:szCs w:val="22"/>
        </w:rPr>
        <w:t xml:space="preserve"> for Burkina Faso national strategic planning (“Banfora non-trial”) in an analogous process to what is described here for Nigeria. In the Banfora trial model, we distributed additional pyrethroid ITNs at 99% coverage</w:t>
      </w:r>
      <w:r w:rsidR="00072CC3" w:rsidRPr="00455A3C">
        <w:rPr>
          <w:rFonts w:cstheme="minorHAnsi"/>
          <w:iCs/>
          <w:sz w:val="22"/>
          <w:szCs w:val="22"/>
        </w:rPr>
        <w:t xml:space="preserve"> (</w:t>
      </w:r>
      <w:r w:rsidR="00BD73A6" w:rsidRPr="00455A3C">
        <w:rPr>
          <w:rFonts w:cstheme="minorHAnsi"/>
          <w:iCs/>
          <w:sz w:val="22"/>
          <w:szCs w:val="22"/>
        </w:rPr>
        <w:t>coverage</w:t>
      </w:r>
      <w:r w:rsidR="000C2C66" w:rsidRPr="00455A3C">
        <w:rPr>
          <w:rFonts w:cstheme="minorHAnsi"/>
          <w:iCs/>
          <w:sz w:val="22"/>
          <w:szCs w:val="22"/>
        </w:rPr>
        <w:t xml:space="preserve"> and net type for the control arm</w:t>
      </w:r>
      <w:r w:rsidR="00BD73A6" w:rsidRPr="00455A3C">
        <w:rPr>
          <w:rFonts w:cstheme="minorHAnsi"/>
          <w:iCs/>
          <w:sz w:val="22"/>
          <w:szCs w:val="22"/>
        </w:rPr>
        <w:t xml:space="preserve"> reported in</w:t>
      </w:r>
      <w:r w:rsidR="00072CC3" w:rsidRPr="00455A3C">
        <w:rPr>
          <w:rFonts w:cstheme="minorHAnsi"/>
          <w:iCs/>
          <w:sz w:val="22"/>
          <w:szCs w:val="22"/>
        </w:rPr>
        <w:t xml:space="preserve"> the trial paper)</w:t>
      </w:r>
      <w:r w:rsidR="00902995" w:rsidRPr="00455A3C">
        <w:rPr>
          <w:rFonts w:cstheme="minorHAnsi"/>
          <w:iCs/>
          <w:sz w:val="22"/>
          <w:szCs w:val="22"/>
        </w:rPr>
        <w:t>; these ITNs were not distributed in the Banfora non-trial model.</w:t>
      </w:r>
      <w:r w:rsidRPr="00455A3C">
        <w:rPr>
          <w:rFonts w:cstheme="minorHAnsi"/>
          <w:iCs/>
          <w:sz w:val="22"/>
          <w:szCs w:val="22"/>
        </w:rPr>
        <w:t xml:space="preserve"> </w:t>
      </w:r>
    </w:p>
    <w:p w14:paraId="736250BB" w14:textId="3CA60E4A" w:rsidR="00904967" w:rsidRPr="00455A3C" w:rsidRDefault="00904967" w:rsidP="005354EA">
      <w:pPr>
        <w:pStyle w:val="ListParagraph"/>
        <w:numPr>
          <w:ilvl w:val="0"/>
          <w:numId w:val="8"/>
        </w:numPr>
        <w:spacing w:line="276" w:lineRule="auto"/>
        <w:rPr>
          <w:rFonts w:cstheme="minorHAnsi"/>
          <w:iCs/>
          <w:sz w:val="22"/>
          <w:szCs w:val="22"/>
        </w:rPr>
      </w:pPr>
      <w:r w:rsidRPr="00455A3C">
        <w:rPr>
          <w:rFonts w:cstheme="minorHAnsi"/>
          <w:iCs/>
          <w:sz w:val="22"/>
          <w:szCs w:val="22"/>
        </w:rPr>
        <w:t>Using the reported U5 incidence in the control arm of the Olyset Duo trial in Banfora</w:t>
      </w:r>
      <w:r w:rsidR="006D3A3E" w:rsidRPr="00455A3C">
        <w:rPr>
          <w:rFonts w:cstheme="minorHAnsi"/>
          <w:iCs/>
          <w:sz w:val="22"/>
          <w:szCs w:val="22"/>
        </w:rPr>
        <w:t xml:space="preserve"> (2.2 episodes per child</w:t>
      </w:r>
      <w:r w:rsidR="00CD7B35" w:rsidRPr="00455A3C">
        <w:rPr>
          <w:rFonts w:cstheme="minorHAnsi"/>
          <w:iCs/>
          <w:sz w:val="22"/>
          <w:szCs w:val="22"/>
        </w:rPr>
        <w:t xml:space="preserve"> per </w:t>
      </w:r>
      <w:r w:rsidR="006D3A3E" w:rsidRPr="00455A3C">
        <w:rPr>
          <w:rFonts w:cstheme="minorHAnsi"/>
          <w:iCs/>
          <w:sz w:val="22"/>
          <w:szCs w:val="22"/>
        </w:rPr>
        <w:t xml:space="preserve">year) </w:t>
      </w:r>
      <w:r w:rsidR="005F2430" w:rsidRPr="00C0372B">
        <w:rPr>
          <w:rFonts w:cstheme="minorHAnsi"/>
          <w:iCs/>
          <w:sz w:val="22"/>
          <w:szCs w:val="22"/>
        </w:rPr>
        <w:fldChar w:fldCharType="begin" w:fldLock="1"/>
      </w:r>
      <w:r w:rsidR="00C72B9D">
        <w:rPr>
          <w:rFonts w:cstheme="minorHAnsi"/>
          <w:iCs/>
          <w:sz w:val="22"/>
          <w:szCs w:val="22"/>
        </w:rPr>
        <w:instrText>ADDIN CSL_CITATION {"citationItems":[{"id":"ITEM-1","itemData":{"DOI":"10.1016/S0140-6736(18)31711-2","ISSN":"1474547X","PMID":"30104047","abstract":"Background: Substantial reductions in malaria incidence in sub-Saharan Africa have been achieved with massive deployment of long-lasting insecticidal nets (LLINs), but pyrethroid resistance threatens control. Burkina Faso is an area with intense malaria transmission and highly pyrethroid-resistant vectors. We assessed the effectiveness of bednets containing permethrin, a pyrethroid, and pyriproxyfen, an insect growth regulator, versus permethrin-only (standard) LLINs against clinical malaria in children younger than 5 years in Banfora, Burkina Faso. Methods: In this two-group, step-wedge, cluster-randomised, controlled, superiority trial, standard LLINs were incrementally replaced with LLINs treated with permethrin plus pyriproxyfen (PPF) in 40 rural clusters in Burkina Faso. In each cluster, 50 children (aged 6 months to 5 years) were followed up by passive case detection for clinical malaria. Cross-sectional surveys were done at the start and the end of the transmission seasons in 2014 and 2015. We did monthly collections from indoor light traps to estimate vector densities. Primary endpoints were the incidence of clinical malaria, measured by passive case detection, and the entomological inoculation rate. Analyses were adjusted for clustering and for month and health centre. This trial is registered as ISRCTN21853394. Findings: 1980 children were enrolled in the cohort in 2014 and 2157 in 2015. At the end of the study, more than 99% of children slept under a bednet. The incidence of clinical malaria was 2·0 episodes per child-year in the standard LLIN group and 1·5 episodes per child-year in the PPF-treated LLIN group (incidence rate ratio 0·88 [95% CI 0·77–0·99; p=0·04]). The entomological inoculation rate was 85 (95% CI 63–108) infective bites per transmission season in the standard LLIN group versus 42 (32–52) infective bites per transmission season in the PPF-treated LLIN group (rate ratio 0·49, 95% CI 0·32–0·66; p&lt;0·0001). Interpretation: PPF-treated LLINs provide greater protection against clinical malaria than do standard LLINs and could be used as an alternative to standard LLINs in areas with intense transmission of Plasmodium falciparum malaria and highly pyrethroid-resistant vectors. Funding: EU Seventh Framework Programme.","author":[{"dropping-particle":"","family":"Tiono","given":"Alfred B.","non-dropping-particle":"","parse-names":false,"suffix":""},{"dropping-particle":"","family":"Ouédraogo","given":"Alphonse","non-dropping-particle":"","parse-names":false,"suffix":""},{"dropping-particle":"","family":"Ouattara","given":"Daouda","non-dropping-particle":"","parse-names":false,"suffix":""},{"dropping-particle":"","family":"Bougouma","given":"Edith C.","non-dropping-particle":"","parse-names":false,"suffix":""},{"dropping-particle":"","family":"Coulibaly","given":"Sam","non-dropping-particle":"","parse-names":false,"suffix":""},{"dropping-particle":"","family":"Diarra","given":"Amidou","non-dropping-particle":"","parse-names":false,"suffix":""},{"dropping-particle":"","family":"Faragher","given":"Brian","non-dropping-particle":"","parse-names":false,"suffix":""},{"dropping-particle":"","family":"Guelbeogo","given":"Moussa W.","non-dropping-particle":"","parse-names":false,"suffix":""},{"dropping-particle":"","family":"Grisales","given":"Nelson","non-dropping-particle":"","parse-names":false,"suffix":""},{"dropping-particle":"","family":"Ouédraogo","given":"Issa N.","non-dropping-particle":"","parse-names":false,"suffix":""},{"dropping-particle":"","family":"Ouédraogo","given":"Zininwindé Amidou","non-dropping-particle":"","parse-names":false,"suffix":""},{"dropping-particle":"","family":"Pinder","given":"Margaret","non-dropping-particle":"","parse-names":false,"suffix":""},{"dropping-particle":"","family":"Sanon","given":"Souleymane","non-dropping-particle":"","parse-names":false,"suffix":""},{"dropping-particle":"","family":"Smith","given":"Tom","non-dropping-particle":"","parse-names":false,"suffix":""},{"dropping-particle":"","family":"Vanobberghen","given":"Fiona","non-dropping-particle":"","parse-names":false,"suffix":""},{"dropping-particle":"","family":"Sagnon","given":"N'Fale","non-dropping-particle":"","parse-names":false,"suffix":""},{"dropping-particle":"","family":"Ranson","given":"Hilary","non-dropping-particle":"","parse-names":false,"suffix":""},{"dropping-particle":"","family":"Lindsay","given":"Steve W.","non-dropping-particle":"","parse-names":false,"suffix":""}],"container-title":"The Lancet","id":"ITEM-1","issue":"10147","issued":{"date-parts":[["2018","8","18"]]},"page":"569-580","publisher":"Lancet Publishing Group","title":"Efficacy of Olyset Duo, a bednet containing pyriproxyfen and permethrin, versus a permethrin-only net against clinical malaria in an area with highly pyrethroid-resistant vectors in rural Burkina Faso: a cluster-randomised controlled trial","type":"article-journal","volume":"392"},"uris":["http://www.mendeley.com/documents/?uuid=524b2a2c-53c3-3ba7-bdf5-bfc34aed4c5c"]}],"mendeley":{"formattedCitation":"[19]","plainTextFormattedCitation":"[19]","previouslyFormattedCitation":"[19]"},"properties":{"noteIndex":0},"schema":"https://github.com/citation-style-language/schema/raw/master/csl-citation.json"}</w:instrText>
      </w:r>
      <w:r w:rsidR="005F2430" w:rsidRPr="00C0372B">
        <w:rPr>
          <w:rFonts w:cstheme="minorHAnsi"/>
          <w:iCs/>
          <w:sz w:val="22"/>
          <w:szCs w:val="22"/>
        </w:rPr>
        <w:fldChar w:fldCharType="separate"/>
      </w:r>
      <w:r w:rsidR="00D540A2" w:rsidRPr="00D540A2">
        <w:rPr>
          <w:rFonts w:cstheme="minorHAnsi"/>
          <w:iCs/>
          <w:noProof/>
          <w:sz w:val="22"/>
          <w:szCs w:val="22"/>
        </w:rPr>
        <w:t>[19]</w:t>
      </w:r>
      <w:r w:rsidR="005F2430" w:rsidRPr="00C0372B">
        <w:rPr>
          <w:rFonts w:cstheme="minorHAnsi"/>
          <w:iCs/>
          <w:sz w:val="22"/>
          <w:szCs w:val="22"/>
        </w:rPr>
        <w:fldChar w:fldCharType="end"/>
      </w:r>
      <w:r w:rsidRPr="00455A3C">
        <w:rPr>
          <w:rFonts w:cstheme="minorHAnsi"/>
          <w:iCs/>
          <w:sz w:val="22"/>
          <w:szCs w:val="22"/>
        </w:rPr>
        <w:t>, we estimated the effect size of the trial’s control arm v</w:t>
      </w:r>
      <w:r w:rsidR="007D00F6" w:rsidRPr="00455A3C">
        <w:rPr>
          <w:rFonts w:cstheme="minorHAnsi"/>
          <w:iCs/>
          <w:sz w:val="22"/>
          <w:szCs w:val="22"/>
        </w:rPr>
        <w:t>ersu</w:t>
      </w:r>
      <w:r w:rsidRPr="00455A3C">
        <w:rPr>
          <w:rFonts w:cstheme="minorHAnsi"/>
          <w:iCs/>
          <w:sz w:val="22"/>
          <w:szCs w:val="22"/>
        </w:rPr>
        <w:t>s business-as-usual</w:t>
      </w:r>
      <w:r w:rsidR="005F2430" w:rsidRPr="00455A3C">
        <w:rPr>
          <w:rFonts w:cstheme="minorHAnsi"/>
          <w:iCs/>
          <w:sz w:val="22"/>
          <w:szCs w:val="22"/>
        </w:rPr>
        <w:t xml:space="preserve"> (BAU)</w:t>
      </w:r>
      <w:r w:rsidRPr="00455A3C">
        <w:rPr>
          <w:rFonts w:cstheme="minorHAnsi"/>
          <w:iCs/>
          <w:sz w:val="22"/>
          <w:szCs w:val="22"/>
        </w:rPr>
        <w:t xml:space="preserve"> in the rest of Banfora</w:t>
      </w:r>
      <w:r w:rsidR="007A6AA2" w:rsidRPr="00455A3C">
        <w:rPr>
          <w:rFonts w:cstheme="minorHAnsi"/>
          <w:iCs/>
          <w:sz w:val="22"/>
          <w:szCs w:val="22"/>
        </w:rPr>
        <w:t xml:space="preserve"> </w:t>
      </w:r>
      <w:r w:rsidRPr="00455A3C">
        <w:rPr>
          <w:rFonts w:cstheme="minorHAnsi"/>
          <w:iCs/>
          <w:sz w:val="22"/>
          <w:szCs w:val="22"/>
        </w:rPr>
        <w:t xml:space="preserve">by calculating a relative reduction in U5 incidence. U5 incidence in </w:t>
      </w:r>
      <w:r w:rsidR="005F2430" w:rsidRPr="00455A3C">
        <w:rPr>
          <w:rFonts w:cstheme="minorHAnsi"/>
          <w:iCs/>
          <w:sz w:val="22"/>
          <w:szCs w:val="22"/>
        </w:rPr>
        <w:t xml:space="preserve">BAU </w:t>
      </w:r>
      <w:r w:rsidRPr="00455A3C">
        <w:rPr>
          <w:rFonts w:cstheme="minorHAnsi"/>
          <w:iCs/>
          <w:sz w:val="22"/>
          <w:szCs w:val="22"/>
        </w:rPr>
        <w:t>Banfora was estimated by taking confirmed cases in children under 5 in 2014</w:t>
      </w:r>
      <w:r w:rsidR="008815C4" w:rsidRPr="00455A3C">
        <w:rPr>
          <w:rFonts w:cstheme="minorHAnsi"/>
          <w:iCs/>
          <w:sz w:val="22"/>
          <w:szCs w:val="22"/>
        </w:rPr>
        <w:t xml:space="preserve"> from Burkina’s HMIS</w:t>
      </w:r>
      <w:r w:rsidRPr="00455A3C">
        <w:rPr>
          <w:rFonts w:cstheme="minorHAnsi"/>
          <w:iCs/>
          <w:sz w:val="22"/>
          <w:szCs w:val="22"/>
        </w:rPr>
        <w:t xml:space="preserve"> and inflating by 1/(treatment-seeking rate in children under 5).</w:t>
      </w:r>
      <w:r w:rsidR="00F51AFB" w:rsidRPr="00455A3C">
        <w:rPr>
          <w:rFonts w:cstheme="minorHAnsi"/>
          <w:iCs/>
          <w:sz w:val="22"/>
          <w:szCs w:val="22"/>
        </w:rPr>
        <w:t xml:space="preserve"> </w:t>
      </w:r>
      <w:r w:rsidRPr="00455A3C">
        <w:rPr>
          <w:rFonts w:cstheme="minorHAnsi"/>
          <w:iCs/>
          <w:sz w:val="22"/>
          <w:szCs w:val="22"/>
        </w:rPr>
        <w:t>Treatment-seeking rate was estimated at 50% based on Burkina Faso’s 2014 DHS</w:t>
      </w:r>
      <w:r w:rsidR="0033010D" w:rsidRPr="00455A3C">
        <w:rPr>
          <w:rFonts w:cstheme="minorHAnsi"/>
          <w:iCs/>
          <w:sz w:val="22"/>
          <w:szCs w:val="22"/>
        </w:rPr>
        <w:t xml:space="preserve">, implying that one-half of cases are untreated and will not show up in the HMIS, hence the need to inflate confirmed cases </w:t>
      </w:r>
      <w:r w:rsidR="0033010D" w:rsidRPr="00455A3C">
        <w:rPr>
          <w:rFonts w:cstheme="minorHAnsi"/>
          <w:iCs/>
          <w:sz w:val="22"/>
          <w:szCs w:val="22"/>
        </w:rPr>
        <w:lastRenderedPageBreak/>
        <w:t>recorded in the HMIS</w:t>
      </w:r>
      <w:r w:rsidRPr="00455A3C">
        <w:rPr>
          <w:rFonts w:cstheme="minorHAnsi"/>
          <w:iCs/>
          <w:sz w:val="22"/>
          <w:szCs w:val="22"/>
        </w:rPr>
        <w:t>.</w:t>
      </w:r>
      <w:r w:rsidR="002C3EB9" w:rsidRPr="00455A3C">
        <w:rPr>
          <w:rFonts w:cstheme="minorHAnsi"/>
          <w:iCs/>
          <w:sz w:val="22"/>
          <w:szCs w:val="22"/>
        </w:rPr>
        <w:t xml:space="preserve"> This method produced an estimate that the fresh distribution of new pyrethroid nets reduced U5 clinical incidence by 12%.</w:t>
      </w:r>
    </w:p>
    <w:p w14:paraId="7E97BC26" w14:textId="78EE6C34" w:rsidR="008815C4" w:rsidRPr="00455A3C" w:rsidRDefault="008815C4" w:rsidP="005354EA">
      <w:pPr>
        <w:pStyle w:val="ListParagraph"/>
        <w:numPr>
          <w:ilvl w:val="0"/>
          <w:numId w:val="8"/>
        </w:numPr>
        <w:spacing w:line="276" w:lineRule="auto"/>
        <w:rPr>
          <w:rFonts w:cstheme="minorHAnsi"/>
          <w:iCs/>
          <w:sz w:val="22"/>
          <w:szCs w:val="22"/>
        </w:rPr>
      </w:pPr>
      <w:r w:rsidRPr="00455A3C">
        <w:rPr>
          <w:rFonts w:cstheme="minorHAnsi"/>
          <w:iCs/>
          <w:sz w:val="22"/>
          <w:szCs w:val="22"/>
        </w:rPr>
        <w:t xml:space="preserve">Using the Banfora non-trial </w:t>
      </w:r>
      <w:r w:rsidR="004168EE" w:rsidRPr="00455A3C">
        <w:rPr>
          <w:rFonts w:cstheme="minorHAnsi"/>
          <w:iCs/>
          <w:sz w:val="22"/>
          <w:szCs w:val="22"/>
        </w:rPr>
        <w:t xml:space="preserve">simulation </w:t>
      </w:r>
      <w:r w:rsidRPr="00455A3C">
        <w:rPr>
          <w:rFonts w:cstheme="minorHAnsi"/>
          <w:iCs/>
          <w:sz w:val="22"/>
          <w:szCs w:val="22"/>
        </w:rPr>
        <w:t xml:space="preserve">model, we inferred an annual clinical incidence in children under </w:t>
      </w:r>
      <w:r w:rsidR="00EE7DB8" w:rsidRPr="00455A3C">
        <w:rPr>
          <w:rFonts w:cstheme="minorHAnsi"/>
          <w:iCs/>
          <w:sz w:val="22"/>
          <w:szCs w:val="22"/>
        </w:rPr>
        <w:t>five</w:t>
      </w:r>
      <w:r w:rsidRPr="00455A3C">
        <w:rPr>
          <w:rFonts w:cstheme="minorHAnsi"/>
          <w:iCs/>
          <w:sz w:val="22"/>
          <w:szCs w:val="22"/>
        </w:rPr>
        <w:t xml:space="preserve"> at 6.5 cases per child. This included both treated and untreated cases.</w:t>
      </w:r>
    </w:p>
    <w:p w14:paraId="4136F3F2" w14:textId="65644813" w:rsidR="008815C4" w:rsidRPr="00455A3C" w:rsidRDefault="008815C4" w:rsidP="005354EA">
      <w:pPr>
        <w:pStyle w:val="ListParagraph"/>
        <w:numPr>
          <w:ilvl w:val="0"/>
          <w:numId w:val="8"/>
        </w:numPr>
        <w:spacing w:line="276" w:lineRule="auto"/>
        <w:rPr>
          <w:rFonts w:cstheme="minorHAnsi"/>
          <w:iCs/>
          <w:sz w:val="22"/>
          <w:szCs w:val="22"/>
        </w:rPr>
      </w:pPr>
      <w:r w:rsidRPr="00455A3C">
        <w:rPr>
          <w:rFonts w:cstheme="minorHAnsi"/>
          <w:iCs/>
          <w:sz w:val="22"/>
          <w:szCs w:val="22"/>
        </w:rPr>
        <w:t xml:space="preserve">Using the Banfora trial model, we generated a suite of simulations where the initial killing rate of the pyrethroid nets varied from 0.1 to 0.9. Net usage patterns (seasonality of usage, net retention </w:t>
      </w:r>
      <w:r w:rsidR="0012501D" w:rsidRPr="00455A3C">
        <w:rPr>
          <w:rFonts w:cstheme="minorHAnsi"/>
          <w:iCs/>
          <w:sz w:val="22"/>
          <w:szCs w:val="22"/>
        </w:rPr>
        <w:t>half-life</w:t>
      </w:r>
      <w:r w:rsidRPr="00455A3C">
        <w:rPr>
          <w:rFonts w:cstheme="minorHAnsi"/>
          <w:iCs/>
          <w:sz w:val="22"/>
          <w:szCs w:val="22"/>
        </w:rPr>
        <w:t>) were taken from Burkina data. For each simulation, we measured the clinical incidence in children under 5</w:t>
      </w:r>
      <w:r w:rsidR="00A570AB" w:rsidRPr="00455A3C">
        <w:rPr>
          <w:rFonts w:cstheme="minorHAnsi"/>
          <w:iCs/>
          <w:sz w:val="22"/>
          <w:szCs w:val="22"/>
        </w:rPr>
        <w:t xml:space="preserve"> years </w:t>
      </w:r>
      <w:r w:rsidRPr="00455A3C">
        <w:rPr>
          <w:rFonts w:cstheme="minorHAnsi"/>
          <w:iCs/>
          <w:sz w:val="22"/>
          <w:szCs w:val="22"/>
        </w:rPr>
        <w:t xml:space="preserve">and calculated the </w:t>
      </w:r>
      <w:r w:rsidR="007D00F6" w:rsidRPr="00455A3C">
        <w:rPr>
          <w:rFonts w:cstheme="minorHAnsi"/>
          <w:iCs/>
          <w:sz w:val="22"/>
          <w:szCs w:val="22"/>
        </w:rPr>
        <w:t>percent</w:t>
      </w:r>
      <w:r w:rsidRPr="00455A3C">
        <w:rPr>
          <w:rFonts w:cstheme="minorHAnsi"/>
          <w:iCs/>
          <w:sz w:val="22"/>
          <w:szCs w:val="22"/>
        </w:rPr>
        <w:t xml:space="preserve"> reduction from the 6.5 cases per child per year in the Banfora non-trial model.</w:t>
      </w:r>
    </w:p>
    <w:p w14:paraId="0390ABBE" w14:textId="0920D97C" w:rsidR="008815C4" w:rsidRPr="00455A3C" w:rsidRDefault="00F86D6A" w:rsidP="005354EA">
      <w:pPr>
        <w:pStyle w:val="ListParagraph"/>
        <w:numPr>
          <w:ilvl w:val="0"/>
          <w:numId w:val="8"/>
        </w:numPr>
        <w:spacing w:line="276" w:lineRule="auto"/>
        <w:rPr>
          <w:rFonts w:cstheme="minorHAnsi"/>
          <w:iCs/>
          <w:sz w:val="22"/>
          <w:szCs w:val="22"/>
        </w:rPr>
      </w:pPr>
      <w:r w:rsidRPr="00455A3C">
        <w:rPr>
          <w:rFonts w:cstheme="minorHAnsi"/>
          <w:iCs/>
          <w:sz w:val="22"/>
          <w:szCs w:val="22"/>
        </w:rPr>
        <w:t>We found that an initial killing rate of 0.3</w:t>
      </w:r>
      <w:r w:rsidR="00741F6B" w:rsidRPr="00455A3C">
        <w:rPr>
          <w:rFonts w:cstheme="minorHAnsi"/>
          <w:iCs/>
          <w:sz w:val="22"/>
          <w:szCs w:val="22"/>
        </w:rPr>
        <w:t>3</w:t>
      </w:r>
      <w:r w:rsidRPr="00455A3C">
        <w:rPr>
          <w:rFonts w:cstheme="minorHAnsi"/>
          <w:iCs/>
          <w:sz w:val="22"/>
          <w:szCs w:val="22"/>
        </w:rPr>
        <w:t xml:space="preserve"> in the model would generate the 12% estimated reduction in incidence from the trial data</w:t>
      </w:r>
      <w:r w:rsidR="00CB4976" w:rsidRPr="00455A3C">
        <w:rPr>
          <w:rFonts w:cstheme="minorHAnsi"/>
          <w:iCs/>
          <w:sz w:val="22"/>
          <w:szCs w:val="22"/>
        </w:rPr>
        <w:t xml:space="preserve"> (Figure </w:t>
      </w:r>
      <w:r w:rsidR="000A550C" w:rsidRPr="00455A3C">
        <w:rPr>
          <w:rFonts w:cstheme="minorHAnsi"/>
          <w:iCs/>
          <w:sz w:val="22"/>
          <w:szCs w:val="22"/>
        </w:rPr>
        <w:t>S</w:t>
      </w:r>
      <w:r w:rsidR="00CB4976" w:rsidRPr="00455A3C">
        <w:rPr>
          <w:rFonts w:cstheme="minorHAnsi"/>
          <w:iCs/>
          <w:sz w:val="22"/>
          <w:szCs w:val="22"/>
        </w:rPr>
        <w:t>5)</w:t>
      </w:r>
      <w:r w:rsidRPr="00455A3C">
        <w:rPr>
          <w:rFonts w:cstheme="minorHAnsi"/>
          <w:iCs/>
          <w:sz w:val="22"/>
          <w:szCs w:val="22"/>
        </w:rPr>
        <w:t>. This produced an anchor point for translating estimated permethrin mortality rates into initial killing rates for input to EMOD.</w:t>
      </w:r>
      <w:r w:rsidR="00CB4976" w:rsidRPr="00455A3C">
        <w:rPr>
          <w:rFonts w:cstheme="minorHAnsi"/>
          <w:iCs/>
          <w:sz w:val="22"/>
          <w:szCs w:val="22"/>
        </w:rPr>
        <w:br/>
      </w:r>
      <w:r w:rsidR="00CB4976" w:rsidRPr="00C0372B">
        <w:rPr>
          <w:rFonts w:cstheme="minorHAnsi"/>
          <w:iCs/>
          <w:noProof/>
          <w:sz w:val="22"/>
          <w:szCs w:val="22"/>
        </w:rPr>
        <w:drawing>
          <wp:inline distT="0" distB="0" distL="0" distR="0" wp14:anchorId="075350FB" wp14:editId="5D9CAB84">
            <wp:extent cx="3906317" cy="2228724"/>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5_ITN calibration.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16178" cy="2234350"/>
                    </a:xfrm>
                    <a:prstGeom prst="rect">
                      <a:avLst/>
                    </a:prstGeom>
                  </pic:spPr>
                </pic:pic>
              </a:graphicData>
            </a:graphic>
          </wp:inline>
        </w:drawing>
      </w:r>
    </w:p>
    <w:p w14:paraId="2BAAF433" w14:textId="0195CC71" w:rsidR="00CB4976" w:rsidRPr="00455A3C" w:rsidRDefault="00CB4976" w:rsidP="005354EA">
      <w:pPr>
        <w:pStyle w:val="ListParagraph"/>
        <w:spacing w:line="276" w:lineRule="auto"/>
        <w:ind w:left="630"/>
        <w:rPr>
          <w:rFonts w:cstheme="minorHAnsi"/>
          <w:iCs/>
          <w:sz w:val="22"/>
          <w:szCs w:val="22"/>
        </w:rPr>
      </w:pPr>
      <w:r w:rsidRPr="00455A3C">
        <w:rPr>
          <w:rFonts w:cstheme="minorHAnsi"/>
          <w:iCs/>
          <w:sz w:val="22"/>
          <w:szCs w:val="22"/>
        </w:rPr>
        <w:t xml:space="preserve">Figure </w:t>
      </w:r>
      <w:r w:rsidR="000A550C" w:rsidRPr="00455A3C">
        <w:rPr>
          <w:rFonts w:cstheme="minorHAnsi"/>
          <w:iCs/>
          <w:sz w:val="22"/>
          <w:szCs w:val="22"/>
        </w:rPr>
        <w:t>S</w:t>
      </w:r>
      <w:r w:rsidRPr="00455A3C">
        <w:rPr>
          <w:rFonts w:cstheme="minorHAnsi"/>
          <w:iCs/>
          <w:sz w:val="22"/>
          <w:szCs w:val="22"/>
        </w:rPr>
        <w:t xml:space="preserve">5: Estimated ITN kill rate for a 12% reduction in annual malaria incidence among children under the age of five years </w:t>
      </w:r>
    </w:p>
    <w:p w14:paraId="6AD0B169" w14:textId="77777777" w:rsidR="00C81D26" w:rsidRPr="00455A3C" w:rsidRDefault="00C81D26" w:rsidP="005354EA">
      <w:pPr>
        <w:pStyle w:val="ListParagraph"/>
        <w:spacing w:line="276" w:lineRule="auto"/>
        <w:ind w:left="630"/>
        <w:rPr>
          <w:rFonts w:cstheme="minorHAnsi"/>
          <w:iCs/>
          <w:sz w:val="22"/>
          <w:szCs w:val="22"/>
        </w:rPr>
      </w:pPr>
    </w:p>
    <w:p w14:paraId="219A0E07" w14:textId="6EC036BD" w:rsidR="00774AD1" w:rsidRPr="00455A3C" w:rsidRDefault="00774AD1" w:rsidP="005354EA">
      <w:pPr>
        <w:pStyle w:val="ListParagraph"/>
        <w:numPr>
          <w:ilvl w:val="0"/>
          <w:numId w:val="8"/>
        </w:numPr>
        <w:spacing w:line="276" w:lineRule="auto"/>
        <w:rPr>
          <w:rFonts w:cstheme="minorHAnsi"/>
          <w:iCs/>
          <w:sz w:val="22"/>
          <w:szCs w:val="22"/>
        </w:rPr>
      </w:pPr>
      <w:r w:rsidRPr="00455A3C">
        <w:rPr>
          <w:rFonts w:cstheme="minorHAnsi"/>
          <w:iCs/>
          <w:sz w:val="22"/>
          <w:szCs w:val="22"/>
        </w:rPr>
        <w:t xml:space="preserve">We took the statistical relationship </w:t>
      </w:r>
      <w:r w:rsidR="00710CF5" w:rsidRPr="00455A3C">
        <w:rPr>
          <w:rFonts w:cstheme="minorHAnsi"/>
          <w:iCs/>
          <w:sz w:val="22"/>
          <w:szCs w:val="22"/>
        </w:rPr>
        <w:t xml:space="preserve">as defined </w:t>
      </w:r>
      <w:r w:rsidRPr="00455A3C">
        <w:rPr>
          <w:rFonts w:cstheme="minorHAnsi"/>
          <w:iCs/>
          <w:sz w:val="22"/>
          <w:szCs w:val="22"/>
        </w:rPr>
        <w:t>in Churcher</w:t>
      </w:r>
      <w:r w:rsidR="00DE0860" w:rsidRPr="00455A3C">
        <w:rPr>
          <w:rFonts w:cstheme="minorHAnsi"/>
          <w:iCs/>
          <w:sz w:val="22"/>
          <w:szCs w:val="22"/>
        </w:rPr>
        <w:t xml:space="preserve"> et al.</w:t>
      </w:r>
      <w:r w:rsidRPr="00455A3C">
        <w:rPr>
          <w:rFonts w:cstheme="minorHAnsi"/>
          <w:iCs/>
          <w:sz w:val="22"/>
          <w:szCs w:val="22"/>
        </w:rPr>
        <w:t xml:space="preserve"> 201</w:t>
      </w:r>
      <w:r w:rsidR="00E94B01" w:rsidRPr="00455A3C">
        <w:rPr>
          <w:rFonts w:cstheme="minorHAnsi"/>
          <w:iCs/>
          <w:sz w:val="22"/>
          <w:szCs w:val="22"/>
        </w:rPr>
        <w:t>6</w:t>
      </w:r>
      <w:r w:rsidR="00DE0860" w:rsidRPr="00455A3C">
        <w:rPr>
          <w:rFonts w:cstheme="minorHAnsi"/>
          <w:iCs/>
          <w:sz w:val="22"/>
          <w:szCs w:val="22"/>
        </w:rPr>
        <w:t xml:space="preserve"> </w:t>
      </w:r>
      <w:r w:rsidR="00DE0860" w:rsidRPr="00C0372B">
        <w:rPr>
          <w:rFonts w:cstheme="minorHAnsi"/>
          <w:iCs/>
          <w:sz w:val="22"/>
          <w:szCs w:val="22"/>
        </w:rPr>
        <w:fldChar w:fldCharType="begin" w:fldLock="1"/>
      </w:r>
      <w:r w:rsidR="00C72B9D">
        <w:rPr>
          <w:rFonts w:cstheme="minorHAnsi"/>
          <w:iCs/>
          <w:sz w:val="22"/>
          <w:szCs w:val="22"/>
        </w:rPr>
        <w:instrText>ADDIN CSL_CITATION {"citationItems":[{"id":"ITEM-1","itemData":{"DOI":"10.7554/eLife.16090","ISSN":"2050084X","PMID":"27547988","abstract":"Long lasting pyrethroid treated bednets are the most important tool for preventing malaria. Pyrethroid resistant Anopheline mosquitoes are now ubiquitous in Africa, though the public health impact remains unclear, impeding the deployment of more expensive nets. Meta-analyses of bioassay studies and experimental hut trials are used to characterise how pyrethroid resistance changes the efficacy of standard bednets, and those containing the synergist piperonyl butoxide (PBO), and assess its impact on malaria control. New bednets provide substantial personal protection until high levels of resistance, though protection may wane faster against more resistant mosquito populations as nets age. Transmission dynamics models indicate that even low levels of resistance would increase the incidence of malaria due to reduced mosquito mortality and lower overall community protection over the life-time of the net. Switching to PBO bednets could avert up to 0.5 clinical cases per person per year in some resistance scenarios.","author":[{"dropping-particle":"","family":"Churcher","given":"Thomas S.","non-dropping-particle":"","parse-names":false,"suffix":""},{"dropping-particle":"","family":"Lissenden","given":"Natalie","non-dropping-particle":"","parse-names":false,"suffix":""},{"dropping-particle":"","family":"Griffin","given":"Jamie T.","non-dropping-particle":"","parse-names":false,"suffix":""},{"dropping-particle":"","family":"Worrall","given":"Eve","non-dropping-particle":"","parse-names":false,"suffix":""},{"dropping-particle":"","family":"Ranson","given":"Hilary","non-dropping-particle":"","parse-names":false,"suffix":""}],"container-title":"eLife","id":"ITEM-1","issue":"AUGUST","issued":{"date-parts":[["2016","8","22"]]},"publisher":"eLife Sciences Publications Ltd","title":"The impact of pyrethroid resistance on the efficacy and effectiveness of bednets for malaria control in Africa","type":"article-journal","volume":"5"},"uris":["http://www.mendeley.com/documents/?uuid=469aec0f-1a04-3b85-85e4-9af79e7773ed"]}],"mendeley":{"formattedCitation":"[18]","plainTextFormattedCitation":"[18]","previouslyFormattedCitation":"[18]"},"properties":{"noteIndex":0},"schema":"https://github.com/citation-style-language/schema/raw/master/csl-citation.json"}</w:instrText>
      </w:r>
      <w:r w:rsidR="00DE0860" w:rsidRPr="00C0372B">
        <w:rPr>
          <w:rFonts w:cstheme="minorHAnsi"/>
          <w:iCs/>
          <w:sz w:val="22"/>
          <w:szCs w:val="22"/>
        </w:rPr>
        <w:fldChar w:fldCharType="separate"/>
      </w:r>
      <w:r w:rsidR="00D540A2" w:rsidRPr="00D540A2">
        <w:rPr>
          <w:rFonts w:cstheme="minorHAnsi"/>
          <w:iCs/>
          <w:noProof/>
          <w:sz w:val="22"/>
          <w:szCs w:val="22"/>
        </w:rPr>
        <w:t>[18]</w:t>
      </w:r>
      <w:r w:rsidR="00DE0860" w:rsidRPr="00C0372B">
        <w:rPr>
          <w:rFonts w:cstheme="minorHAnsi"/>
          <w:iCs/>
          <w:sz w:val="22"/>
          <w:szCs w:val="22"/>
        </w:rPr>
        <w:fldChar w:fldCharType="end"/>
      </w:r>
      <w:r w:rsidRPr="00455A3C">
        <w:rPr>
          <w:rFonts w:cstheme="minorHAnsi"/>
          <w:iCs/>
          <w:sz w:val="22"/>
          <w:szCs w:val="22"/>
        </w:rPr>
        <w:t xml:space="preserve">, Figure </w:t>
      </w:r>
      <w:r w:rsidR="00C11E32" w:rsidRPr="00455A3C">
        <w:rPr>
          <w:rFonts w:cstheme="minorHAnsi"/>
          <w:iCs/>
          <w:sz w:val="22"/>
          <w:szCs w:val="22"/>
        </w:rPr>
        <w:t>2</w:t>
      </w:r>
      <w:r w:rsidRPr="00455A3C">
        <w:rPr>
          <w:rFonts w:cstheme="minorHAnsi"/>
          <w:iCs/>
          <w:sz w:val="22"/>
          <w:szCs w:val="22"/>
        </w:rPr>
        <w:t>a</w:t>
      </w:r>
      <w:r w:rsidR="00310C2A" w:rsidRPr="00455A3C">
        <w:rPr>
          <w:rFonts w:cstheme="minorHAnsi"/>
          <w:iCs/>
          <w:sz w:val="22"/>
          <w:szCs w:val="22"/>
        </w:rPr>
        <w:t xml:space="preserve"> </w:t>
      </w:r>
      <w:r w:rsidR="00BC7F6A" w:rsidRPr="00455A3C">
        <w:rPr>
          <w:rFonts w:cstheme="minorHAnsi"/>
          <w:iCs/>
          <w:sz w:val="22"/>
          <w:szCs w:val="22"/>
        </w:rPr>
        <w:t xml:space="preserve">and Equation 2 </w:t>
      </w:r>
      <w:r w:rsidR="00310C2A" w:rsidRPr="00455A3C">
        <w:rPr>
          <w:rFonts w:cstheme="minorHAnsi"/>
          <w:iCs/>
          <w:sz w:val="22"/>
          <w:szCs w:val="22"/>
        </w:rPr>
        <w:t>best-fit model</w:t>
      </w:r>
      <w:r w:rsidRPr="00455A3C">
        <w:rPr>
          <w:rFonts w:cstheme="minorHAnsi"/>
          <w:iCs/>
          <w:sz w:val="22"/>
          <w:szCs w:val="22"/>
        </w:rPr>
        <w:t>, and assumed the relation</w:t>
      </w:r>
      <w:r w:rsidR="00C11E32" w:rsidRPr="00455A3C">
        <w:rPr>
          <w:rFonts w:cstheme="minorHAnsi"/>
          <w:iCs/>
          <w:sz w:val="22"/>
          <w:szCs w:val="22"/>
        </w:rPr>
        <w:t>ship between bioassay mortality and EMOD killing rate would be a linear scaled version of the relationship between bioassay mortality and experimental hut killing. We determined the scale factor by looking up the MAP estimate of permethrin mortality in Banfora in 2014</w:t>
      </w:r>
      <w:r w:rsidR="00A5029A" w:rsidRPr="00455A3C">
        <w:rPr>
          <w:rFonts w:cstheme="minorHAnsi"/>
          <w:iCs/>
          <w:sz w:val="22"/>
          <w:szCs w:val="22"/>
        </w:rPr>
        <w:t xml:space="preserve"> (0.24)</w:t>
      </w:r>
      <w:r w:rsidR="00C11E32" w:rsidRPr="00455A3C">
        <w:rPr>
          <w:rFonts w:cstheme="minorHAnsi"/>
          <w:iCs/>
          <w:sz w:val="22"/>
          <w:szCs w:val="22"/>
        </w:rPr>
        <w:t>, calculat</w:t>
      </w:r>
      <w:r w:rsidR="00230D73">
        <w:rPr>
          <w:rFonts w:cstheme="minorHAnsi"/>
          <w:iCs/>
          <w:sz w:val="22"/>
          <w:szCs w:val="22"/>
        </w:rPr>
        <w:t>ing</w:t>
      </w:r>
      <w:r w:rsidR="00C11E32" w:rsidRPr="00455A3C">
        <w:rPr>
          <w:rFonts w:cstheme="minorHAnsi"/>
          <w:iCs/>
          <w:sz w:val="22"/>
          <w:szCs w:val="22"/>
        </w:rPr>
        <w:t xml:space="preserve"> the </w:t>
      </w:r>
      <w:r w:rsidR="00230D73">
        <w:rPr>
          <w:rFonts w:cstheme="minorHAnsi"/>
          <w:iCs/>
          <w:sz w:val="22"/>
          <w:szCs w:val="22"/>
        </w:rPr>
        <w:t xml:space="preserve">experimental hut </w:t>
      </w:r>
      <w:r w:rsidR="00C11E32" w:rsidRPr="00455A3C">
        <w:rPr>
          <w:rFonts w:cstheme="minorHAnsi"/>
          <w:iCs/>
          <w:sz w:val="22"/>
          <w:szCs w:val="22"/>
        </w:rPr>
        <w:t>kill rate from the Churcher et al. model</w:t>
      </w:r>
      <w:r w:rsidR="00741F6B" w:rsidRPr="00455A3C">
        <w:rPr>
          <w:rFonts w:cstheme="minorHAnsi"/>
          <w:iCs/>
          <w:sz w:val="22"/>
          <w:szCs w:val="22"/>
        </w:rPr>
        <w:t xml:space="preserve"> (0.4</w:t>
      </w:r>
      <w:r w:rsidR="00BF5C49" w:rsidRPr="00455A3C">
        <w:rPr>
          <w:rFonts w:cstheme="minorHAnsi"/>
          <w:iCs/>
          <w:sz w:val="22"/>
          <w:szCs w:val="22"/>
        </w:rPr>
        <w:t>0</w:t>
      </w:r>
      <w:r w:rsidR="00741F6B" w:rsidRPr="00455A3C">
        <w:rPr>
          <w:rFonts w:cstheme="minorHAnsi"/>
          <w:iCs/>
          <w:sz w:val="22"/>
          <w:szCs w:val="22"/>
        </w:rPr>
        <w:t>)</w:t>
      </w:r>
      <w:r w:rsidR="00C11E32" w:rsidRPr="00455A3C">
        <w:rPr>
          <w:rFonts w:cstheme="minorHAnsi"/>
          <w:iCs/>
          <w:sz w:val="22"/>
          <w:szCs w:val="22"/>
        </w:rPr>
        <w:t>, and comparing with our fitted value of 0.3</w:t>
      </w:r>
      <w:r w:rsidR="001B531F" w:rsidRPr="00455A3C">
        <w:rPr>
          <w:rFonts w:cstheme="minorHAnsi"/>
          <w:iCs/>
          <w:sz w:val="22"/>
          <w:szCs w:val="22"/>
        </w:rPr>
        <w:t>3</w:t>
      </w:r>
      <w:r w:rsidR="00C11E32" w:rsidRPr="00455A3C">
        <w:rPr>
          <w:rFonts w:cstheme="minorHAnsi"/>
          <w:iCs/>
          <w:sz w:val="22"/>
          <w:szCs w:val="22"/>
        </w:rPr>
        <w:t xml:space="preserve"> from step 5 above. This yielded a scale factor of 0.83 to translate the Churcher et al. kill rate to EMOD kill rate</w:t>
      </w:r>
      <w:r w:rsidR="00FD1D57" w:rsidRPr="00455A3C">
        <w:rPr>
          <w:rFonts w:cstheme="minorHAnsi"/>
          <w:iCs/>
          <w:sz w:val="22"/>
          <w:szCs w:val="22"/>
        </w:rPr>
        <w:t xml:space="preserve"> (Figure </w:t>
      </w:r>
      <w:r w:rsidR="00C81D26" w:rsidRPr="00455A3C">
        <w:rPr>
          <w:rFonts w:cstheme="minorHAnsi"/>
          <w:iCs/>
          <w:sz w:val="22"/>
          <w:szCs w:val="22"/>
        </w:rPr>
        <w:t>S</w:t>
      </w:r>
      <w:r w:rsidR="00FD1D57" w:rsidRPr="00455A3C">
        <w:rPr>
          <w:rFonts w:cstheme="minorHAnsi"/>
          <w:iCs/>
          <w:sz w:val="22"/>
          <w:szCs w:val="22"/>
        </w:rPr>
        <w:t>6)</w:t>
      </w:r>
      <w:r w:rsidR="00C11E32" w:rsidRPr="00455A3C">
        <w:rPr>
          <w:rFonts w:cstheme="minorHAnsi"/>
          <w:iCs/>
          <w:sz w:val="22"/>
          <w:szCs w:val="22"/>
        </w:rPr>
        <w:t>.</w:t>
      </w:r>
    </w:p>
    <w:p w14:paraId="574D5E1E" w14:textId="15B866F0" w:rsidR="00FD1D57" w:rsidRPr="00455A3C" w:rsidRDefault="00FD1D57" w:rsidP="005354EA">
      <w:pPr>
        <w:pStyle w:val="ListParagraph"/>
        <w:spacing w:line="276" w:lineRule="auto"/>
        <w:ind w:left="630"/>
        <w:rPr>
          <w:rFonts w:cstheme="minorHAnsi"/>
          <w:iCs/>
          <w:sz w:val="22"/>
          <w:szCs w:val="22"/>
        </w:rPr>
      </w:pPr>
      <w:r w:rsidRPr="00C0372B">
        <w:rPr>
          <w:rFonts w:cstheme="minorHAnsi"/>
          <w:iCs/>
          <w:noProof/>
          <w:sz w:val="22"/>
          <w:szCs w:val="22"/>
        </w:rPr>
        <w:lastRenderedPageBreak/>
        <w:drawing>
          <wp:inline distT="0" distB="0" distL="0" distR="0" wp14:anchorId="17A213CD" wp14:editId="53184FEE">
            <wp:extent cx="3679546" cy="2263422"/>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6_ITN calibration scaling.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89514" cy="2269554"/>
                    </a:xfrm>
                    <a:prstGeom prst="rect">
                      <a:avLst/>
                    </a:prstGeom>
                  </pic:spPr>
                </pic:pic>
              </a:graphicData>
            </a:graphic>
          </wp:inline>
        </w:drawing>
      </w:r>
    </w:p>
    <w:p w14:paraId="6DB9B5C4" w14:textId="058F9FCF" w:rsidR="003747BC" w:rsidRPr="00B41CDB" w:rsidRDefault="00FD1D57">
      <w:pPr>
        <w:pStyle w:val="ListParagraph"/>
        <w:spacing w:line="276" w:lineRule="auto"/>
        <w:ind w:left="634"/>
        <w:rPr>
          <w:sz w:val="22"/>
          <w:szCs w:val="22"/>
        </w:rPr>
      </w:pPr>
      <w:r w:rsidRPr="00B41CDB">
        <w:rPr>
          <w:rFonts w:cstheme="minorHAnsi"/>
          <w:iCs/>
          <w:sz w:val="22"/>
          <w:szCs w:val="22"/>
        </w:rPr>
        <w:t xml:space="preserve">Figure </w:t>
      </w:r>
      <w:r w:rsidR="00C81D26" w:rsidRPr="00B41CDB">
        <w:rPr>
          <w:rFonts w:cstheme="minorHAnsi"/>
          <w:iCs/>
          <w:sz w:val="22"/>
          <w:szCs w:val="22"/>
        </w:rPr>
        <w:t>S</w:t>
      </w:r>
      <w:r w:rsidRPr="00B41CDB">
        <w:rPr>
          <w:rFonts w:cstheme="minorHAnsi"/>
          <w:iCs/>
          <w:sz w:val="22"/>
          <w:szCs w:val="22"/>
        </w:rPr>
        <w:t>6: The relationship between permethrin bioassay mortality and ITN killing rate in the Churcher</w:t>
      </w:r>
      <w:r w:rsidR="00710CF5" w:rsidRPr="00B41CDB">
        <w:rPr>
          <w:rFonts w:cstheme="minorHAnsi"/>
          <w:iCs/>
          <w:sz w:val="22"/>
          <w:szCs w:val="22"/>
        </w:rPr>
        <w:t xml:space="preserve"> et al.</w:t>
      </w:r>
      <w:r w:rsidRPr="00B41CDB">
        <w:rPr>
          <w:rFonts w:cstheme="minorHAnsi"/>
          <w:iCs/>
          <w:sz w:val="22"/>
          <w:szCs w:val="22"/>
        </w:rPr>
        <w:t xml:space="preserve"> model and EMOD. Scale factors was calculated by dividing the EMOD kill rate (0.33) by the kill rate from the Churcher </w:t>
      </w:r>
      <w:r w:rsidR="00CA5D34" w:rsidRPr="00B41CDB">
        <w:rPr>
          <w:rFonts w:cstheme="minorHAnsi"/>
          <w:iCs/>
          <w:sz w:val="22"/>
          <w:szCs w:val="22"/>
        </w:rPr>
        <w:t xml:space="preserve">et al. </w:t>
      </w:r>
      <w:r w:rsidRPr="00B41CDB">
        <w:rPr>
          <w:rFonts w:cstheme="minorHAnsi"/>
          <w:iCs/>
          <w:sz w:val="22"/>
          <w:szCs w:val="22"/>
        </w:rPr>
        <w:t>model (0.40)</w:t>
      </w:r>
      <w:r w:rsidR="00654471" w:rsidRPr="00B41CDB">
        <w:rPr>
          <w:rFonts w:cstheme="minorHAnsi"/>
          <w:iCs/>
          <w:sz w:val="22"/>
          <w:szCs w:val="22"/>
        </w:rPr>
        <w:t>.</w:t>
      </w:r>
    </w:p>
    <w:p w14:paraId="7E320F0A" w14:textId="77777777" w:rsidR="003747BC" w:rsidRPr="00455A3C" w:rsidRDefault="003747BC" w:rsidP="005354EA">
      <w:pPr>
        <w:pStyle w:val="ListParagraph"/>
        <w:spacing w:line="276" w:lineRule="auto"/>
        <w:ind w:left="634"/>
        <w:rPr>
          <w:rFonts w:cstheme="minorHAnsi"/>
          <w:iCs/>
          <w:sz w:val="22"/>
          <w:szCs w:val="22"/>
        </w:rPr>
      </w:pPr>
    </w:p>
    <w:p w14:paraId="300B1332" w14:textId="74F3DABA" w:rsidR="00376CE5" w:rsidRPr="00455A3C" w:rsidRDefault="00376CE5" w:rsidP="005354EA">
      <w:pPr>
        <w:pStyle w:val="ListParagraph"/>
        <w:numPr>
          <w:ilvl w:val="0"/>
          <w:numId w:val="8"/>
        </w:numPr>
        <w:spacing w:line="276" w:lineRule="auto"/>
        <w:rPr>
          <w:rFonts w:cstheme="minorHAnsi"/>
          <w:iCs/>
          <w:sz w:val="22"/>
          <w:szCs w:val="22"/>
        </w:rPr>
      </w:pPr>
      <w:r w:rsidRPr="00455A3C">
        <w:rPr>
          <w:rFonts w:cstheme="minorHAnsi"/>
          <w:iCs/>
          <w:sz w:val="22"/>
          <w:szCs w:val="22"/>
        </w:rPr>
        <w:t xml:space="preserve">Predicted permethrin </w:t>
      </w:r>
      <w:r w:rsidR="005F6925" w:rsidRPr="00455A3C">
        <w:rPr>
          <w:rFonts w:cstheme="minorHAnsi"/>
          <w:iCs/>
          <w:sz w:val="22"/>
          <w:szCs w:val="22"/>
        </w:rPr>
        <w:t>bioassay</w:t>
      </w:r>
      <w:r w:rsidR="007406B0" w:rsidRPr="00455A3C">
        <w:rPr>
          <w:rFonts w:cstheme="minorHAnsi"/>
          <w:iCs/>
          <w:sz w:val="22"/>
          <w:szCs w:val="22"/>
        </w:rPr>
        <w:t xml:space="preserve"> mortality maps</w:t>
      </w:r>
      <w:r w:rsidR="005F6925" w:rsidRPr="00455A3C">
        <w:rPr>
          <w:rFonts w:cstheme="minorHAnsi"/>
          <w:iCs/>
          <w:sz w:val="22"/>
          <w:szCs w:val="22"/>
        </w:rPr>
        <w:t xml:space="preserve"> </w:t>
      </w:r>
      <w:r w:rsidR="007406B0" w:rsidRPr="00455A3C">
        <w:rPr>
          <w:rFonts w:cstheme="minorHAnsi"/>
          <w:iCs/>
          <w:sz w:val="22"/>
          <w:szCs w:val="22"/>
        </w:rPr>
        <w:t xml:space="preserve">generated by MAP </w:t>
      </w:r>
      <w:r w:rsidR="005F6925" w:rsidRPr="00455A3C">
        <w:rPr>
          <w:rFonts w:cstheme="minorHAnsi"/>
          <w:iCs/>
          <w:sz w:val="22"/>
          <w:szCs w:val="22"/>
        </w:rPr>
        <w:t xml:space="preserve">were plugged into the </w:t>
      </w:r>
      <w:r w:rsidRPr="00455A3C">
        <w:rPr>
          <w:rFonts w:cstheme="minorHAnsi"/>
          <w:iCs/>
          <w:sz w:val="22"/>
          <w:szCs w:val="22"/>
        </w:rPr>
        <w:t xml:space="preserve">statistical </w:t>
      </w:r>
      <w:r w:rsidR="005F6925" w:rsidRPr="00455A3C">
        <w:rPr>
          <w:rFonts w:cstheme="minorHAnsi"/>
          <w:iCs/>
          <w:sz w:val="22"/>
          <w:szCs w:val="22"/>
        </w:rPr>
        <w:t>model</w:t>
      </w:r>
      <w:r w:rsidR="004678CC" w:rsidRPr="00455A3C">
        <w:rPr>
          <w:rFonts w:cstheme="minorHAnsi"/>
          <w:iCs/>
          <w:sz w:val="22"/>
          <w:szCs w:val="22"/>
        </w:rPr>
        <w:t xml:space="preserve"> then rescaled</w:t>
      </w:r>
      <w:r w:rsidR="005F6925" w:rsidRPr="00455A3C">
        <w:rPr>
          <w:rFonts w:cstheme="minorHAnsi"/>
          <w:iCs/>
          <w:sz w:val="22"/>
          <w:szCs w:val="22"/>
        </w:rPr>
        <w:t xml:space="preserve"> to </w:t>
      </w:r>
      <w:r w:rsidR="0098170F" w:rsidRPr="00455A3C">
        <w:rPr>
          <w:rFonts w:cstheme="minorHAnsi"/>
          <w:iCs/>
          <w:sz w:val="22"/>
          <w:szCs w:val="22"/>
        </w:rPr>
        <w:t>estimate ITN killing rates for individual LGAs in Nigeria</w:t>
      </w:r>
      <w:r w:rsidR="00B565DC" w:rsidRPr="00455A3C">
        <w:rPr>
          <w:rFonts w:cstheme="minorHAnsi"/>
          <w:iCs/>
          <w:sz w:val="22"/>
          <w:szCs w:val="22"/>
        </w:rPr>
        <w:t xml:space="preserve"> for nets distributed between 20</w:t>
      </w:r>
      <w:r w:rsidR="00C74E4B" w:rsidRPr="00455A3C">
        <w:rPr>
          <w:rFonts w:cstheme="minorHAnsi"/>
          <w:iCs/>
          <w:sz w:val="22"/>
          <w:szCs w:val="22"/>
        </w:rPr>
        <w:t>10</w:t>
      </w:r>
      <w:r w:rsidR="00B565DC" w:rsidRPr="00455A3C">
        <w:rPr>
          <w:rFonts w:cstheme="minorHAnsi"/>
          <w:iCs/>
          <w:sz w:val="22"/>
          <w:szCs w:val="22"/>
        </w:rPr>
        <w:t xml:space="preserve"> </w:t>
      </w:r>
      <w:r w:rsidR="00710CF5" w:rsidRPr="00455A3C">
        <w:rPr>
          <w:rFonts w:cstheme="minorHAnsi"/>
          <w:iCs/>
          <w:sz w:val="22"/>
          <w:szCs w:val="22"/>
        </w:rPr>
        <w:t xml:space="preserve">and </w:t>
      </w:r>
      <w:r w:rsidR="00B565DC" w:rsidRPr="00455A3C">
        <w:rPr>
          <w:rFonts w:cstheme="minorHAnsi"/>
          <w:iCs/>
          <w:sz w:val="22"/>
          <w:szCs w:val="22"/>
        </w:rPr>
        <w:t>2017; nets distributed after 2017 were assumed to have kill rates corresponding to MAP’s 2017 estimate of permethrin mortality</w:t>
      </w:r>
      <w:r w:rsidR="00731777" w:rsidRPr="00455A3C">
        <w:rPr>
          <w:rFonts w:cstheme="minorHAnsi"/>
          <w:iCs/>
          <w:sz w:val="22"/>
          <w:szCs w:val="22"/>
        </w:rPr>
        <w:t xml:space="preserve"> for the LGA</w:t>
      </w:r>
      <w:r w:rsidR="0098170F" w:rsidRPr="00455A3C">
        <w:rPr>
          <w:rFonts w:cstheme="minorHAnsi"/>
          <w:iCs/>
          <w:sz w:val="22"/>
          <w:szCs w:val="22"/>
        </w:rPr>
        <w:t>.</w:t>
      </w:r>
      <w:r w:rsidR="00BF5C49" w:rsidRPr="00455A3C">
        <w:rPr>
          <w:rFonts w:cstheme="minorHAnsi"/>
          <w:iCs/>
          <w:sz w:val="22"/>
          <w:szCs w:val="22"/>
        </w:rPr>
        <w:t xml:space="preserve"> Permethrin net kill rates, accounting for resistance, ranged from 0.25 </w:t>
      </w:r>
      <w:r w:rsidR="00710CF5" w:rsidRPr="00455A3C">
        <w:rPr>
          <w:rFonts w:cstheme="minorHAnsi"/>
          <w:iCs/>
          <w:sz w:val="22"/>
          <w:szCs w:val="22"/>
        </w:rPr>
        <w:t xml:space="preserve">to </w:t>
      </w:r>
      <w:r w:rsidR="0060768D">
        <w:rPr>
          <w:rFonts w:cstheme="minorHAnsi"/>
          <w:iCs/>
          <w:sz w:val="22"/>
          <w:szCs w:val="22"/>
        </w:rPr>
        <w:t>0.73</w:t>
      </w:r>
      <w:r w:rsidR="00BF5C49" w:rsidRPr="00455A3C">
        <w:rPr>
          <w:rFonts w:cstheme="minorHAnsi"/>
          <w:iCs/>
          <w:sz w:val="22"/>
          <w:szCs w:val="22"/>
        </w:rPr>
        <w:t>, across all 774 LGAs.</w:t>
      </w:r>
    </w:p>
    <w:p w14:paraId="1F0BF774" w14:textId="77777777" w:rsidR="00F444E2" w:rsidRPr="00455A3C" w:rsidRDefault="00F444E2" w:rsidP="005354EA">
      <w:pPr>
        <w:pStyle w:val="ListParagraph"/>
        <w:spacing w:line="276" w:lineRule="auto"/>
        <w:ind w:left="630"/>
        <w:rPr>
          <w:rFonts w:cstheme="minorHAnsi"/>
          <w:iCs/>
          <w:sz w:val="22"/>
          <w:szCs w:val="22"/>
        </w:rPr>
      </w:pPr>
    </w:p>
    <w:p w14:paraId="5BD72565" w14:textId="0BA131D1" w:rsidR="00830FF6" w:rsidRPr="00455A3C" w:rsidRDefault="00830FF6" w:rsidP="005354EA">
      <w:pPr>
        <w:pStyle w:val="Heading3"/>
        <w:numPr>
          <w:ilvl w:val="0"/>
          <w:numId w:val="15"/>
        </w:numPr>
        <w:spacing w:before="0" w:line="276" w:lineRule="auto"/>
        <w:contextualSpacing/>
        <w:rPr>
          <w:rFonts w:asciiTheme="minorHAnsi" w:eastAsia="Times New Roman" w:hAnsiTheme="minorHAnsi" w:cstheme="minorHAnsi"/>
          <w:i/>
          <w:color w:val="auto"/>
          <w:sz w:val="22"/>
          <w:szCs w:val="22"/>
          <w:u w:val="single"/>
        </w:rPr>
      </w:pPr>
      <w:bookmarkStart w:id="7" w:name="_Toc77757580"/>
      <w:r w:rsidRPr="00455A3C">
        <w:rPr>
          <w:rFonts w:asciiTheme="minorHAnsi" w:eastAsia="Times New Roman" w:hAnsiTheme="minorHAnsi" w:cstheme="minorHAnsi"/>
          <w:i/>
          <w:color w:val="auto"/>
          <w:sz w:val="22"/>
          <w:szCs w:val="22"/>
          <w:u w:val="single"/>
        </w:rPr>
        <w:t>Pyrethroid piperonyl butoxide (PBO) nets</w:t>
      </w:r>
      <w:bookmarkEnd w:id="7"/>
      <w:r w:rsidRPr="00455A3C">
        <w:rPr>
          <w:rFonts w:asciiTheme="minorHAnsi" w:eastAsia="Times New Roman" w:hAnsiTheme="minorHAnsi" w:cstheme="minorHAnsi"/>
          <w:i/>
          <w:color w:val="auto"/>
          <w:sz w:val="22"/>
          <w:szCs w:val="22"/>
          <w:u w:val="single"/>
        </w:rPr>
        <w:t xml:space="preserve"> </w:t>
      </w:r>
    </w:p>
    <w:p w14:paraId="67C28B46" w14:textId="58E45477" w:rsidR="00830FF6" w:rsidRPr="00455A3C" w:rsidRDefault="00F15D5E" w:rsidP="005354EA">
      <w:pPr>
        <w:spacing w:after="0" w:line="276" w:lineRule="auto"/>
        <w:contextualSpacing/>
        <w:rPr>
          <w:rFonts w:eastAsia="Times New Roman" w:cstheme="minorHAnsi"/>
          <w:color w:val="000000"/>
        </w:rPr>
      </w:pPr>
      <w:r w:rsidRPr="00455A3C">
        <w:rPr>
          <w:rFonts w:eastAsia="Times New Roman" w:cstheme="minorHAnsi"/>
          <w:color w:val="000000"/>
        </w:rPr>
        <w:t xml:space="preserve">Parameterization </w:t>
      </w:r>
      <w:r w:rsidR="00830FF6" w:rsidRPr="00455A3C">
        <w:rPr>
          <w:rFonts w:eastAsia="Times New Roman" w:cstheme="minorHAnsi"/>
          <w:color w:val="000000"/>
        </w:rPr>
        <w:t>of EMOD to capture the efficacy of PBO nets for individual LGAs in</w:t>
      </w:r>
      <w:r w:rsidR="006A4212" w:rsidRPr="00455A3C">
        <w:rPr>
          <w:rFonts w:eastAsia="Times New Roman" w:cstheme="minorHAnsi"/>
          <w:color w:val="000000"/>
        </w:rPr>
        <w:t xml:space="preserve"> Nigeria</w:t>
      </w:r>
      <w:r w:rsidR="00830FF6" w:rsidRPr="00455A3C">
        <w:rPr>
          <w:rFonts w:eastAsia="Times New Roman" w:cstheme="minorHAnsi"/>
          <w:color w:val="000000"/>
        </w:rPr>
        <w:t xml:space="preserve"> followed a similar pattern as </w:t>
      </w:r>
      <w:r w:rsidR="00DA57FB" w:rsidRPr="00455A3C">
        <w:rPr>
          <w:rFonts w:eastAsia="Times New Roman" w:cstheme="minorHAnsi"/>
          <w:color w:val="000000"/>
        </w:rPr>
        <w:t xml:space="preserve">permethrin </w:t>
      </w:r>
      <w:r w:rsidR="00830FF6" w:rsidRPr="00455A3C">
        <w:rPr>
          <w:rFonts w:eastAsia="Times New Roman" w:cstheme="minorHAnsi"/>
          <w:color w:val="000000"/>
        </w:rPr>
        <w:t xml:space="preserve">nets. </w:t>
      </w:r>
      <w:r w:rsidR="006F4F1F" w:rsidRPr="00455A3C">
        <w:rPr>
          <w:rFonts w:eastAsia="Times New Roman" w:cstheme="minorHAnsi"/>
          <w:color w:val="000000"/>
        </w:rPr>
        <w:t xml:space="preserve">Using predicted permethrin mortality data, we computed the proportion </w:t>
      </w:r>
      <w:r w:rsidR="009C7284" w:rsidRPr="00455A3C">
        <w:rPr>
          <w:rFonts w:eastAsia="Times New Roman" w:cstheme="minorHAnsi"/>
          <w:color w:val="000000"/>
        </w:rPr>
        <w:t>of mosquitoes</w:t>
      </w:r>
      <w:r w:rsidR="006F4F1F" w:rsidRPr="00455A3C">
        <w:rPr>
          <w:rFonts w:eastAsia="Times New Roman" w:cstheme="minorHAnsi"/>
          <w:color w:val="000000"/>
        </w:rPr>
        <w:t xml:space="preserve"> killed by insecticides that contain both pyrethroids and PBO</w:t>
      </w:r>
      <w:r w:rsidR="009C7284" w:rsidRPr="00455A3C">
        <w:rPr>
          <w:rFonts w:eastAsia="Times New Roman" w:cstheme="minorHAnsi"/>
          <w:color w:val="000000"/>
        </w:rPr>
        <w:t xml:space="preserve"> </w:t>
      </w:r>
      <m:oMath>
        <m:r>
          <w:rPr>
            <w:rFonts w:ascii="Cambria Math" w:eastAsia="Times New Roman" w:hAnsi="Cambria Math" w:cstheme="minorHAnsi"/>
            <w:color w:val="000000"/>
          </w:rPr>
          <m:t>(f)</m:t>
        </m:r>
      </m:oMath>
      <w:r w:rsidR="006F4F1F" w:rsidRPr="00455A3C">
        <w:rPr>
          <w:rFonts w:eastAsia="Times New Roman" w:cstheme="minorHAnsi"/>
          <w:color w:val="000000"/>
        </w:rPr>
        <w:t xml:space="preserve"> in a bioassay using the following equation</w:t>
      </w:r>
      <w:r w:rsidR="009C7284" w:rsidRPr="00455A3C">
        <w:rPr>
          <w:rFonts w:eastAsia="Times New Roman" w:cstheme="minorHAnsi"/>
          <w:color w:val="000000"/>
        </w:rPr>
        <w:t xml:space="preserve"> from Churcher et al</w:t>
      </w:r>
      <w:r w:rsidR="006B7442" w:rsidRPr="00455A3C">
        <w:rPr>
          <w:rFonts w:eastAsia="Times New Roman" w:cstheme="minorHAnsi"/>
          <w:color w:val="000000"/>
        </w:rPr>
        <w:t xml:space="preserve"> </w:t>
      </w:r>
      <w:r w:rsidR="006B7442" w:rsidRPr="00C0372B">
        <w:rPr>
          <w:rFonts w:eastAsia="Times New Roman" w:cstheme="minorHAnsi"/>
          <w:color w:val="000000"/>
        </w:rPr>
        <w:fldChar w:fldCharType="begin" w:fldLock="1"/>
      </w:r>
      <w:r w:rsidR="00C72B9D">
        <w:rPr>
          <w:rFonts w:eastAsia="Times New Roman" w:cstheme="minorHAnsi"/>
          <w:color w:val="000000"/>
        </w:rPr>
        <w:instrText>ADDIN CSL_CITATION {"citationItems":[{"id":"ITEM-1","itemData":{"DOI":"10.7554/eLife.16090","ISSN":"2050084X","PMID":"27547988","abstract":"Long lasting pyrethroid treated bednets are the most important tool for preventing malaria. Pyrethroid resistant Anopheline mosquitoes are now ubiquitous in Africa, though the public health impact remains unclear, impeding the deployment of more expensive nets. Meta-analyses of bioassay studies and experimental hut trials are used to characterise how pyrethroid resistance changes the efficacy of standard bednets, and those containing the synergist piperonyl butoxide (PBO), and assess its impact on malaria control. New bednets provide substantial personal protection until high levels of resistance, though protection may wane faster against more resistant mosquito populations as nets age. Transmission dynamics models indicate that even low levels of resistance would increase the incidence of malaria due to reduced mosquito mortality and lower overall community protection over the life-time of the net. Switching to PBO bednets could avert up to 0.5 clinical cases per person per year in some resistance scenarios.","author":[{"dropping-particle":"","family":"Churcher","given":"Thomas S.","non-dropping-particle":"","parse-names":false,"suffix":""},{"dropping-particle":"","family":"Lissenden","given":"Natalie","non-dropping-particle":"","parse-names":false,"suffix":""},{"dropping-particle":"","family":"Griffin","given":"Jamie T.","non-dropping-particle":"","parse-names":false,"suffix":""},{"dropping-particle":"","family":"Worrall","given":"Eve","non-dropping-particle":"","parse-names":false,"suffix":""},{"dropping-particle":"","family":"Ranson","given":"Hilary","non-dropping-particle":"","parse-names":false,"suffix":""}],"container-title":"eLife","id":"ITEM-1","issue":"AUGUST","issued":{"date-parts":[["2016","8","22"]]},"publisher":"eLife Sciences Publications Ltd","title":"The impact of pyrethroid resistance on the efficacy and effectiveness of bednets for malaria control in Africa","type":"article-journal","volume":"5"},"uris":["http://www.mendeley.com/documents/?uuid=469aec0f-1a04-3b85-85e4-9af79e7773ed"]}],"mendeley":{"formattedCitation":"[18]","plainTextFormattedCitation":"[18]","previouslyFormattedCitation":"[18]"},"properties":{"noteIndex":0},"schema":"https://github.com/citation-style-language/schema/raw/master/csl-citation.json"}</w:instrText>
      </w:r>
      <w:r w:rsidR="006B7442" w:rsidRPr="00C0372B">
        <w:rPr>
          <w:rFonts w:eastAsia="Times New Roman" w:cstheme="minorHAnsi"/>
          <w:color w:val="000000"/>
        </w:rPr>
        <w:fldChar w:fldCharType="separate"/>
      </w:r>
      <w:r w:rsidR="00D540A2" w:rsidRPr="00D540A2">
        <w:rPr>
          <w:rFonts w:eastAsia="Times New Roman" w:cstheme="minorHAnsi"/>
          <w:noProof/>
          <w:color w:val="000000"/>
        </w:rPr>
        <w:t>[18]</w:t>
      </w:r>
      <w:r w:rsidR="006B7442" w:rsidRPr="00C0372B">
        <w:rPr>
          <w:rFonts w:eastAsia="Times New Roman" w:cstheme="minorHAnsi"/>
          <w:color w:val="000000"/>
        </w:rPr>
        <w:fldChar w:fldCharType="end"/>
      </w:r>
      <w:r w:rsidR="006F4F1F" w:rsidRPr="00455A3C">
        <w:rPr>
          <w:rFonts w:eastAsia="Times New Roman" w:cstheme="minorHAnsi"/>
          <w:color w:val="000000"/>
        </w:rPr>
        <w:t xml:space="preserve">: </w:t>
      </w:r>
    </w:p>
    <w:p w14:paraId="2D65F8BD" w14:textId="0D13E470" w:rsidR="00A9633D" w:rsidRPr="00455A3C" w:rsidRDefault="006F4F1F" w:rsidP="005354EA">
      <w:pPr>
        <w:spacing w:after="0" w:line="276" w:lineRule="auto"/>
        <w:contextualSpacing/>
        <w:rPr>
          <w:rFonts w:eastAsia="Times New Roman" w:cstheme="minorHAnsi"/>
          <w:color w:val="000000"/>
        </w:rPr>
      </w:pPr>
      <m:oMathPara>
        <m:oMath>
          <m:r>
            <w:rPr>
              <w:rFonts w:ascii="Cambria Math" w:eastAsia="Times New Roman" w:hAnsi="Cambria Math" w:cstheme="minorHAnsi"/>
              <w:color w:val="000000"/>
            </w:rPr>
            <m:t>logit</m:t>
          </m:r>
          <m:d>
            <m:dPr>
              <m:ctrlPr>
                <w:rPr>
                  <w:rFonts w:ascii="Cambria Math" w:eastAsia="Times New Roman" w:hAnsi="Cambria Math" w:cstheme="minorHAnsi"/>
                  <w:i/>
                  <w:color w:val="000000"/>
                </w:rPr>
              </m:ctrlPr>
            </m:dPr>
            <m:e>
              <m:r>
                <w:rPr>
                  <w:rFonts w:ascii="Cambria Math" w:eastAsia="Times New Roman" w:hAnsi="Cambria Math" w:cstheme="minorHAnsi"/>
                  <w:color w:val="000000"/>
                </w:rPr>
                <m:t>f</m:t>
              </m:r>
            </m:e>
          </m:d>
          <m:r>
            <w:rPr>
              <w:rFonts w:ascii="Cambria Math" w:eastAsia="Times New Roman" w:hAnsi="Cambria Math" w:cstheme="minorHAnsi"/>
              <w:color w:val="000000"/>
            </w:rPr>
            <m:t xml:space="preserve">= </m:t>
          </m:r>
          <m:sSub>
            <m:sSubPr>
              <m:ctrlPr>
                <w:rPr>
                  <w:rFonts w:ascii="Cambria Math" w:eastAsia="Times New Roman" w:hAnsi="Cambria Math" w:cstheme="minorHAnsi"/>
                  <w:i/>
                  <w:color w:val="000000"/>
                </w:rPr>
              </m:ctrlPr>
            </m:sSubPr>
            <m:e>
              <m:r>
                <w:rPr>
                  <w:rFonts w:ascii="Cambria Math" w:eastAsia="Times New Roman" w:hAnsi="Cambria Math" w:cstheme="minorHAnsi"/>
                  <w:color w:val="000000"/>
                </w:rPr>
                <m:t>β</m:t>
              </m:r>
            </m:e>
            <m:sub>
              <m:r>
                <w:rPr>
                  <w:rFonts w:ascii="Cambria Math" w:eastAsia="Times New Roman" w:hAnsi="Cambria Math" w:cstheme="minorHAnsi"/>
                  <w:color w:val="000000"/>
                </w:rPr>
                <m:t>1</m:t>
              </m:r>
            </m:sub>
          </m:sSub>
          <m:r>
            <w:rPr>
              <w:rFonts w:ascii="Cambria Math" w:eastAsia="Times New Roman" w:hAnsi="Cambria Math" w:cstheme="minorHAnsi"/>
              <w:color w:val="000000"/>
            </w:rPr>
            <m:t xml:space="preserve">+ </m:t>
          </m:r>
          <m:f>
            <m:fPr>
              <m:ctrlPr>
                <w:rPr>
                  <w:rFonts w:ascii="Cambria Math" w:eastAsia="Times New Roman" w:hAnsi="Cambria Math" w:cstheme="minorHAnsi"/>
                  <w:i/>
                  <w:color w:val="000000"/>
                </w:rPr>
              </m:ctrlPr>
            </m:fPr>
            <m:num>
              <m:sSub>
                <m:sSubPr>
                  <m:ctrlPr>
                    <w:rPr>
                      <w:rFonts w:ascii="Cambria Math" w:eastAsia="Times New Roman" w:hAnsi="Cambria Math" w:cstheme="minorHAnsi"/>
                      <w:i/>
                      <w:color w:val="000000"/>
                    </w:rPr>
                  </m:ctrlPr>
                </m:sSubPr>
                <m:e>
                  <m:r>
                    <w:rPr>
                      <w:rFonts w:ascii="Cambria Math" w:eastAsia="Times New Roman" w:hAnsi="Cambria Math" w:cstheme="minorHAnsi"/>
                      <w:color w:val="000000"/>
                    </w:rPr>
                    <m:t>β</m:t>
                  </m:r>
                </m:e>
                <m:sub>
                  <m:r>
                    <w:rPr>
                      <w:rFonts w:ascii="Cambria Math" w:eastAsia="Times New Roman" w:hAnsi="Cambria Math" w:cstheme="minorHAnsi"/>
                      <w:color w:val="000000"/>
                    </w:rPr>
                    <m:t>2</m:t>
                  </m:r>
                </m:sub>
              </m:sSub>
              <m:r>
                <w:rPr>
                  <w:rFonts w:ascii="Cambria Math" w:eastAsia="Times New Roman" w:hAnsi="Cambria Math" w:cstheme="minorHAnsi"/>
                  <w:color w:val="000000"/>
                </w:rPr>
                <m:t xml:space="preserve"> (x- τ)</m:t>
              </m:r>
            </m:num>
            <m:den>
              <m:r>
                <w:rPr>
                  <w:rFonts w:ascii="Cambria Math" w:eastAsia="Times New Roman" w:hAnsi="Cambria Math" w:cstheme="minorHAnsi"/>
                  <w:color w:val="000000"/>
                </w:rPr>
                <m:t xml:space="preserve">1+ </m:t>
              </m:r>
              <m:sSub>
                <m:sSubPr>
                  <m:ctrlPr>
                    <w:rPr>
                      <w:rFonts w:ascii="Cambria Math" w:eastAsia="Times New Roman" w:hAnsi="Cambria Math" w:cstheme="minorHAnsi"/>
                      <w:i/>
                      <w:color w:val="000000"/>
                    </w:rPr>
                  </m:ctrlPr>
                </m:sSubPr>
                <m:e>
                  <m:r>
                    <w:rPr>
                      <w:rFonts w:ascii="Cambria Math" w:eastAsia="Times New Roman" w:hAnsi="Cambria Math" w:cstheme="minorHAnsi"/>
                      <w:color w:val="000000"/>
                    </w:rPr>
                    <m:t>β</m:t>
                  </m:r>
                </m:e>
                <m:sub>
                  <m:r>
                    <w:rPr>
                      <w:rFonts w:ascii="Cambria Math" w:eastAsia="Times New Roman" w:hAnsi="Cambria Math" w:cstheme="minorHAnsi"/>
                      <w:color w:val="000000"/>
                    </w:rPr>
                    <m:t>3</m:t>
                  </m:r>
                </m:sub>
              </m:sSub>
              <m:r>
                <w:rPr>
                  <w:rFonts w:ascii="Cambria Math" w:eastAsia="Times New Roman" w:hAnsi="Cambria Math" w:cstheme="minorHAnsi"/>
                  <w:color w:val="000000"/>
                </w:rPr>
                <m:t xml:space="preserve"> </m:t>
              </m:r>
              <m:d>
                <m:dPr>
                  <m:ctrlPr>
                    <w:rPr>
                      <w:rFonts w:ascii="Cambria Math" w:eastAsia="Times New Roman" w:hAnsi="Cambria Math" w:cstheme="minorHAnsi"/>
                      <w:i/>
                      <w:color w:val="000000"/>
                    </w:rPr>
                  </m:ctrlPr>
                </m:dPr>
                <m:e>
                  <m:r>
                    <w:rPr>
                      <w:rFonts w:ascii="Cambria Math" w:eastAsia="Times New Roman" w:hAnsi="Cambria Math" w:cstheme="minorHAnsi"/>
                      <w:color w:val="000000"/>
                    </w:rPr>
                    <m:t>x- τ</m:t>
                  </m:r>
                </m:e>
              </m:d>
            </m:den>
          </m:f>
          <m:r>
            <w:rPr>
              <w:rFonts w:ascii="Cambria Math" w:eastAsia="Times New Roman" w:hAnsi="Cambria Math" w:cstheme="minorHAnsi"/>
              <w:color w:val="000000"/>
            </w:rPr>
            <m:t xml:space="preserve">         </m:t>
          </m:r>
        </m:oMath>
      </m:oMathPara>
    </w:p>
    <w:p w14:paraId="6DA437D8" w14:textId="202890D8" w:rsidR="00DA57FB" w:rsidRPr="00455A3C" w:rsidRDefault="009C7284" w:rsidP="005354EA">
      <w:pPr>
        <w:spacing w:after="0" w:line="276" w:lineRule="auto"/>
        <w:contextualSpacing/>
        <w:rPr>
          <w:rFonts w:eastAsia="Times New Roman" w:cstheme="minorHAnsi"/>
          <w:color w:val="000000"/>
        </w:rPr>
      </w:pPr>
      <w:r w:rsidRPr="00455A3C">
        <w:rPr>
          <w:rFonts w:eastAsia="Times New Roman" w:cstheme="minorHAnsi"/>
          <w:color w:val="000000"/>
        </w:rPr>
        <w:t xml:space="preserve">where </w:t>
      </w:r>
      <m:oMath>
        <m:r>
          <w:rPr>
            <w:rFonts w:ascii="Cambria Math" w:eastAsia="Times New Roman" w:hAnsi="Cambria Math" w:cstheme="minorHAnsi"/>
            <w:color w:val="000000"/>
          </w:rPr>
          <m:t>x</m:t>
        </m:r>
      </m:oMath>
      <w:r w:rsidRPr="00455A3C">
        <w:rPr>
          <w:rFonts w:eastAsia="Times New Roman" w:cstheme="minorHAnsi"/>
          <w:color w:val="000000"/>
        </w:rPr>
        <w:t xml:space="preserve"> is the proportion of mosquitoes that die in a non-PBO bioassay, </w:t>
      </w:r>
      <m:oMath>
        <m:sSub>
          <m:sSubPr>
            <m:ctrlPr>
              <w:rPr>
                <w:rFonts w:ascii="Cambria Math" w:eastAsia="Times New Roman" w:hAnsi="Cambria Math" w:cstheme="minorHAnsi"/>
                <w:i/>
                <w:color w:val="000000"/>
              </w:rPr>
            </m:ctrlPr>
          </m:sSubPr>
          <m:e>
            <m:r>
              <w:rPr>
                <w:rFonts w:ascii="Cambria Math" w:eastAsia="Times New Roman" w:hAnsi="Cambria Math" w:cstheme="minorHAnsi"/>
                <w:color w:val="000000"/>
              </w:rPr>
              <m:t>β</m:t>
            </m:r>
          </m:e>
          <m:sub>
            <m:r>
              <w:rPr>
                <w:rFonts w:ascii="Cambria Math" w:eastAsia="Times New Roman" w:hAnsi="Cambria Math" w:cstheme="minorHAnsi"/>
                <w:color w:val="000000"/>
              </w:rPr>
              <m:t>1</m:t>
            </m:r>
          </m:sub>
        </m:sSub>
        <m:r>
          <w:rPr>
            <w:rFonts w:ascii="Cambria Math" w:eastAsia="Times New Roman" w:hAnsi="Cambria Math" w:cstheme="minorHAnsi"/>
            <w:color w:val="000000"/>
          </w:rPr>
          <m:t xml:space="preserve"> </m:t>
        </m:r>
      </m:oMath>
      <w:r w:rsidR="00A8377E" w:rsidRPr="00455A3C">
        <w:rPr>
          <w:rFonts w:eastAsia="Times New Roman" w:cstheme="minorHAnsi"/>
          <w:color w:val="000000"/>
        </w:rPr>
        <w:t xml:space="preserve">is 3.41, </w:t>
      </w:r>
      <m:oMath>
        <m:sSub>
          <m:sSubPr>
            <m:ctrlPr>
              <w:rPr>
                <w:rFonts w:ascii="Cambria Math" w:eastAsia="Times New Roman" w:hAnsi="Cambria Math" w:cstheme="minorHAnsi"/>
                <w:i/>
                <w:color w:val="000000"/>
              </w:rPr>
            </m:ctrlPr>
          </m:sSubPr>
          <m:e>
            <m:r>
              <w:rPr>
                <w:rFonts w:ascii="Cambria Math" w:eastAsia="Times New Roman" w:hAnsi="Cambria Math" w:cstheme="minorHAnsi"/>
                <w:color w:val="000000"/>
              </w:rPr>
              <m:t>β</m:t>
            </m:r>
          </m:e>
          <m:sub>
            <m:r>
              <w:rPr>
                <w:rFonts w:ascii="Cambria Math" w:eastAsia="Times New Roman" w:hAnsi="Cambria Math" w:cstheme="minorHAnsi"/>
                <w:color w:val="000000"/>
              </w:rPr>
              <m:t>2</m:t>
            </m:r>
          </m:sub>
        </m:sSub>
        <m:r>
          <w:rPr>
            <w:rFonts w:ascii="Cambria Math" w:eastAsia="Times New Roman" w:hAnsi="Cambria Math" w:cstheme="minorHAnsi"/>
            <w:color w:val="000000"/>
          </w:rPr>
          <m:t xml:space="preserve"> </m:t>
        </m:r>
      </m:oMath>
      <w:r w:rsidR="00A8377E" w:rsidRPr="00455A3C">
        <w:rPr>
          <w:rFonts w:eastAsia="Times New Roman" w:cstheme="minorHAnsi"/>
          <w:color w:val="000000"/>
        </w:rPr>
        <w:t xml:space="preserve">is 5.88, </w:t>
      </w:r>
      <m:oMath>
        <m:sSub>
          <m:sSubPr>
            <m:ctrlPr>
              <w:rPr>
                <w:rFonts w:ascii="Cambria Math" w:eastAsia="Times New Roman" w:hAnsi="Cambria Math" w:cstheme="minorHAnsi"/>
                <w:i/>
                <w:color w:val="000000"/>
              </w:rPr>
            </m:ctrlPr>
          </m:sSubPr>
          <m:e>
            <m:r>
              <w:rPr>
                <w:rFonts w:ascii="Cambria Math" w:eastAsia="Times New Roman" w:hAnsi="Cambria Math" w:cstheme="minorHAnsi"/>
                <w:color w:val="000000"/>
              </w:rPr>
              <m:t>β</m:t>
            </m:r>
          </m:e>
          <m:sub>
            <m:r>
              <w:rPr>
                <w:rFonts w:ascii="Cambria Math" w:eastAsia="Times New Roman" w:hAnsi="Cambria Math" w:cstheme="minorHAnsi"/>
                <w:color w:val="000000"/>
              </w:rPr>
              <m:t>3</m:t>
            </m:r>
          </m:sub>
        </m:sSub>
        <m:r>
          <w:rPr>
            <w:rFonts w:ascii="Cambria Math" w:eastAsia="Times New Roman" w:hAnsi="Cambria Math" w:cstheme="minorHAnsi"/>
            <w:color w:val="000000"/>
          </w:rPr>
          <m:t xml:space="preserve"> </m:t>
        </m:r>
      </m:oMath>
      <w:r w:rsidR="00A8377E" w:rsidRPr="00455A3C">
        <w:rPr>
          <w:rFonts w:eastAsia="Times New Roman" w:cstheme="minorHAnsi"/>
          <w:color w:val="000000"/>
        </w:rPr>
        <w:t>and 0.78</w:t>
      </w:r>
      <w:r w:rsidR="00A9633D" w:rsidRPr="00455A3C">
        <w:rPr>
          <w:rFonts w:eastAsia="Times New Roman" w:cstheme="minorHAnsi"/>
          <w:color w:val="000000"/>
        </w:rPr>
        <w:t xml:space="preserve">, and </w:t>
      </w:r>
      <m:oMath>
        <m:r>
          <w:rPr>
            <w:rFonts w:ascii="Cambria Math" w:eastAsia="Times New Roman" w:hAnsi="Cambria Math" w:cstheme="minorHAnsi"/>
            <w:color w:val="000000"/>
          </w:rPr>
          <m:t>τ</m:t>
        </m:r>
      </m:oMath>
      <w:r w:rsidR="00924F47" w:rsidRPr="00455A3C">
        <w:rPr>
          <w:rFonts w:eastAsia="Times New Roman" w:cstheme="minorHAnsi"/>
          <w:color w:val="000000"/>
        </w:rPr>
        <w:t xml:space="preserve"> is </w:t>
      </w:r>
      <w:r w:rsidR="00A9633D" w:rsidRPr="00455A3C">
        <w:rPr>
          <w:rFonts w:eastAsia="Times New Roman" w:cstheme="minorHAnsi"/>
          <w:color w:val="000000"/>
        </w:rPr>
        <w:t>0.5</w:t>
      </w:r>
      <w:r w:rsidR="00CE5B81" w:rsidRPr="00455A3C">
        <w:rPr>
          <w:rFonts w:eastAsia="Times New Roman" w:cstheme="minorHAnsi"/>
          <w:color w:val="000000"/>
        </w:rPr>
        <w:t xml:space="preserve">. Equation </w:t>
      </w:r>
      <w:r w:rsidR="00B308DD" w:rsidRPr="00455A3C">
        <w:rPr>
          <w:rFonts w:eastAsia="Times New Roman" w:cstheme="minorHAnsi"/>
          <w:color w:val="000000"/>
        </w:rPr>
        <w:t xml:space="preserve">2 from </w:t>
      </w:r>
      <w:r w:rsidR="00B308DD" w:rsidRPr="00C0372B">
        <w:rPr>
          <w:rFonts w:eastAsia="Times New Roman" w:cstheme="minorHAnsi"/>
          <w:color w:val="000000"/>
        </w:rPr>
        <w:fldChar w:fldCharType="begin" w:fldLock="1"/>
      </w:r>
      <w:r w:rsidR="00C72B9D">
        <w:rPr>
          <w:rFonts w:eastAsia="Times New Roman" w:cstheme="minorHAnsi"/>
          <w:color w:val="000000"/>
        </w:rPr>
        <w:instrText>ADDIN CSL_CITATION {"citationItems":[{"id":"ITEM-1","itemData":{"DOI":"10.7554/eLife.16090","ISSN":"2050084X","PMID":"27547988","abstract":"Long lasting pyrethroid treated bednets are the most important tool for preventing malaria. Pyrethroid resistant Anopheline mosquitoes are now ubiquitous in Africa, though the public health impact remains unclear, impeding the deployment of more expensive nets. Meta-analyses of bioassay studies and experimental hut trials are used to characterise how pyrethroid resistance changes the efficacy of standard bednets, and those containing the synergist piperonyl butoxide (PBO), and assess its impact on malaria control. New bednets provide substantial personal protection until high levels of resistance, though protection may wane faster against more resistant mosquito populations as nets age. Transmission dynamics models indicate that even low levels of resistance would increase the incidence of malaria due to reduced mosquito mortality and lower overall community protection over the life-time of the net. Switching to PBO bednets could avert up to 0.5 clinical cases per person per year in some resistance scenarios.","author":[{"dropping-particle":"","family":"Churcher","given":"Thomas S.","non-dropping-particle":"","parse-names":false,"suffix":""},{"dropping-particle":"","family":"Lissenden","given":"Natalie","non-dropping-particle":"","parse-names":false,"suffix":""},{"dropping-particle":"","family":"Griffin","given":"Jamie T.","non-dropping-particle":"","parse-names":false,"suffix":""},{"dropping-particle":"","family":"Worrall","given":"Eve","non-dropping-particle":"","parse-names":false,"suffix":""},{"dropping-particle":"","family":"Ranson","given":"Hilary","non-dropping-particle":"","parse-names":false,"suffix":""}],"container-title":"eLife","id":"ITEM-1","issue":"AUGUST","issued":{"date-parts":[["2016","8","22"]]},"publisher":"eLife Sciences Publications Ltd","title":"The impact of pyrethroid resistance on the efficacy and effectiveness of bednets for malaria control in Africa","type":"article-journal","volume":"5"},"uris":["http://www.mendeley.com/documents/?uuid=469aec0f-1a04-3b85-85e4-9af79e7773ed"]}],"mendeley":{"formattedCitation":"[18]","plainTextFormattedCitation":"[18]","previouslyFormattedCitation":"[18]"},"properties":{"noteIndex":0},"schema":"https://github.com/citation-style-language/schema/raw/master/csl-citation.json"}</w:instrText>
      </w:r>
      <w:r w:rsidR="00B308DD" w:rsidRPr="00C0372B">
        <w:rPr>
          <w:rFonts w:eastAsia="Times New Roman" w:cstheme="minorHAnsi"/>
          <w:color w:val="000000"/>
        </w:rPr>
        <w:fldChar w:fldCharType="separate"/>
      </w:r>
      <w:r w:rsidR="00D540A2" w:rsidRPr="00D540A2">
        <w:rPr>
          <w:rFonts w:eastAsia="Times New Roman" w:cstheme="minorHAnsi"/>
          <w:noProof/>
          <w:color w:val="000000"/>
        </w:rPr>
        <w:t>[18]</w:t>
      </w:r>
      <w:r w:rsidR="00B308DD" w:rsidRPr="00C0372B">
        <w:rPr>
          <w:rFonts w:eastAsia="Times New Roman" w:cstheme="minorHAnsi"/>
          <w:color w:val="000000"/>
        </w:rPr>
        <w:fldChar w:fldCharType="end"/>
      </w:r>
      <w:r w:rsidR="00CE5B81" w:rsidRPr="00455A3C">
        <w:rPr>
          <w:rFonts w:eastAsia="Times New Roman" w:cstheme="minorHAnsi"/>
          <w:color w:val="000000"/>
        </w:rPr>
        <w:t xml:space="preserve"> </w:t>
      </w:r>
      <w:r w:rsidR="00C708DE" w:rsidRPr="00455A3C">
        <w:rPr>
          <w:rFonts w:eastAsia="Times New Roman" w:cstheme="minorHAnsi"/>
          <w:color w:val="000000"/>
        </w:rPr>
        <w:t>was</w:t>
      </w:r>
      <w:r w:rsidR="00CE5B81" w:rsidRPr="00455A3C">
        <w:rPr>
          <w:rFonts w:eastAsia="Times New Roman" w:cstheme="minorHAnsi"/>
          <w:color w:val="000000"/>
        </w:rPr>
        <w:t xml:space="preserve"> also used to infer ITN killing rate for PBO nets. </w:t>
      </w:r>
      <w:r w:rsidR="00C708DE" w:rsidRPr="00455A3C">
        <w:rPr>
          <w:rFonts w:eastAsia="Times New Roman" w:cstheme="minorHAnsi"/>
          <w:color w:val="000000"/>
        </w:rPr>
        <w:t>Combining</w:t>
      </w:r>
      <m:oMath>
        <m:r>
          <w:rPr>
            <w:rFonts w:ascii="Cambria Math" w:eastAsia="Times New Roman" w:hAnsi="Cambria Math" w:cstheme="minorHAnsi"/>
            <w:color w:val="000000"/>
          </w:rPr>
          <m:t xml:space="preserve"> f</m:t>
        </m:r>
      </m:oMath>
      <w:r w:rsidR="00CE5B81" w:rsidRPr="00455A3C">
        <w:rPr>
          <w:rFonts w:eastAsia="Times New Roman" w:cstheme="minorHAnsi"/>
          <w:color w:val="000000"/>
        </w:rPr>
        <w:t>, the propo</w:t>
      </w:r>
      <w:r w:rsidR="00DE58F1" w:rsidRPr="00455A3C">
        <w:rPr>
          <w:rFonts w:eastAsia="Times New Roman" w:cstheme="minorHAnsi"/>
          <w:color w:val="000000"/>
        </w:rPr>
        <w:t>rtion of dead mosquitoes in a pyrethroid</w:t>
      </w:r>
      <w:r w:rsidR="00365EE3">
        <w:rPr>
          <w:rFonts w:eastAsia="Times New Roman" w:cstheme="minorHAnsi"/>
          <w:color w:val="000000"/>
        </w:rPr>
        <w:t>+</w:t>
      </w:r>
      <w:r w:rsidR="00DE58F1" w:rsidRPr="00455A3C">
        <w:rPr>
          <w:rFonts w:eastAsia="Times New Roman" w:cstheme="minorHAnsi"/>
          <w:color w:val="000000"/>
        </w:rPr>
        <w:t>PBO net</w:t>
      </w:r>
      <w:r w:rsidR="0023177E" w:rsidRPr="00455A3C">
        <w:rPr>
          <w:rFonts w:eastAsia="Times New Roman" w:cstheme="minorHAnsi"/>
          <w:color w:val="000000"/>
        </w:rPr>
        <w:t>,</w:t>
      </w:r>
      <w:r w:rsidR="00DE58F1" w:rsidRPr="00455A3C">
        <w:rPr>
          <w:rFonts w:eastAsia="Times New Roman" w:cstheme="minorHAnsi"/>
          <w:color w:val="000000"/>
        </w:rPr>
        <w:t xml:space="preserve"> into </w:t>
      </w:r>
      <w:r w:rsidR="0023177E" w:rsidRPr="00455A3C">
        <w:rPr>
          <w:rFonts w:eastAsia="Times New Roman" w:cstheme="minorHAnsi"/>
          <w:color w:val="000000"/>
        </w:rPr>
        <w:t>Churcher et al.’s Equation 2</w:t>
      </w:r>
      <w:r w:rsidR="00C708DE" w:rsidRPr="00455A3C">
        <w:rPr>
          <w:rFonts w:eastAsia="Times New Roman" w:cstheme="minorHAnsi"/>
          <w:color w:val="000000"/>
        </w:rPr>
        <w:t>, we obtained</w:t>
      </w:r>
      <w:r w:rsidR="00DE58F1" w:rsidRPr="00455A3C">
        <w:rPr>
          <w:rFonts w:eastAsia="Times New Roman" w:cstheme="minorHAnsi"/>
          <w:color w:val="000000"/>
        </w:rPr>
        <w:t xml:space="preserve"> the PBO killin</w:t>
      </w:r>
      <w:r w:rsidR="002879BD" w:rsidRPr="00455A3C">
        <w:rPr>
          <w:rFonts w:eastAsia="Times New Roman" w:cstheme="minorHAnsi"/>
          <w:color w:val="000000"/>
        </w:rPr>
        <w:t>g rate for experimental</w:t>
      </w:r>
      <w:r w:rsidR="00F417D4" w:rsidRPr="00455A3C">
        <w:rPr>
          <w:rFonts w:eastAsia="Times New Roman" w:cstheme="minorHAnsi"/>
          <w:color w:val="000000"/>
        </w:rPr>
        <w:t xml:space="preserve"> hut trials. </w:t>
      </w:r>
      <w:r w:rsidR="00F90A57" w:rsidRPr="00455A3C">
        <w:rPr>
          <w:rFonts w:eastAsia="Times New Roman" w:cstheme="minorHAnsi"/>
          <w:color w:val="000000"/>
        </w:rPr>
        <w:t>Because there was no local clinical trial to inform the rescaling of experimental hut killing into a kill rate for EMOD, we assumed a scale factor of</w:t>
      </w:r>
      <w:r w:rsidR="006B7442" w:rsidRPr="00455A3C">
        <w:rPr>
          <w:rFonts w:eastAsia="Times New Roman" w:cstheme="minorHAnsi"/>
          <w:color w:val="000000"/>
        </w:rPr>
        <w:t xml:space="preserve"> </w:t>
      </w:r>
      <w:r w:rsidR="00F417D4" w:rsidRPr="00455A3C">
        <w:rPr>
          <w:rFonts w:eastAsia="Times New Roman" w:cstheme="minorHAnsi"/>
          <w:color w:val="000000"/>
        </w:rPr>
        <w:t>0.81</w:t>
      </w:r>
      <w:r w:rsidR="00B308DD" w:rsidRPr="00455A3C">
        <w:rPr>
          <w:rFonts w:eastAsia="Times New Roman" w:cstheme="minorHAnsi"/>
          <w:color w:val="000000"/>
        </w:rPr>
        <w:t xml:space="preserve"> such that the maximum killing rate was capped at 0.75</w:t>
      </w:r>
      <w:r w:rsidR="0047139D" w:rsidRPr="00455A3C">
        <w:rPr>
          <w:rFonts w:eastAsia="Times New Roman" w:cstheme="minorHAnsi"/>
          <w:color w:val="000000"/>
        </w:rPr>
        <w:t>.</w:t>
      </w:r>
      <w:r w:rsidR="00B308DD" w:rsidRPr="00455A3C">
        <w:rPr>
          <w:rFonts w:eastAsia="Times New Roman" w:cstheme="minorHAnsi"/>
          <w:color w:val="000000"/>
        </w:rPr>
        <w:t xml:space="preserve"> Kill rates for PBO nets ranged from 0.58 </w:t>
      </w:r>
      <w:r w:rsidR="00B565DC" w:rsidRPr="00455A3C">
        <w:rPr>
          <w:rFonts w:eastAsia="Times New Roman" w:cstheme="minorHAnsi"/>
          <w:color w:val="000000"/>
        </w:rPr>
        <w:t>to</w:t>
      </w:r>
      <w:r w:rsidR="00B308DD" w:rsidRPr="00455A3C">
        <w:rPr>
          <w:rFonts w:eastAsia="Times New Roman" w:cstheme="minorHAnsi"/>
          <w:color w:val="000000"/>
        </w:rPr>
        <w:t xml:space="preserve"> 0.75 a</w:t>
      </w:r>
      <w:r w:rsidR="0010531E">
        <w:rPr>
          <w:rFonts w:eastAsia="Times New Roman" w:cstheme="minorHAnsi"/>
          <w:color w:val="000000"/>
        </w:rPr>
        <w:t xml:space="preserve">cross all eligible LGAs in the national malaria strategic plans with varying levels of coverage and in the budget-prioritized plans, </w:t>
      </w:r>
      <w:r w:rsidR="00B308DD" w:rsidRPr="00455A3C">
        <w:rPr>
          <w:rFonts w:eastAsia="Times New Roman" w:cstheme="minorHAnsi"/>
          <w:color w:val="000000"/>
        </w:rPr>
        <w:t>.</w:t>
      </w:r>
      <w:r w:rsidR="00F90A57" w:rsidRPr="00455A3C">
        <w:rPr>
          <w:rFonts w:eastAsia="Times New Roman" w:cstheme="minorHAnsi"/>
          <w:color w:val="000000"/>
        </w:rPr>
        <w:t xml:space="preserve"> </w:t>
      </w:r>
      <w:r w:rsidR="00B308DD" w:rsidRPr="00455A3C">
        <w:rPr>
          <w:rFonts w:eastAsia="Times New Roman" w:cstheme="minorHAnsi"/>
          <w:color w:val="000000"/>
        </w:rPr>
        <w:t>Given that the initial parameterization of ITN killing rate was calibrated to 0.</w:t>
      </w:r>
      <w:r w:rsidR="00A5065A">
        <w:rPr>
          <w:rFonts w:eastAsia="Times New Roman" w:cstheme="minorHAnsi"/>
          <w:color w:val="000000"/>
        </w:rPr>
        <w:t>9</w:t>
      </w:r>
      <w:r w:rsidR="00B308DD" w:rsidRPr="00455A3C">
        <w:rPr>
          <w:rFonts w:eastAsia="Times New Roman" w:cstheme="minorHAnsi"/>
          <w:color w:val="000000"/>
        </w:rPr>
        <w:t xml:space="preserve"> for pyrethroid nets before widespread resistance was established, we felt that 0.75 was </w:t>
      </w:r>
      <w:r w:rsidR="00E00F4D">
        <w:rPr>
          <w:rFonts w:eastAsia="Times New Roman" w:cstheme="minorHAnsi"/>
          <w:color w:val="000000"/>
        </w:rPr>
        <w:t>reasonable</w:t>
      </w:r>
      <w:r w:rsidR="0066235F" w:rsidRPr="00455A3C">
        <w:rPr>
          <w:rFonts w:eastAsia="Times New Roman" w:cstheme="minorHAnsi"/>
          <w:color w:val="000000"/>
        </w:rPr>
        <w:t xml:space="preserve"> </w:t>
      </w:r>
      <w:r w:rsidR="00B308DD" w:rsidRPr="00455A3C">
        <w:rPr>
          <w:rFonts w:eastAsia="Times New Roman" w:cstheme="minorHAnsi"/>
          <w:color w:val="000000"/>
        </w:rPr>
        <w:t>for the maximum efficacy of PBO nets. More data from Nigeria is urgently needed to refine these estimates.</w:t>
      </w:r>
    </w:p>
    <w:p w14:paraId="6A2DA777" w14:textId="27AD7E04" w:rsidR="008C243F" w:rsidRPr="00455A3C" w:rsidRDefault="008C243F" w:rsidP="005354EA">
      <w:pPr>
        <w:spacing w:after="0" w:line="276" w:lineRule="auto"/>
        <w:contextualSpacing/>
        <w:rPr>
          <w:rFonts w:eastAsia="Times New Roman" w:cstheme="minorHAnsi"/>
          <w:color w:val="000000"/>
        </w:rPr>
      </w:pPr>
    </w:p>
    <w:p w14:paraId="4FFF4C2F" w14:textId="635170C6" w:rsidR="00F417D4" w:rsidRPr="00455A3C" w:rsidRDefault="00992A21" w:rsidP="005354EA">
      <w:pPr>
        <w:pStyle w:val="Heading3"/>
        <w:numPr>
          <w:ilvl w:val="0"/>
          <w:numId w:val="15"/>
        </w:numPr>
        <w:spacing w:before="0" w:line="276" w:lineRule="auto"/>
        <w:contextualSpacing/>
        <w:rPr>
          <w:rFonts w:asciiTheme="minorHAnsi" w:eastAsia="Times New Roman" w:hAnsiTheme="minorHAnsi" w:cstheme="minorHAnsi"/>
          <w:i/>
          <w:color w:val="auto"/>
          <w:sz w:val="22"/>
          <w:szCs w:val="22"/>
          <w:u w:val="single"/>
        </w:rPr>
      </w:pPr>
      <w:bookmarkStart w:id="8" w:name="_Toc77757581"/>
      <w:r>
        <w:rPr>
          <w:rFonts w:asciiTheme="minorHAnsi" w:eastAsia="Times New Roman" w:hAnsiTheme="minorHAnsi" w:cstheme="minorHAnsi"/>
          <w:i/>
          <w:color w:val="auto"/>
          <w:sz w:val="22"/>
          <w:szCs w:val="22"/>
          <w:u w:val="single"/>
        </w:rPr>
        <w:lastRenderedPageBreak/>
        <w:t>IG2 nets</w:t>
      </w:r>
      <w:bookmarkEnd w:id="8"/>
      <w:r w:rsidR="00197093" w:rsidRPr="00455A3C">
        <w:rPr>
          <w:rFonts w:asciiTheme="minorHAnsi" w:eastAsia="Times New Roman" w:hAnsiTheme="minorHAnsi" w:cstheme="minorHAnsi"/>
          <w:i/>
          <w:color w:val="auto"/>
          <w:sz w:val="22"/>
          <w:szCs w:val="22"/>
          <w:u w:val="single"/>
        </w:rPr>
        <w:t xml:space="preserve"> </w:t>
      </w:r>
    </w:p>
    <w:p w14:paraId="303E1573" w14:textId="72F89D50" w:rsidR="001E20A1" w:rsidRPr="00455A3C" w:rsidRDefault="000D512D" w:rsidP="005354EA">
      <w:pPr>
        <w:spacing w:after="0" w:line="276" w:lineRule="auto"/>
        <w:contextualSpacing/>
        <w:rPr>
          <w:rFonts w:eastAsia="Times New Roman" w:cstheme="minorHAnsi"/>
          <w:color w:val="000000"/>
        </w:rPr>
      </w:pPr>
      <w:r w:rsidRPr="00455A3C">
        <w:rPr>
          <w:rFonts w:eastAsia="Times New Roman" w:cstheme="minorHAnsi"/>
          <w:color w:val="000000"/>
        </w:rPr>
        <w:t>The Nigerian NMEP proposed to distribute</w:t>
      </w:r>
      <w:r w:rsidR="002E7EE1" w:rsidRPr="00455A3C">
        <w:rPr>
          <w:rFonts w:eastAsia="Times New Roman" w:cstheme="minorHAnsi"/>
          <w:color w:val="000000"/>
        </w:rPr>
        <w:t xml:space="preserve"> </w:t>
      </w:r>
      <w:r w:rsidR="0009040E" w:rsidRPr="00455A3C">
        <w:rPr>
          <w:rFonts w:eastAsia="Times New Roman" w:cstheme="minorHAnsi"/>
          <w:color w:val="000000"/>
        </w:rPr>
        <w:t>Interceptor® G2 (IG2)</w:t>
      </w:r>
      <w:r w:rsidR="002E7EE1" w:rsidRPr="00455A3C">
        <w:rPr>
          <w:rFonts w:eastAsia="Times New Roman" w:cstheme="minorHAnsi"/>
          <w:color w:val="000000"/>
        </w:rPr>
        <w:t xml:space="preserve"> nets,</w:t>
      </w:r>
      <w:r w:rsidR="004C7202" w:rsidRPr="00455A3C">
        <w:rPr>
          <w:rFonts w:eastAsia="Times New Roman" w:cstheme="minorHAnsi"/>
          <w:color w:val="000000"/>
        </w:rPr>
        <w:t xml:space="preserve"> </w:t>
      </w:r>
      <w:r w:rsidR="0066235F" w:rsidRPr="00455A3C">
        <w:rPr>
          <w:rFonts w:eastAsia="Times New Roman" w:cstheme="minorHAnsi"/>
          <w:color w:val="000000"/>
        </w:rPr>
        <w:t xml:space="preserve">with </w:t>
      </w:r>
      <w:r w:rsidR="002E7EE1" w:rsidRPr="00455A3C">
        <w:rPr>
          <w:rFonts w:cstheme="minorHAnsi"/>
        </w:rPr>
        <w:t>α-cypermethrin and chlorfenapyr as active ingredients,</w:t>
      </w:r>
      <w:r w:rsidR="0010531E">
        <w:rPr>
          <w:rFonts w:cstheme="minorHAnsi"/>
        </w:rPr>
        <w:t xml:space="preserve"> a new type of net</w:t>
      </w:r>
      <w:r w:rsidR="004A5ED3" w:rsidRPr="00455A3C">
        <w:rPr>
          <w:rFonts w:eastAsia="Times New Roman" w:cstheme="minorHAnsi"/>
          <w:color w:val="000000"/>
        </w:rPr>
        <w:t xml:space="preserve"> </w:t>
      </w:r>
      <w:r w:rsidR="00197093" w:rsidRPr="00455A3C">
        <w:rPr>
          <w:rFonts w:eastAsia="Times New Roman" w:cstheme="minorHAnsi"/>
          <w:color w:val="000000"/>
        </w:rPr>
        <w:t>Due to the lack o</w:t>
      </w:r>
      <w:r w:rsidR="008171B2" w:rsidRPr="00455A3C">
        <w:rPr>
          <w:rFonts w:eastAsia="Times New Roman" w:cstheme="minorHAnsi"/>
          <w:color w:val="000000"/>
        </w:rPr>
        <w:t xml:space="preserve">f evidence </w:t>
      </w:r>
      <w:r w:rsidR="00197093" w:rsidRPr="00455A3C">
        <w:rPr>
          <w:rFonts w:eastAsia="Times New Roman" w:cstheme="minorHAnsi"/>
          <w:color w:val="000000"/>
        </w:rPr>
        <w:t xml:space="preserve">to infer the kill rate </w:t>
      </w:r>
      <w:r w:rsidR="004A5ED3" w:rsidRPr="00455A3C">
        <w:rPr>
          <w:rFonts w:eastAsia="Times New Roman" w:cstheme="minorHAnsi"/>
          <w:color w:val="000000"/>
        </w:rPr>
        <w:t xml:space="preserve">for the </w:t>
      </w:r>
      <w:r w:rsidR="0009040E" w:rsidRPr="00455A3C">
        <w:rPr>
          <w:rFonts w:eastAsia="Times New Roman" w:cstheme="minorHAnsi"/>
          <w:color w:val="000000"/>
        </w:rPr>
        <w:t>IG2</w:t>
      </w:r>
      <w:r w:rsidR="008171B2" w:rsidRPr="00455A3C">
        <w:rPr>
          <w:rFonts w:eastAsia="Times New Roman" w:cstheme="minorHAnsi"/>
          <w:color w:val="000000"/>
        </w:rPr>
        <w:t xml:space="preserve"> nets</w:t>
      </w:r>
      <w:r w:rsidR="001C2936" w:rsidRPr="00455A3C">
        <w:rPr>
          <w:rFonts w:eastAsia="Times New Roman" w:cstheme="minorHAnsi"/>
          <w:color w:val="000000"/>
        </w:rPr>
        <w:t xml:space="preserve"> in Nigeria,</w:t>
      </w:r>
      <w:r w:rsidR="008171B2" w:rsidRPr="00455A3C">
        <w:rPr>
          <w:rFonts w:eastAsia="Times New Roman" w:cstheme="minorHAnsi"/>
          <w:color w:val="000000"/>
        </w:rPr>
        <w:t xml:space="preserve"> we assumed a kil</w:t>
      </w:r>
      <w:r w:rsidR="00420A8A" w:rsidRPr="00455A3C">
        <w:rPr>
          <w:rFonts w:eastAsia="Times New Roman" w:cstheme="minorHAnsi"/>
          <w:color w:val="000000"/>
        </w:rPr>
        <w:t>l rate of 0.9 across</w:t>
      </w:r>
      <w:r w:rsidR="00983179" w:rsidRPr="00455A3C">
        <w:rPr>
          <w:rFonts w:eastAsia="Times New Roman" w:cstheme="minorHAnsi"/>
          <w:color w:val="000000"/>
        </w:rPr>
        <w:t xml:space="preserve"> the </w:t>
      </w:r>
      <w:r w:rsidR="0010531E">
        <w:rPr>
          <w:rFonts w:eastAsia="Times New Roman" w:cstheme="minorHAnsi"/>
          <w:color w:val="000000"/>
        </w:rPr>
        <w:t>33</w:t>
      </w:r>
      <w:r w:rsidR="008171B2" w:rsidRPr="00455A3C">
        <w:rPr>
          <w:rFonts w:eastAsia="Times New Roman" w:cstheme="minorHAnsi"/>
          <w:color w:val="000000"/>
        </w:rPr>
        <w:t xml:space="preserve"> LGAs</w:t>
      </w:r>
      <w:r w:rsidR="00DB50D2" w:rsidRPr="00455A3C">
        <w:rPr>
          <w:rFonts w:eastAsia="Times New Roman" w:cstheme="minorHAnsi"/>
          <w:color w:val="000000"/>
        </w:rPr>
        <w:t xml:space="preserve"> where there were</w:t>
      </w:r>
      <w:r w:rsidR="00983179" w:rsidRPr="00455A3C">
        <w:rPr>
          <w:rFonts w:eastAsia="Times New Roman" w:cstheme="minorHAnsi"/>
          <w:color w:val="000000"/>
        </w:rPr>
        <w:t xml:space="preserve"> distribution plans</w:t>
      </w:r>
      <w:r w:rsidR="008171B2" w:rsidRPr="00455A3C">
        <w:rPr>
          <w:rFonts w:eastAsia="Times New Roman" w:cstheme="minorHAnsi"/>
          <w:color w:val="000000"/>
        </w:rPr>
        <w:t>. This is because we expect</w:t>
      </w:r>
      <w:r w:rsidR="00710CF5" w:rsidRPr="00455A3C">
        <w:rPr>
          <w:rFonts w:eastAsia="Times New Roman" w:cstheme="minorHAnsi"/>
          <w:color w:val="000000"/>
        </w:rPr>
        <w:t>ed</w:t>
      </w:r>
      <w:r w:rsidR="008171B2" w:rsidRPr="00455A3C">
        <w:rPr>
          <w:rFonts w:eastAsia="Times New Roman" w:cstheme="minorHAnsi"/>
          <w:color w:val="000000"/>
        </w:rPr>
        <w:t xml:space="preserve"> lower levels of resistance to these nets. </w:t>
      </w:r>
    </w:p>
    <w:p w14:paraId="16FF1783" w14:textId="77777777" w:rsidR="00B32217" w:rsidRPr="00455A3C" w:rsidRDefault="00B32217" w:rsidP="005354EA">
      <w:pPr>
        <w:spacing w:after="0" w:line="276" w:lineRule="auto"/>
        <w:contextualSpacing/>
        <w:rPr>
          <w:rFonts w:eastAsia="Times New Roman" w:cstheme="minorHAnsi"/>
          <w:color w:val="000000"/>
        </w:rPr>
      </w:pPr>
    </w:p>
    <w:p w14:paraId="29848172" w14:textId="71B4D9BE" w:rsidR="007F7C1D" w:rsidRPr="00455A3C" w:rsidRDefault="00B62E1D" w:rsidP="005354EA">
      <w:pPr>
        <w:pStyle w:val="Heading1"/>
        <w:spacing w:before="0" w:line="276" w:lineRule="auto"/>
        <w:contextualSpacing/>
        <w:rPr>
          <w:rFonts w:asciiTheme="minorHAnsi" w:eastAsia="Times New Roman" w:hAnsiTheme="minorHAnsi" w:cstheme="minorHAnsi"/>
          <w:color w:val="auto"/>
          <w:sz w:val="22"/>
          <w:szCs w:val="22"/>
          <w:u w:val="single"/>
        </w:rPr>
      </w:pPr>
      <w:bookmarkStart w:id="9" w:name="_Toc77757582"/>
      <w:r w:rsidRPr="00455A3C">
        <w:rPr>
          <w:rFonts w:asciiTheme="minorHAnsi" w:eastAsia="Times New Roman" w:hAnsiTheme="minorHAnsi" w:cstheme="minorHAnsi"/>
          <w:color w:val="auto"/>
          <w:sz w:val="22"/>
          <w:szCs w:val="22"/>
          <w:u w:val="single"/>
        </w:rPr>
        <w:t>Intermittent preventive treatment in pregnant women</w:t>
      </w:r>
      <w:r w:rsidR="0075617C" w:rsidRPr="00455A3C">
        <w:rPr>
          <w:rFonts w:asciiTheme="minorHAnsi" w:eastAsia="Times New Roman" w:hAnsiTheme="minorHAnsi" w:cstheme="minorHAnsi"/>
          <w:color w:val="auto"/>
          <w:sz w:val="22"/>
          <w:szCs w:val="22"/>
          <w:u w:val="single"/>
        </w:rPr>
        <w:t xml:space="preserve"> (IPTp)</w:t>
      </w:r>
      <w:bookmarkEnd w:id="9"/>
    </w:p>
    <w:p w14:paraId="344C4129" w14:textId="6F316C9F" w:rsidR="002D22F3" w:rsidRPr="00455A3C" w:rsidRDefault="002D22F3" w:rsidP="005354EA">
      <w:pPr>
        <w:pStyle w:val="Heading2"/>
        <w:spacing w:line="276" w:lineRule="auto"/>
        <w:rPr>
          <w:rFonts w:asciiTheme="minorHAnsi" w:hAnsiTheme="minorHAnsi" w:cstheme="minorHAnsi"/>
          <w:sz w:val="22"/>
          <w:szCs w:val="22"/>
        </w:rPr>
      </w:pPr>
      <w:bookmarkStart w:id="10" w:name="_Toc27034966"/>
      <w:bookmarkStart w:id="11" w:name="_Toc77757583"/>
      <w:r w:rsidRPr="00455A3C">
        <w:rPr>
          <w:rFonts w:asciiTheme="minorHAnsi" w:hAnsiTheme="minorHAnsi" w:cstheme="minorHAnsi"/>
          <w:sz w:val="22"/>
          <w:szCs w:val="22"/>
        </w:rPr>
        <w:t>IPTp coverage 2010-2020</w:t>
      </w:r>
      <w:bookmarkEnd w:id="10"/>
      <w:bookmarkEnd w:id="11"/>
    </w:p>
    <w:p w14:paraId="1D3D915E" w14:textId="133786D8" w:rsidR="002D22F3" w:rsidRPr="00455A3C" w:rsidRDefault="002D22F3" w:rsidP="005354EA">
      <w:pPr>
        <w:spacing w:after="0" w:line="276" w:lineRule="auto"/>
        <w:contextualSpacing/>
        <w:rPr>
          <w:rFonts w:cstheme="minorHAnsi"/>
        </w:rPr>
      </w:pPr>
      <w:r w:rsidRPr="00455A3C">
        <w:rPr>
          <w:rFonts w:cstheme="minorHAnsi"/>
        </w:rPr>
        <w:t>The results from the 2008, 2010, 2013, 2015, and 2018 D</w:t>
      </w:r>
      <w:r w:rsidR="00AD6621" w:rsidRPr="00455A3C">
        <w:rPr>
          <w:rFonts w:cstheme="minorHAnsi"/>
        </w:rPr>
        <w:t>H</w:t>
      </w:r>
      <w:r w:rsidRPr="00455A3C">
        <w:rPr>
          <w:rFonts w:cstheme="minorHAnsi"/>
        </w:rPr>
        <w:t>S and MIS surveys were used to estimate the fraction of pregnant individuals who receive one or more IPTp dos</w:t>
      </w:r>
      <w:r w:rsidR="00AB31DD" w:rsidRPr="00455A3C">
        <w:rPr>
          <w:rFonts w:cstheme="minorHAnsi"/>
        </w:rPr>
        <w:t>es (‘IPTp coverage’) between 2010 - 2020</w:t>
      </w:r>
      <w:r w:rsidRPr="00455A3C">
        <w:rPr>
          <w:rFonts w:cstheme="minorHAnsi"/>
        </w:rPr>
        <w:t xml:space="preserve">. </w:t>
      </w:r>
      <w:r w:rsidR="00AB31DD" w:rsidRPr="00455A3C">
        <w:rPr>
          <w:rFonts w:cstheme="minorHAnsi"/>
        </w:rPr>
        <w:t>For each LGA</w:t>
      </w:r>
      <w:r w:rsidRPr="00455A3C">
        <w:rPr>
          <w:rFonts w:cstheme="minorHAnsi"/>
        </w:rPr>
        <w:t xml:space="preserve">, a monotone Hermite spline was fitted </w:t>
      </w:r>
      <w:r w:rsidR="002C29C7" w:rsidRPr="00455A3C">
        <w:rPr>
          <w:rFonts w:cstheme="minorHAnsi"/>
        </w:rPr>
        <w:t xml:space="preserve">using the Fritsch-Carlson method </w:t>
      </w:r>
      <w:r w:rsidRPr="00455A3C">
        <w:rPr>
          <w:rFonts w:cstheme="minorHAnsi"/>
        </w:rPr>
        <w:t>to pass through zero in 2005 and through the MIS/DHS values for years where twenty or more individuals were included in the sur</w:t>
      </w:r>
      <w:r w:rsidR="005C3CE3" w:rsidRPr="00455A3C">
        <w:rPr>
          <w:rFonts w:cstheme="minorHAnsi"/>
        </w:rPr>
        <w:t>vey within that LGA. IPTp</w:t>
      </w:r>
      <w:r w:rsidRPr="00455A3C">
        <w:rPr>
          <w:rFonts w:cstheme="minorHAnsi"/>
        </w:rPr>
        <w:t xml:space="preserve"> coverage</w:t>
      </w:r>
      <w:r w:rsidR="005C3CE3" w:rsidRPr="00455A3C">
        <w:rPr>
          <w:rFonts w:cstheme="minorHAnsi"/>
        </w:rPr>
        <w:t xml:space="preserve"> in 2019 and 2020 was assumed to be </w:t>
      </w:r>
      <w:r w:rsidRPr="00455A3C">
        <w:rPr>
          <w:rFonts w:cstheme="minorHAnsi"/>
        </w:rPr>
        <w:t>the same as the coverage</w:t>
      </w:r>
      <w:r w:rsidR="006C5141" w:rsidRPr="00455A3C">
        <w:rPr>
          <w:rFonts w:cstheme="minorHAnsi"/>
        </w:rPr>
        <w:t xml:space="preserve"> in 2018</w:t>
      </w:r>
      <w:r w:rsidRPr="00455A3C">
        <w:rPr>
          <w:rFonts w:cstheme="minorHAnsi"/>
        </w:rPr>
        <w:t xml:space="preserve">. </w:t>
      </w:r>
      <w:r w:rsidR="00A63B5D" w:rsidRPr="00455A3C">
        <w:rPr>
          <w:rFonts w:cstheme="minorHAnsi"/>
        </w:rPr>
        <w:t xml:space="preserve">If survey results were not available for 2018 for an LGA, the </w:t>
      </w:r>
      <w:r w:rsidR="002258DF" w:rsidRPr="00455A3C">
        <w:rPr>
          <w:rFonts w:cstheme="minorHAnsi"/>
        </w:rPr>
        <w:t xml:space="preserve">2019 and </w:t>
      </w:r>
      <w:r w:rsidR="00A63B5D" w:rsidRPr="00455A3C">
        <w:rPr>
          <w:rFonts w:cstheme="minorHAnsi"/>
        </w:rPr>
        <w:t>2020 coverage</w:t>
      </w:r>
      <w:r w:rsidR="002258DF" w:rsidRPr="00455A3C">
        <w:rPr>
          <w:rFonts w:cstheme="minorHAnsi"/>
        </w:rPr>
        <w:t>s</w:t>
      </w:r>
      <w:r w:rsidR="00A63B5D" w:rsidRPr="00455A3C">
        <w:rPr>
          <w:rFonts w:cstheme="minorHAnsi"/>
        </w:rPr>
        <w:t xml:space="preserve"> </w:t>
      </w:r>
      <w:r w:rsidR="002258DF" w:rsidRPr="00455A3C">
        <w:rPr>
          <w:rFonts w:cstheme="minorHAnsi"/>
        </w:rPr>
        <w:t xml:space="preserve">were </w:t>
      </w:r>
      <w:r w:rsidR="00AD6621" w:rsidRPr="00455A3C">
        <w:rPr>
          <w:rFonts w:cstheme="minorHAnsi"/>
        </w:rPr>
        <w:t xml:space="preserve">set to the IPTp coverage among all 2018 DHS participants </w:t>
      </w:r>
      <w:r w:rsidR="007D0494" w:rsidRPr="00455A3C">
        <w:rPr>
          <w:rFonts w:cstheme="minorHAnsi"/>
        </w:rPr>
        <w:t xml:space="preserve">(Figure </w:t>
      </w:r>
      <w:r w:rsidR="00C67954" w:rsidRPr="00455A3C">
        <w:rPr>
          <w:rFonts w:cstheme="minorHAnsi"/>
        </w:rPr>
        <w:t>S</w:t>
      </w:r>
      <w:r w:rsidR="007D0494" w:rsidRPr="00455A3C">
        <w:rPr>
          <w:rFonts w:cstheme="minorHAnsi"/>
        </w:rPr>
        <w:t>7).</w:t>
      </w:r>
    </w:p>
    <w:p w14:paraId="1F6E8AEF" w14:textId="77777777" w:rsidR="007D0494" w:rsidRPr="00455A3C" w:rsidRDefault="007D0494" w:rsidP="005354EA">
      <w:pPr>
        <w:spacing w:after="0" w:line="276" w:lineRule="auto"/>
        <w:contextualSpacing/>
        <w:rPr>
          <w:rFonts w:cstheme="minorHAnsi"/>
        </w:rPr>
      </w:pPr>
    </w:p>
    <w:p w14:paraId="5DFE8F33" w14:textId="30E42C1F" w:rsidR="002D22F3" w:rsidRPr="00455A3C" w:rsidRDefault="002F709D" w:rsidP="005354EA">
      <w:pPr>
        <w:keepNext/>
        <w:spacing w:after="0" w:line="276" w:lineRule="auto"/>
        <w:contextualSpacing/>
        <w:rPr>
          <w:rFonts w:cstheme="minorHAnsi"/>
        </w:rPr>
      </w:pPr>
      <w:r w:rsidRPr="00C0372B">
        <w:rPr>
          <w:rFonts w:cstheme="minorHAnsi"/>
          <w:noProof/>
        </w:rPr>
        <w:drawing>
          <wp:inline distT="0" distB="0" distL="0" distR="0" wp14:anchorId="25B59BBE" wp14:editId="6C58E7CA">
            <wp:extent cx="3975100" cy="1827846"/>
            <wp:effectExtent l="0" t="0" r="635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 7_IPTp coverage.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995846" cy="1837386"/>
                    </a:xfrm>
                    <a:prstGeom prst="rect">
                      <a:avLst/>
                    </a:prstGeom>
                  </pic:spPr>
                </pic:pic>
              </a:graphicData>
            </a:graphic>
          </wp:inline>
        </w:drawing>
      </w:r>
    </w:p>
    <w:p w14:paraId="3DE773FC" w14:textId="535B1C39" w:rsidR="003769C0" w:rsidRPr="00455A3C" w:rsidRDefault="003769C0" w:rsidP="005354EA">
      <w:pPr>
        <w:keepNext/>
        <w:spacing w:after="0" w:line="276" w:lineRule="auto"/>
        <w:contextualSpacing/>
        <w:rPr>
          <w:rFonts w:cstheme="minorHAnsi"/>
        </w:rPr>
      </w:pPr>
      <w:r w:rsidRPr="00455A3C">
        <w:rPr>
          <w:rFonts w:cstheme="minorHAnsi"/>
        </w:rPr>
        <w:t xml:space="preserve">Figure </w:t>
      </w:r>
      <w:r w:rsidR="00C67954" w:rsidRPr="00455A3C">
        <w:rPr>
          <w:rFonts w:cstheme="minorHAnsi"/>
        </w:rPr>
        <w:t>S</w:t>
      </w:r>
      <w:r w:rsidRPr="00455A3C">
        <w:rPr>
          <w:rFonts w:cstheme="minorHAnsi"/>
        </w:rPr>
        <w:t xml:space="preserve">7: Fitted splines showing estimated IPTp coverage through time for a </w:t>
      </w:r>
      <w:r w:rsidR="00DE68FF" w:rsidRPr="00455A3C">
        <w:rPr>
          <w:rFonts w:cstheme="minorHAnsi"/>
        </w:rPr>
        <w:t xml:space="preserve">random </w:t>
      </w:r>
      <w:r w:rsidRPr="00455A3C">
        <w:rPr>
          <w:rFonts w:cstheme="minorHAnsi"/>
        </w:rPr>
        <w:t>subset of LGAs. Points show DHS/MIS data and lines show the fitted splines, with each c</w:t>
      </w:r>
      <w:r w:rsidR="001B661D" w:rsidRPr="00455A3C">
        <w:rPr>
          <w:rFonts w:cstheme="minorHAnsi"/>
        </w:rPr>
        <w:t>olor indicating a different LGA</w:t>
      </w:r>
      <w:r w:rsidR="00DE68FF" w:rsidRPr="00455A3C">
        <w:rPr>
          <w:rFonts w:cstheme="minorHAnsi"/>
        </w:rPr>
        <w:t>.</w:t>
      </w:r>
    </w:p>
    <w:p w14:paraId="2268D59C" w14:textId="405E68EE" w:rsidR="003769C0" w:rsidRPr="00C0372B" w:rsidRDefault="003769C0" w:rsidP="00C0372B">
      <w:pPr>
        <w:rPr>
          <w:rFonts w:cstheme="minorHAnsi"/>
        </w:rPr>
      </w:pPr>
    </w:p>
    <w:p w14:paraId="6BCB7CA2" w14:textId="06FD5979" w:rsidR="002D22F3" w:rsidRPr="00455A3C" w:rsidRDefault="005C3CE3" w:rsidP="005354EA">
      <w:pPr>
        <w:pStyle w:val="Heading2"/>
        <w:spacing w:line="276" w:lineRule="auto"/>
        <w:rPr>
          <w:rFonts w:asciiTheme="minorHAnsi" w:hAnsiTheme="minorHAnsi" w:cstheme="minorHAnsi"/>
          <w:sz w:val="22"/>
          <w:szCs w:val="22"/>
        </w:rPr>
      </w:pPr>
      <w:bookmarkStart w:id="12" w:name="_Toc77757584"/>
      <w:r w:rsidRPr="00455A3C">
        <w:rPr>
          <w:rFonts w:asciiTheme="minorHAnsi" w:hAnsiTheme="minorHAnsi" w:cstheme="minorHAnsi"/>
          <w:sz w:val="22"/>
          <w:szCs w:val="22"/>
        </w:rPr>
        <w:t>Estimating the fraction of individuals that received different IPTp doses</w:t>
      </w:r>
      <w:bookmarkEnd w:id="12"/>
      <w:r w:rsidRPr="00455A3C">
        <w:rPr>
          <w:rFonts w:asciiTheme="minorHAnsi" w:hAnsiTheme="minorHAnsi" w:cstheme="minorHAnsi"/>
          <w:sz w:val="22"/>
          <w:szCs w:val="22"/>
        </w:rPr>
        <w:t xml:space="preserve"> </w:t>
      </w:r>
    </w:p>
    <w:p w14:paraId="6DC7B067" w14:textId="2FC0C828" w:rsidR="002D22F3" w:rsidRPr="00455A3C" w:rsidRDefault="002D22F3" w:rsidP="005354EA">
      <w:pPr>
        <w:spacing w:after="0" w:line="276" w:lineRule="auto"/>
        <w:contextualSpacing/>
        <w:rPr>
          <w:rFonts w:cstheme="minorHAnsi"/>
        </w:rPr>
      </w:pPr>
      <w:r w:rsidRPr="00455A3C">
        <w:rPr>
          <w:rFonts w:cstheme="minorHAnsi"/>
        </w:rPr>
        <w:t>To estimate the fract</w:t>
      </w:r>
      <w:r w:rsidR="003D1B4E" w:rsidRPr="00455A3C">
        <w:rPr>
          <w:rFonts w:cstheme="minorHAnsi"/>
        </w:rPr>
        <w:t>ion of individuals who receive</w:t>
      </w:r>
      <w:r w:rsidR="003B1094">
        <w:rPr>
          <w:rFonts w:cstheme="minorHAnsi"/>
        </w:rPr>
        <w:t>d</w:t>
      </w:r>
      <w:r w:rsidR="003D1B4E" w:rsidRPr="00455A3C">
        <w:rPr>
          <w:rFonts w:cstheme="minorHAnsi"/>
        </w:rPr>
        <w:t xml:space="preserve"> one, two, three or more</w:t>
      </w:r>
      <w:r w:rsidRPr="00455A3C">
        <w:rPr>
          <w:rFonts w:cstheme="minorHAnsi"/>
        </w:rPr>
        <w:t xml:space="preserve"> </w:t>
      </w:r>
      <w:r w:rsidR="003B1094">
        <w:rPr>
          <w:rFonts w:cstheme="minorHAnsi"/>
        </w:rPr>
        <w:t xml:space="preserve">IPTp </w:t>
      </w:r>
      <w:r w:rsidRPr="00455A3C">
        <w:rPr>
          <w:rFonts w:cstheme="minorHAnsi"/>
        </w:rPr>
        <w:t>doses between 20</w:t>
      </w:r>
      <w:r w:rsidR="0060661A" w:rsidRPr="00455A3C">
        <w:rPr>
          <w:rFonts w:cstheme="minorHAnsi"/>
        </w:rPr>
        <w:t xml:space="preserve">10 and 2020, we examined </w:t>
      </w:r>
      <w:r w:rsidR="00872A40" w:rsidRPr="00455A3C">
        <w:rPr>
          <w:rFonts w:cstheme="minorHAnsi"/>
        </w:rPr>
        <w:t xml:space="preserve">DHS and MIS results (Figure </w:t>
      </w:r>
      <w:r w:rsidR="00C67954" w:rsidRPr="00455A3C">
        <w:rPr>
          <w:rFonts w:cstheme="minorHAnsi"/>
        </w:rPr>
        <w:t>S</w:t>
      </w:r>
      <w:r w:rsidR="00872A40" w:rsidRPr="00455A3C">
        <w:rPr>
          <w:rFonts w:cstheme="minorHAnsi"/>
        </w:rPr>
        <w:t>8)</w:t>
      </w:r>
      <w:r w:rsidR="0060661A" w:rsidRPr="00455A3C">
        <w:rPr>
          <w:rFonts w:cstheme="minorHAnsi"/>
        </w:rPr>
        <w:t xml:space="preserve"> and observed a fluctuating pattern</w:t>
      </w:r>
      <w:r w:rsidRPr="00455A3C">
        <w:rPr>
          <w:rFonts w:cstheme="minorHAnsi"/>
        </w:rPr>
        <w:t xml:space="preserve"> with increases and decreases in the fraction of individuals receiving three doses through time. </w:t>
      </w:r>
      <w:r w:rsidR="0060661A" w:rsidRPr="00455A3C">
        <w:rPr>
          <w:rFonts w:cstheme="minorHAnsi"/>
        </w:rPr>
        <w:t>T</w:t>
      </w:r>
      <w:r w:rsidRPr="00455A3C">
        <w:rPr>
          <w:rFonts w:cstheme="minorHAnsi"/>
        </w:rPr>
        <w:t>he two MIS surveys in 2010 and 2015 tended to have a larger fraction of individuals receiving three or more IPTp doses than the th</w:t>
      </w:r>
      <w:r w:rsidR="0060661A" w:rsidRPr="00455A3C">
        <w:rPr>
          <w:rFonts w:cstheme="minorHAnsi"/>
        </w:rPr>
        <w:t>ree DHS surveys</w:t>
      </w:r>
      <w:r w:rsidR="00A63B5D" w:rsidRPr="00455A3C">
        <w:rPr>
          <w:rFonts w:cstheme="minorHAnsi"/>
        </w:rPr>
        <w:t>,</w:t>
      </w:r>
      <w:r w:rsidR="0060661A" w:rsidRPr="00455A3C">
        <w:rPr>
          <w:rFonts w:cstheme="minorHAnsi"/>
        </w:rPr>
        <w:t xml:space="preserve"> </w:t>
      </w:r>
      <w:r w:rsidR="00A63B5D" w:rsidRPr="00455A3C">
        <w:rPr>
          <w:rFonts w:cstheme="minorHAnsi"/>
        </w:rPr>
        <w:t>so it seem</w:t>
      </w:r>
      <w:r w:rsidR="006B40FB">
        <w:rPr>
          <w:rFonts w:cstheme="minorHAnsi"/>
        </w:rPr>
        <w:t>ed</w:t>
      </w:r>
      <w:r w:rsidR="00A63B5D" w:rsidRPr="00455A3C">
        <w:rPr>
          <w:rFonts w:cstheme="minorHAnsi"/>
        </w:rPr>
        <w:t xml:space="preserve"> likely that these fluctuations result from differences between the DHS and MIS surveys or from finite survey sizes rather than from true year-to-year changes in the number of doses received</w:t>
      </w:r>
      <w:r w:rsidR="0060661A" w:rsidRPr="00455A3C">
        <w:rPr>
          <w:rFonts w:cstheme="minorHAnsi"/>
        </w:rPr>
        <w:t xml:space="preserve">. </w:t>
      </w:r>
      <w:r w:rsidR="006B40FB">
        <w:rPr>
          <w:rFonts w:cstheme="minorHAnsi"/>
        </w:rPr>
        <w:t>W</w:t>
      </w:r>
      <w:r w:rsidRPr="00455A3C">
        <w:rPr>
          <w:rFonts w:cstheme="minorHAnsi"/>
        </w:rPr>
        <w:t>e</w:t>
      </w:r>
      <w:r w:rsidR="006B40FB">
        <w:rPr>
          <w:rFonts w:cstheme="minorHAnsi"/>
        </w:rPr>
        <w:t xml:space="preserve"> therefore</w:t>
      </w:r>
      <w:r w:rsidRPr="00455A3C">
        <w:rPr>
          <w:rFonts w:cstheme="minorHAnsi"/>
        </w:rPr>
        <w:t xml:space="preserve"> assumed a constant fraction of individuals with each number of doses through time, using the 2018 DHS values for all</w:t>
      </w:r>
      <w:r w:rsidR="0075617C" w:rsidRPr="00455A3C">
        <w:rPr>
          <w:rFonts w:cstheme="minorHAnsi"/>
        </w:rPr>
        <w:t xml:space="preserve"> years because it </w:t>
      </w:r>
      <w:r w:rsidRPr="00455A3C">
        <w:rPr>
          <w:rFonts w:cstheme="minorHAnsi"/>
        </w:rPr>
        <w:t>included substantially more in</w:t>
      </w:r>
      <w:r w:rsidR="0075617C" w:rsidRPr="00455A3C">
        <w:rPr>
          <w:rFonts w:cstheme="minorHAnsi"/>
        </w:rPr>
        <w:t>dividuals than previous surveys</w:t>
      </w:r>
      <w:r w:rsidRPr="00455A3C">
        <w:rPr>
          <w:rFonts w:cstheme="minorHAnsi"/>
        </w:rPr>
        <w:t>.</w:t>
      </w:r>
    </w:p>
    <w:p w14:paraId="20C74134" w14:textId="67C5FD4C" w:rsidR="002D22F3" w:rsidRPr="00455A3C" w:rsidRDefault="00A30B27" w:rsidP="005354EA">
      <w:pPr>
        <w:spacing w:after="0" w:line="276" w:lineRule="auto"/>
        <w:contextualSpacing/>
        <w:rPr>
          <w:rFonts w:cstheme="minorHAnsi"/>
        </w:rPr>
      </w:pPr>
      <w:r w:rsidRPr="00C0372B">
        <w:rPr>
          <w:rFonts w:cstheme="minorHAnsi"/>
          <w:noProof/>
        </w:rPr>
        <w:lastRenderedPageBreak/>
        <w:drawing>
          <wp:inline distT="0" distB="0" distL="0" distR="0" wp14:anchorId="13B64ED5" wp14:editId="24DC6A58">
            <wp:extent cx="3895671" cy="21717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e 8_barchart doses IPTp.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11190" cy="2180351"/>
                    </a:xfrm>
                    <a:prstGeom prst="rect">
                      <a:avLst/>
                    </a:prstGeom>
                  </pic:spPr>
                </pic:pic>
              </a:graphicData>
            </a:graphic>
          </wp:inline>
        </w:drawing>
      </w:r>
    </w:p>
    <w:p w14:paraId="1A7A6AB4" w14:textId="629353BF" w:rsidR="00AB6C6B" w:rsidRPr="00B6373E" w:rsidRDefault="00AB6C6B" w:rsidP="005354EA">
      <w:pPr>
        <w:spacing w:after="0" w:line="276" w:lineRule="auto"/>
        <w:contextualSpacing/>
        <w:rPr>
          <w:rFonts w:ascii="Calibri" w:hAnsi="Calibri" w:cs="Calibri"/>
        </w:rPr>
      </w:pPr>
      <w:r w:rsidRPr="00B6373E">
        <w:rPr>
          <w:rFonts w:ascii="Calibri" w:hAnsi="Calibri" w:cs="Calibri"/>
        </w:rPr>
        <w:t xml:space="preserve">Figure </w:t>
      </w:r>
      <w:r w:rsidR="00C67954" w:rsidRPr="00B6373E">
        <w:rPr>
          <w:rFonts w:ascii="Calibri" w:hAnsi="Calibri" w:cs="Calibri"/>
        </w:rPr>
        <w:t>S</w:t>
      </w:r>
      <w:r w:rsidRPr="00B6373E">
        <w:rPr>
          <w:rFonts w:ascii="Calibri" w:hAnsi="Calibri" w:cs="Calibri"/>
        </w:rPr>
        <w:t xml:space="preserve">8: </w:t>
      </w:r>
      <w:r w:rsidR="001B661D" w:rsidRPr="00B6373E">
        <w:rPr>
          <w:rFonts w:ascii="Calibri" w:hAnsi="Calibri" w:cs="Calibri"/>
        </w:rPr>
        <w:t xml:space="preserve">Fraction of IPTp-receiving individuals who reported receiving one, two, or three or more doses in each DHS </w:t>
      </w:r>
      <w:r w:rsidR="00F834BC" w:rsidRPr="00B6373E">
        <w:rPr>
          <w:rFonts w:ascii="Calibri" w:hAnsi="Calibri" w:cs="Calibri"/>
        </w:rPr>
        <w:t xml:space="preserve">(2008, 2013, 2018) </w:t>
      </w:r>
      <w:r w:rsidR="001B661D" w:rsidRPr="00B6373E">
        <w:rPr>
          <w:rFonts w:ascii="Calibri" w:hAnsi="Calibri" w:cs="Calibri"/>
        </w:rPr>
        <w:t>or MIS</w:t>
      </w:r>
      <w:r w:rsidR="00F834BC" w:rsidRPr="00B6373E">
        <w:rPr>
          <w:rFonts w:ascii="Calibri" w:hAnsi="Calibri" w:cs="Calibri"/>
        </w:rPr>
        <w:t xml:space="preserve"> (2010, 2015).</w:t>
      </w:r>
    </w:p>
    <w:p w14:paraId="33BC1F17" w14:textId="4919F706" w:rsidR="001B661D" w:rsidRPr="00455A3C" w:rsidRDefault="001B661D" w:rsidP="005354EA">
      <w:pPr>
        <w:spacing w:after="0" w:line="276" w:lineRule="auto"/>
        <w:contextualSpacing/>
        <w:rPr>
          <w:rFonts w:cstheme="minorHAnsi"/>
        </w:rPr>
      </w:pPr>
    </w:p>
    <w:p w14:paraId="04268C68" w14:textId="77777777" w:rsidR="00B32217" w:rsidRPr="00455A3C" w:rsidRDefault="00B32217" w:rsidP="005354EA">
      <w:pPr>
        <w:spacing w:after="0" w:line="276" w:lineRule="auto"/>
        <w:contextualSpacing/>
        <w:rPr>
          <w:rFonts w:cstheme="minorHAnsi"/>
        </w:rPr>
      </w:pPr>
    </w:p>
    <w:p w14:paraId="171D1D05" w14:textId="2DFE8395" w:rsidR="002D22F3" w:rsidRPr="00455A3C" w:rsidRDefault="0075617C" w:rsidP="005354EA">
      <w:pPr>
        <w:pStyle w:val="Heading2"/>
        <w:spacing w:line="276" w:lineRule="auto"/>
        <w:rPr>
          <w:rFonts w:asciiTheme="minorHAnsi" w:hAnsiTheme="minorHAnsi" w:cstheme="minorHAnsi"/>
          <w:sz w:val="22"/>
          <w:szCs w:val="22"/>
        </w:rPr>
      </w:pPr>
      <w:bookmarkStart w:id="13" w:name="_Toc77757585"/>
      <w:r w:rsidRPr="00455A3C">
        <w:rPr>
          <w:rFonts w:asciiTheme="minorHAnsi" w:hAnsiTheme="minorHAnsi" w:cstheme="minorHAnsi"/>
          <w:sz w:val="22"/>
          <w:szCs w:val="22"/>
        </w:rPr>
        <w:t xml:space="preserve">Adjusting </w:t>
      </w:r>
      <w:r w:rsidR="008711C5" w:rsidRPr="00455A3C">
        <w:rPr>
          <w:rFonts w:asciiTheme="minorHAnsi" w:hAnsiTheme="minorHAnsi" w:cstheme="minorHAnsi"/>
          <w:sz w:val="22"/>
          <w:szCs w:val="22"/>
        </w:rPr>
        <w:t>PfPR</w:t>
      </w:r>
      <w:r w:rsidR="00F37C81" w:rsidRPr="00455A3C">
        <w:rPr>
          <w:rFonts w:asciiTheme="minorHAnsi" w:hAnsiTheme="minorHAnsi" w:cstheme="minorHAnsi"/>
          <w:sz w:val="22"/>
          <w:szCs w:val="22"/>
        </w:rPr>
        <w:t xml:space="preserve"> </w:t>
      </w:r>
      <w:r w:rsidR="00324D0D" w:rsidRPr="00455A3C">
        <w:rPr>
          <w:rFonts w:asciiTheme="minorHAnsi" w:hAnsiTheme="minorHAnsi" w:cstheme="minorHAnsi"/>
          <w:sz w:val="22"/>
          <w:szCs w:val="22"/>
        </w:rPr>
        <w:t>to account for the impact of IPTp</w:t>
      </w:r>
      <w:bookmarkEnd w:id="13"/>
      <w:r w:rsidR="00324D0D" w:rsidRPr="00455A3C">
        <w:rPr>
          <w:rFonts w:asciiTheme="minorHAnsi" w:hAnsiTheme="minorHAnsi" w:cstheme="minorHAnsi"/>
          <w:sz w:val="22"/>
          <w:szCs w:val="22"/>
        </w:rPr>
        <w:t xml:space="preserve"> </w:t>
      </w:r>
    </w:p>
    <w:p w14:paraId="0DA0FF0E" w14:textId="5464691B" w:rsidR="00F5028F" w:rsidRPr="00455A3C" w:rsidRDefault="00017C23">
      <w:pPr>
        <w:spacing w:after="0" w:line="276" w:lineRule="auto"/>
        <w:contextualSpacing/>
        <w:rPr>
          <w:rFonts w:cstheme="minorHAnsi"/>
        </w:rPr>
      </w:pPr>
      <w:r w:rsidRPr="00455A3C">
        <w:rPr>
          <w:rFonts w:cstheme="minorHAnsi"/>
        </w:rPr>
        <w:t>IPTp</w:t>
      </w:r>
      <w:r w:rsidR="002D22F3" w:rsidRPr="00455A3C">
        <w:rPr>
          <w:rFonts w:cstheme="minorHAnsi"/>
        </w:rPr>
        <w:t xml:space="preserve"> </w:t>
      </w:r>
      <w:r w:rsidRPr="00455A3C">
        <w:rPr>
          <w:rFonts w:cstheme="minorHAnsi"/>
        </w:rPr>
        <w:t>reduc</w:t>
      </w:r>
      <w:r w:rsidR="008130CC">
        <w:rPr>
          <w:rFonts w:cstheme="minorHAnsi"/>
        </w:rPr>
        <w:t>es</w:t>
      </w:r>
      <w:r w:rsidRPr="00455A3C">
        <w:rPr>
          <w:rFonts w:cstheme="minorHAnsi"/>
        </w:rPr>
        <w:t xml:space="preserve"> </w:t>
      </w:r>
      <w:r w:rsidR="002D22F3" w:rsidRPr="00455A3C">
        <w:rPr>
          <w:rFonts w:cstheme="minorHAnsi"/>
        </w:rPr>
        <w:t xml:space="preserve">parasite prevalence </w:t>
      </w:r>
      <w:r w:rsidRPr="00455A3C">
        <w:rPr>
          <w:rFonts w:cstheme="minorHAnsi"/>
        </w:rPr>
        <w:t>among pregnant individuals</w:t>
      </w:r>
      <w:r w:rsidR="007A5B04" w:rsidRPr="00455A3C">
        <w:rPr>
          <w:rFonts w:cstheme="minorHAnsi"/>
        </w:rPr>
        <w:t xml:space="preserve"> by clearing existing infections and protecting against new infections</w:t>
      </w:r>
      <w:r w:rsidR="00324D0D" w:rsidRPr="00455A3C">
        <w:rPr>
          <w:rFonts w:cstheme="minorHAnsi"/>
        </w:rPr>
        <w:t xml:space="preserve"> </w:t>
      </w:r>
      <w:r w:rsidR="005766BD" w:rsidRPr="00C0372B">
        <w:rPr>
          <w:rFonts w:cstheme="minorHAnsi"/>
        </w:rPr>
        <w:fldChar w:fldCharType="begin" w:fldLock="1"/>
      </w:r>
      <w:r w:rsidR="00C72B9D">
        <w:rPr>
          <w:rFonts w:cstheme="minorHAnsi"/>
        </w:rPr>
        <w:instrText>ADDIN CSL_CITATION {"citationItems":[{"id":"ITEM-1","itemData":{"DOI":"10.1371/journal.pone.0001934","ISSN":"19326203","PMID":"18398460","abstract":"Background: Current recommendations to prevent malaria in African pregnant women rely on insecticide treated nets (TTNS) and intermittent preventive treatment (IPTp). However, there is no information on the safety and efficacy of their combined use. Methods: 1030 pregnant Mozambican women of all gravidities received a long-lasting ITN during antenatal clinic (ANC) visits and, irrespective of HIV status, were enrolled in a randomise, double blind, placebo-controlled trial, to assess the safety and efficacy of 2-dose sulphadoxine-pyrimenthamine (SP). The main outcome was the reduction in low birth weight. Findings: Two-dose SP was safe and well tolerated, but was not associated with reductions in anaemia prevalence at delivery (RR, 0.92 [95% CI, 0.79 1.08]), low birth weight (RR, 0.99 [95% CI, 0.70-1.39]), or overall placental infection (p=0.964). However, the SP group showed a 40% reduction (95% CI, 7.40-61.20]; p-0.020) in the incidence of clinical malaria during pregnancy, and reductions in the prevalence of peripheral parasitaemia (7.10% vs 15.15%) (p&lt;0.001), and of actively infected placentas (7.04% vs 13.60%) (p=0.002). There was a reduction in severe anaemia at delivery of borderline statistical significance (p=0.055). These effects were not modified by gravidity or HIV status. Reported ITN's use was more than 90% in both groups. Conclusions: Two-dose SP was associated with a reduction in some indicators, but these were not translated to significant improvement in other maternal or birth outcomes. The use of ITNs during pregnancy may reduce the need to administer IPTp. ITNs should be part of the ANC package in sub-Sahara Africa. © 2008 Menendez et al.","author":[{"dropping-particle":"","family":"Menéndez","given":"Clara","non-dropping-particle":"","parse-names":false,"suffix":""},{"dropping-particle":"","family":"Bardají","given":"Azucena","non-dropping-particle":"","parse-names":false,"suffix":""},{"dropping-particle":"","family":"Sigauque","given":"Betuel","non-dropping-particle":"","parse-names":false,"suffix":""},{"dropping-particle":"","family":"Romagosa","given":"Cleofé","non-dropping-particle":"","parse-names":false,"suffix":""},{"dropping-particle":"","family":"Sanz","given":"Sergi","non-dropping-particle":"","parse-names":false,"suffix":""},{"dropping-particle":"","family":"Serra-Casas","given":"Elisa","non-dropping-particle":"","parse-names":false,"suffix":""},{"dropping-particle":"","family":"Macete","given":"Eusebio","non-dropping-particle":"","parse-names":false,"suffix":""},{"dropping-particle":"","family":"Berenguera","given":"Anna","non-dropping-particle":"","parse-names":false,"suffix":""},{"dropping-particle":"","family":"David","given":"Catarina","non-dropping-particle":"","parse-names":false,"suffix":""},{"dropping-particle":"","family":"Dobaño","given":"Carlota","non-dropping-particle":"","parse-names":false,"suffix":""},{"dropping-particle":"","family":"Naniche","given":"Denise","non-dropping-particle":"","parse-names":false,"suffix":""},{"dropping-particle":"","family":"Mayor","given":"Alfredo","non-dropping-particle":"","parse-names":false,"suffix":""},{"dropping-particle":"","family":"Ordi","given":"Jaume","non-dropping-particle":"","parse-names":false,"suffix":""},{"dropping-particle":"","family":"Mandomando","given":"Inacio","non-dropping-particle":"","parse-names":false,"suffix":""},{"dropping-particle":"","family":"Aponte","given":"John J.","non-dropping-particle":"","parse-names":false,"suffix":""},{"dropping-particle":"","family":"Mabunda","given":"Samuel","non-dropping-particle":"","parse-names":false,"suffix":""},{"dropping-particle":"","family":"Alonso","given":"Pedro L.","non-dropping-particle":"","parse-names":false,"suffix":""}],"container-title":"PLoS ONE","id":"ITEM-1","issue":"4","issued":{"date-parts":[["2008","4","9"]]},"publisher":"Public Library of Science","title":"A randomized placebo-controlled trial of intermittent preventive treatment in pregnant women in the context of insecticide treated nets delivered through the antenatal clinic","type":"article-journal","volume":"3"},"uris":["http://www.mendeley.com/documents/?uuid=4c05f880-4953-35f3-8845-18eb36c6bd2a","http://www.mendeley.com/documents/?uuid=3e98a286-521c-4e83-88b6-96afdcf277bd"]}],"mendeley":{"formattedCitation":"[20]","plainTextFormattedCitation":"[20]","previouslyFormattedCitation":"[20]"},"properties":{"noteIndex":0},"schema":"https://github.com/citation-style-language/schema/raw/master/csl-citation.json"}</w:instrText>
      </w:r>
      <w:r w:rsidR="005766BD" w:rsidRPr="00C0372B">
        <w:rPr>
          <w:rFonts w:cstheme="minorHAnsi"/>
        </w:rPr>
        <w:fldChar w:fldCharType="separate"/>
      </w:r>
      <w:r w:rsidR="00D540A2" w:rsidRPr="00D540A2">
        <w:rPr>
          <w:rFonts w:cstheme="minorHAnsi"/>
          <w:noProof/>
        </w:rPr>
        <w:t>[20]</w:t>
      </w:r>
      <w:r w:rsidR="005766BD" w:rsidRPr="00C0372B">
        <w:rPr>
          <w:rFonts w:cstheme="minorHAnsi"/>
        </w:rPr>
        <w:fldChar w:fldCharType="end"/>
      </w:r>
      <w:r w:rsidR="002D22F3" w:rsidRPr="00455A3C">
        <w:rPr>
          <w:rFonts w:cstheme="minorHAnsi"/>
        </w:rPr>
        <w:t>. IPTp-caused parasite clearance</w:t>
      </w:r>
      <w:r w:rsidR="005766BD" w:rsidRPr="00455A3C">
        <w:rPr>
          <w:rFonts w:cstheme="minorHAnsi"/>
        </w:rPr>
        <w:t xml:space="preserve"> </w:t>
      </w:r>
      <w:r w:rsidR="002D5242" w:rsidRPr="00455A3C">
        <w:rPr>
          <w:rFonts w:cstheme="minorHAnsi"/>
        </w:rPr>
        <w:t>wa</w:t>
      </w:r>
      <w:r w:rsidR="005766BD" w:rsidRPr="00455A3C">
        <w:rPr>
          <w:rFonts w:cstheme="minorHAnsi"/>
        </w:rPr>
        <w:t>s not simulated in EMOD</w:t>
      </w:r>
      <w:r w:rsidR="002D5242" w:rsidRPr="00455A3C">
        <w:rPr>
          <w:rFonts w:cstheme="minorHAnsi"/>
        </w:rPr>
        <w:t>. Rather,</w:t>
      </w:r>
      <w:r w:rsidR="0065718E" w:rsidRPr="00455A3C">
        <w:rPr>
          <w:rFonts w:cstheme="minorHAnsi"/>
        </w:rPr>
        <w:t xml:space="preserve"> </w:t>
      </w:r>
      <w:r w:rsidR="002D22F3" w:rsidRPr="00455A3C">
        <w:rPr>
          <w:rFonts w:cstheme="minorHAnsi"/>
        </w:rPr>
        <w:t xml:space="preserve">the simulation output </w:t>
      </w:r>
      <w:r w:rsidR="00951A86" w:rsidRPr="00455A3C">
        <w:rPr>
          <w:rFonts w:cstheme="minorHAnsi"/>
        </w:rPr>
        <w:t>was</w:t>
      </w:r>
      <w:r w:rsidR="0065718E" w:rsidRPr="00455A3C">
        <w:rPr>
          <w:rFonts w:cstheme="minorHAnsi"/>
        </w:rPr>
        <w:t xml:space="preserve"> </w:t>
      </w:r>
      <w:r w:rsidR="002D31BE" w:rsidRPr="00455A3C">
        <w:rPr>
          <w:rFonts w:cstheme="minorHAnsi"/>
        </w:rPr>
        <w:t>adjusted</w:t>
      </w:r>
      <w:r w:rsidR="0065718E" w:rsidRPr="00455A3C">
        <w:rPr>
          <w:rFonts w:cstheme="minorHAnsi"/>
        </w:rPr>
        <w:t xml:space="preserve"> </w:t>
      </w:r>
      <w:r w:rsidR="002D22F3" w:rsidRPr="00455A3C">
        <w:rPr>
          <w:rFonts w:cstheme="minorHAnsi"/>
        </w:rPr>
        <w:t xml:space="preserve">to </w:t>
      </w:r>
      <w:r w:rsidR="002D31BE" w:rsidRPr="00455A3C">
        <w:rPr>
          <w:rFonts w:cstheme="minorHAnsi"/>
        </w:rPr>
        <w:t>account for</w:t>
      </w:r>
      <w:r w:rsidR="002D22F3" w:rsidRPr="00455A3C">
        <w:rPr>
          <w:rFonts w:cstheme="minorHAnsi"/>
        </w:rPr>
        <w:t xml:space="preserve"> the reduction in parasite prevalence among pregnant individuals</w:t>
      </w:r>
      <w:r w:rsidR="002A574F" w:rsidRPr="00455A3C">
        <w:rPr>
          <w:rFonts w:cstheme="minorHAnsi"/>
        </w:rPr>
        <w:t>,</w:t>
      </w:r>
      <w:r w:rsidR="002D22F3" w:rsidRPr="00455A3C">
        <w:rPr>
          <w:rFonts w:cstheme="minorHAnsi"/>
        </w:rPr>
        <w:t xml:space="preserve"> given a certain IPTp coverage. This adjustment only accounts for the direct effects of IPTp on reducing malaria prevalence among pregnant individuals and does not account for any indirect effects that IPTp may have on other groups by reducing transmission in the population. </w:t>
      </w:r>
      <w:r w:rsidR="00F5028F" w:rsidRPr="00455A3C">
        <w:rPr>
          <w:rFonts w:cstheme="minorHAnsi"/>
        </w:rPr>
        <w:t xml:space="preserve">For example, this process ignores that 1) New infections may occur in the simulations caused by the person who should have been protected by IPTp; 2) Individuals who </w:t>
      </w:r>
      <w:r w:rsidR="00F5028F" w:rsidRPr="00C0372B">
        <w:rPr>
          <w:rFonts w:cstheme="minorHAnsi"/>
          <w:i/>
          <w:iCs/>
        </w:rPr>
        <w:t>should</w:t>
      </w:r>
      <w:r w:rsidR="00F5028F" w:rsidRPr="00455A3C">
        <w:rPr>
          <w:rFonts w:cstheme="minorHAnsi"/>
        </w:rPr>
        <w:t xml:space="preserve"> be protected by IPTp but nonetheless get malaria in the simulations will develop more protective immunity in the simulations than they should have; 3) There ought to be a delay between when the protective effects of IPTp end and when an individual is next infected, but that delay is</w:t>
      </w:r>
      <w:r w:rsidR="001C410C">
        <w:rPr>
          <w:rFonts w:cstheme="minorHAnsi"/>
        </w:rPr>
        <w:t xml:space="preserve"> no</w:t>
      </w:r>
      <w:r w:rsidR="00F5028F" w:rsidRPr="00455A3C">
        <w:rPr>
          <w:rFonts w:cstheme="minorHAnsi"/>
        </w:rPr>
        <w:t xml:space="preserve">t included in adjusting </w:t>
      </w:r>
      <w:r w:rsidR="0007609E" w:rsidRPr="00455A3C">
        <w:rPr>
          <w:rFonts w:cstheme="minorHAnsi"/>
          <w:i/>
          <w:iCs/>
        </w:rPr>
        <w:t>Pf</w:t>
      </w:r>
      <w:r w:rsidR="0007609E" w:rsidRPr="00455A3C">
        <w:rPr>
          <w:rFonts w:cstheme="minorHAnsi"/>
        </w:rPr>
        <w:t xml:space="preserve">PR </w:t>
      </w:r>
      <w:r w:rsidR="00F5028F" w:rsidRPr="00455A3C">
        <w:rPr>
          <w:rFonts w:cstheme="minorHAnsi"/>
        </w:rPr>
        <w:t>(it depends on EIR and is unlikely to make a noticeable difference).</w:t>
      </w:r>
    </w:p>
    <w:p w14:paraId="7424E595" w14:textId="77777777" w:rsidR="00F5028F" w:rsidRPr="00455A3C" w:rsidRDefault="00F5028F" w:rsidP="005354EA">
      <w:pPr>
        <w:spacing w:after="0" w:line="276" w:lineRule="auto"/>
        <w:contextualSpacing/>
        <w:rPr>
          <w:rFonts w:cstheme="minorHAnsi"/>
        </w:rPr>
      </w:pPr>
    </w:p>
    <w:p w14:paraId="52EEF3F9" w14:textId="44B1CCBF" w:rsidR="002D22F3" w:rsidRPr="00455A3C" w:rsidRDefault="002D22F3" w:rsidP="005354EA">
      <w:pPr>
        <w:spacing w:after="0" w:line="276" w:lineRule="auto"/>
        <w:contextualSpacing/>
        <w:rPr>
          <w:rFonts w:cstheme="minorHAnsi"/>
        </w:rPr>
      </w:pPr>
      <w:r w:rsidRPr="00455A3C">
        <w:rPr>
          <w:rFonts w:cstheme="minorHAnsi"/>
        </w:rPr>
        <w:t xml:space="preserve">However, given the </w:t>
      </w:r>
      <w:r w:rsidR="00017C23" w:rsidRPr="00455A3C">
        <w:rPr>
          <w:rFonts w:cstheme="minorHAnsi"/>
        </w:rPr>
        <w:t xml:space="preserve">relatively small fraction of the population receiving IPTp at a given time and the </w:t>
      </w:r>
      <w:r w:rsidRPr="00455A3C">
        <w:rPr>
          <w:rFonts w:cstheme="minorHAnsi"/>
        </w:rPr>
        <w:t xml:space="preserve">high </w:t>
      </w:r>
      <w:r w:rsidR="007E1763" w:rsidRPr="00455A3C">
        <w:rPr>
          <w:rFonts w:cstheme="minorHAnsi"/>
        </w:rPr>
        <w:t>transmission intensity</w:t>
      </w:r>
      <w:r w:rsidRPr="00455A3C">
        <w:rPr>
          <w:rFonts w:cstheme="minorHAnsi"/>
        </w:rPr>
        <w:t xml:space="preserve"> in </w:t>
      </w:r>
      <w:r w:rsidR="00017C23" w:rsidRPr="00455A3C">
        <w:rPr>
          <w:rFonts w:cstheme="minorHAnsi"/>
        </w:rPr>
        <w:t>many of the simulated</w:t>
      </w:r>
      <w:r w:rsidRPr="00455A3C">
        <w:rPr>
          <w:rFonts w:cstheme="minorHAnsi"/>
        </w:rPr>
        <w:t xml:space="preserve"> regions, </w:t>
      </w:r>
      <w:r w:rsidR="00017C23" w:rsidRPr="00455A3C">
        <w:rPr>
          <w:rFonts w:cstheme="minorHAnsi"/>
        </w:rPr>
        <w:t xml:space="preserve">the impact of IPTp on prevalence in non-pregnant groups is likely to be relatively small. </w:t>
      </w:r>
    </w:p>
    <w:p w14:paraId="28C2E906" w14:textId="77777777" w:rsidR="005766BD" w:rsidRPr="00455A3C" w:rsidRDefault="005766BD" w:rsidP="005354EA">
      <w:pPr>
        <w:spacing w:after="0" w:line="276" w:lineRule="auto"/>
        <w:contextualSpacing/>
        <w:rPr>
          <w:rFonts w:cstheme="minorHAnsi"/>
        </w:rPr>
      </w:pPr>
    </w:p>
    <w:p w14:paraId="4856000F" w14:textId="7E30AF36" w:rsidR="0065718E" w:rsidRPr="00455A3C" w:rsidRDefault="002D22F3" w:rsidP="005354EA">
      <w:pPr>
        <w:spacing w:after="0" w:line="276" w:lineRule="auto"/>
        <w:contextualSpacing/>
        <w:rPr>
          <w:rFonts w:cstheme="minorHAnsi"/>
        </w:rPr>
      </w:pPr>
      <w:r w:rsidRPr="00455A3C">
        <w:rPr>
          <w:rFonts w:cstheme="minorHAnsi"/>
        </w:rPr>
        <w:t xml:space="preserve">To adjust the </w:t>
      </w:r>
      <w:r w:rsidRPr="00C0372B">
        <w:rPr>
          <w:rFonts w:cstheme="minorHAnsi"/>
          <w:i/>
          <w:iCs/>
        </w:rPr>
        <w:t>Pf</w:t>
      </w:r>
      <w:r w:rsidRPr="00455A3C">
        <w:rPr>
          <w:rFonts w:cstheme="minorHAnsi"/>
        </w:rPr>
        <w:t>PR among pregnant indi</w:t>
      </w:r>
      <w:r w:rsidR="005766BD" w:rsidRPr="00455A3C">
        <w:rPr>
          <w:rFonts w:cstheme="minorHAnsi"/>
        </w:rPr>
        <w:t xml:space="preserve">viduals who take IPTp, we made a rough estimate, informed by literature </w:t>
      </w:r>
      <w:r w:rsidR="005766BD" w:rsidRPr="00C0372B">
        <w:rPr>
          <w:rFonts w:cstheme="minorHAnsi"/>
        </w:rPr>
        <w:fldChar w:fldCharType="begin" w:fldLock="1"/>
      </w:r>
      <w:r w:rsidR="00C72B9D">
        <w:rPr>
          <w:rFonts w:cstheme="minorHAnsi"/>
        </w:rPr>
        <w:instrText>ADDIN CSL_CITATION {"citationItems":[{"id":"ITEM-1","itemData":{"DOI":"10.1371/journal.pone.0001934","ISSN":"19326203","PMID":"18398460","abstract":"Background: Current recommendations to prevent malaria in African pregnant women rely on insecticide treated nets (TTNS) and intermittent preventive treatment (IPTp). However, there is no information on the safety and efficacy of their combined use. Methods: 1030 pregnant Mozambican women of all gravidities received a long-lasting ITN during antenatal clinic (ANC) visits and, irrespective of HIV status, were enrolled in a randomise, double blind, placebo-controlled trial, to assess the safety and efficacy of 2-dose sulphadoxine-pyrimenthamine (SP). The main outcome was the reduction in low birth weight. Findings: Two-dose SP was safe and well tolerated, but was not associated with reductions in anaemia prevalence at delivery (RR, 0.92 [95% CI, 0.79 1.08]), low birth weight (RR, 0.99 [95% CI, 0.70-1.39]), or overall placental infection (p=0.964). However, the SP group showed a 40% reduction (95% CI, 7.40-61.20]; p-0.020) in the incidence of clinical malaria during pregnancy, and reductions in the prevalence of peripheral parasitaemia (7.10% vs 15.15%) (p&lt;0.001), and of actively infected placentas (7.04% vs 13.60%) (p=0.002). There was a reduction in severe anaemia at delivery of borderline statistical significance (p=0.055). These effects were not modified by gravidity or HIV status. Reported ITN's use was more than 90% in both groups. Conclusions: Two-dose SP was associated with a reduction in some indicators, but these were not translated to significant improvement in other maternal or birth outcomes. The use of ITNs during pregnancy may reduce the need to administer IPTp. ITNs should be part of the ANC package in sub-Sahara Africa. © 2008 Menendez et al.","author":[{"dropping-particle":"","family":"Menéndez","given":"Clara","non-dropping-particle":"","parse-names":false,"suffix":""},{"dropping-particle":"","family":"Bardají","given":"Azucena","non-dropping-particle":"","parse-names":false,"suffix":""},{"dropping-particle":"","family":"Sigauque","given":"Betuel","non-dropping-particle":"","parse-names":false,"suffix":""},{"dropping-particle":"","family":"Romagosa","given":"Cleofé","non-dropping-particle":"","parse-names":false,"suffix":""},{"dropping-particle":"","family":"Sanz","given":"Sergi","non-dropping-particle":"","parse-names":false,"suffix":""},{"dropping-particle":"","family":"Serra-Casas","given":"Elisa","non-dropping-particle":"","parse-names":false,"suffix":""},{"dropping-particle":"","family":"Macete","given":"Eusebio","non-dropping-particle":"","parse-names":false,"suffix":""},{"dropping-particle":"","family":"Berenguera","given":"Anna","non-dropping-particle":"","parse-names":false,"suffix":""},{"dropping-particle":"","family":"David","given":"Catarina","non-dropping-particle":"","parse-names":false,"suffix":""},{"dropping-particle":"","family":"Dobaño","given":"Carlota","non-dropping-particle":"","parse-names":false,"suffix":""},{"dropping-particle":"","family":"Naniche","given":"Denise","non-dropping-particle":"","parse-names":false,"suffix":""},{"dropping-particle":"","family":"Mayor","given":"Alfredo","non-dropping-particle":"","parse-names":false,"suffix":""},{"dropping-particle":"","family":"Ordi","given":"Jaume","non-dropping-particle":"","parse-names":false,"suffix":""},{"dropping-particle":"","family":"Mandomando","given":"Inacio","non-dropping-particle":"","parse-names":false,"suffix":""},{"dropping-particle":"","family":"Aponte","given":"John J.","non-dropping-particle":"","parse-names":false,"suffix":""},{"dropping-particle":"","family":"Mabunda","given":"Samuel","non-dropping-particle":"","parse-names":false,"suffix":""},{"dropping-particle":"","family":"Alonso","given":"Pedro L.","non-dropping-particle":"","parse-names":false,"suffix":""}],"container-title":"PLoS ONE","id":"ITEM-1","issue":"4","issued":{"date-parts":[["2008","4","9"]]},"publisher":"Public Library of Science","title":"A randomized placebo-controlled trial of intermittent preventive treatment in pregnant women in the context of insecticide treated nets delivered through the antenatal clinic","type":"article-journal","volume":"3"},"uris":["http://www.mendeley.com/documents/?uuid=3e98a286-521c-4e83-88b6-96afdcf277bd","http://www.mendeley.com/documents/?uuid=4c05f880-4953-35f3-8845-18eb36c6bd2a"]}],"mendeley":{"formattedCitation":"[20]","plainTextFormattedCitation":"[20]","previouslyFormattedCitation":"[20]"},"properties":{"noteIndex":0},"schema":"https://github.com/citation-style-language/schema/raw/master/csl-citation.json"}</w:instrText>
      </w:r>
      <w:r w:rsidR="005766BD" w:rsidRPr="00C0372B">
        <w:rPr>
          <w:rFonts w:cstheme="minorHAnsi"/>
        </w:rPr>
        <w:fldChar w:fldCharType="separate"/>
      </w:r>
      <w:r w:rsidR="00D540A2" w:rsidRPr="00D540A2">
        <w:rPr>
          <w:rFonts w:cstheme="minorHAnsi"/>
          <w:noProof/>
        </w:rPr>
        <w:t>[20]</w:t>
      </w:r>
      <w:r w:rsidR="005766BD" w:rsidRPr="00C0372B">
        <w:rPr>
          <w:rFonts w:cstheme="minorHAnsi"/>
        </w:rPr>
        <w:fldChar w:fldCharType="end"/>
      </w:r>
      <w:r w:rsidR="005766BD" w:rsidRPr="00455A3C">
        <w:rPr>
          <w:rFonts w:cstheme="minorHAnsi"/>
        </w:rPr>
        <w:t>,</w:t>
      </w:r>
      <w:r w:rsidRPr="00455A3C">
        <w:rPr>
          <w:rFonts w:cstheme="minorHAnsi"/>
        </w:rPr>
        <w:t xml:space="preserve"> that taking one IPTp dose protects against infection for ten weeks and that each subsequent dose, up to three doses, adds an additional four weeks of protection</w:t>
      </w:r>
      <w:r w:rsidR="005766BD" w:rsidRPr="00455A3C">
        <w:rPr>
          <w:rFonts w:cstheme="minorHAnsi"/>
        </w:rPr>
        <w:t>.</w:t>
      </w:r>
      <w:r w:rsidR="0038060A" w:rsidRPr="00455A3C">
        <w:rPr>
          <w:rFonts w:cstheme="minorHAnsi"/>
        </w:rPr>
        <w:t xml:space="preserve"> </w:t>
      </w:r>
      <w:r w:rsidRPr="00455A3C">
        <w:rPr>
          <w:rFonts w:cstheme="minorHAnsi"/>
        </w:rPr>
        <w:t>Assuming a 36-week pregnancy, the fraction of the pregnancy that is unprotected for individuals who take 1, 2, and 3 IPTp doses is estimated to be 0.722, 0.611, and 0.5, respectively. The adjusted PfPR</w:t>
      </w:r>
      <w:r w:rsidR="00C54014" w:rsidRPr="00455A3C">
        <w:rPr>
          <w:rFonts w:cstheme="minorHAnsi"/>
        </w:rPr>
        <w:t xml:space="preserve"> among pregnant individuals in a particular age group </w:t>
      </w:r>
      <w:r w:rsidR="00A67A2C" w:rsidRPr="00455A3C">
        <w:rPr>
          <w:rFonts w:cstheme="minorHAnsi"/>
        </w:rPr>
        <w:t>wa</w:t>
      </w:r>
      <w:r w:rsidR="00C54014" w:rsidRPr="00455A3C">
        <w:rPr>
          <w:rFonts w:cstheme="minorHAnsi"/>
        </w:rPr>
        <w:t>s thus</w:t>
      </w:r>
      <w:r w:rsidR="00A67A2C" w:rsidRPr="00455A3C">
        <w:rPr>
          <w:rFonts w:cstheme="minorHAnsi"/>
        </w:rPr>
        <w:t xml:space="preserve"> calculated as</w:t>
      </w:r>
    </w:p>
    <w:p w14:paraId="7FB12E8C" w14:textId="77777777" w:rsidR="00307797" w:rsidRPr="00455A3C" w:rsidRDefault="00307797" w:rsidP="005354EA">
      <w:pPr>
        <w:spacing w:after="0" w:line="276" w:lineRule="auto"/>
        <w:contextualSpacing/>
        <w:rPr>
          <w:rFonts w:cstheme="minorHAnsi"/>
        </w:rPr>
      </w:pPr>
    </w:p>
    <w:p w14:paraId="74B9559B" w14:textId="679AA31D" w:rsidR="0065718E" w:rsidRPr="00455A3C" w:rsidRDefault="002D22F3" w:rsidP="005354EA">
      <w:pPr>
        <w:spacing w:after="0" w:line="276" w:lineRule="auto"/>
        <w:ind w:firstLine="720"/>
        <w:contextualSpacing/>
        <w:rPr>
          <w:rFonts w:cstheme="minorHAnsi"/>
        </w:rPr>
      </w:pPr>
      <w:r w:rsidRPr="00455A3C">
        <w:rPr>
          <w:rFonts w:cstheme="minorHAnsi"/>
          <w:i/>
        </w:rPr>
        <w:t>adjusted_PfPR</w:t>
      </w:r>
      <w:r w:rsidRPr="00455A3C">
        <w:rPr>
          <w:rFonts w:cstheme="minorHAnsi"/>
        </w:rPr>
        <w:t xml:space="preserve"> </w:t>
      </w:r>
      <w:r w:rsidR="00A67A2C" w:rsidRPr="00455A3C">
        <w:rPr>
          <w:rFonts w:cstheme="minorHAnsi"/>
        </w:rPr>
        <w:t>=</w:t>
      </w:r>
      <w:r w:rsidRPr="00455A3C">
        <w:rPr>
          <w:rFonts w:cstheme="minorHAnsi"/>
          <w:i/>
        </w:rPr>
        <w:t xml:space="preserve"> original_PfPR</w:t>
      </w:r>
      <w:r w:rsidRPr="00455A3C">
        <w:rPr>
          <w:rFonts w:cstheme="minorHAnsi"/>
        </w:rPr>
        <w:t xml:space="preserve"> * (</w:t>
      </w:r>
      <w:r w:rsidR="00C54014" w:rsidRPr="00455A3C">
        <w:rPr>
          <w:rFonts w:cstheme="minorHAnsi"/>
        </w:rPr>
        <w:t>f</w:t>
      </w:r>
      <w:r w:rsidR="00C54014" w:rsidRPr="00C0372B">
        <w:rPr>
          <w:rFonts w:cstheme="minorHAnsi"/>
          <w:vertAlign w:val="subscript"/>
        </w:rPr>
        <w:t>0</w:t>
      </w:r>
      <w:r w:rsidR="00C54014" w:rsidRPr="00455A3C">
        <w:rPr>
          <w:rFonts w:cstheme="minorHAnsi"/>
        </w:rPr>
        <w:t xml:space="preserve"> </w:t>
      </w:r>
      <w:r w:rsidRPr="00455A3C">
        <w:rPr>
          <w:rFonts w:cstheme="minorHAnsi"/>
        </w:rPr>
        <w:t xml:space="preserve">* 1 + </w:t>
      </w:r>
      <w:r w:rsidR="00C54014" w:rsidRPr="00455A3C">
        <w:rPr>
          <w:rFonts w:cstheme="minorHAnsi"/>
        </w:rPr>
        <w:t>f</w:t>
      </w:r>
      <w:r w:rsidR="00C54014" w:rsidRPr="00C0372B">
        <w:rPr>
          <w:rFonts w:cstheme="minorHAnsi"/>
          <w:vertAlign w:val="subscript"/>
        </w:rPr>
        <w:t>1</w:t>
      </w:r>
      <w:r w:rsidR="00C54014" w:rsidRPr="00455A3C">
        <w:rPr>
          <w:rFonts w:cstheme="minorHAnsi"/>
        </w:rPr>
        <w:t xml:space="preserve"> </w:t>
      </w:r>
      <w:r w:rsidRPr="00455A3C">
        <w:rPr>
          <w:rFonts w:cstheme="minorHAnsi"/>
        </w:rPr>
        <w:t>* 0.722</w:t>
      </w:r>
      <w:r w:rsidR="00307797" w:rsidRPr="00455A3C">
        <w:rPr>
          <w:rFonts w:cstheme="minorHAnsi"/>
        </w:rPr>
        <w:t xml:space="preserve"> + </w:t>
      </w:r>
      <w:r w:rsidR="00C54014" w:rsidRPr="00455A3C">
        <w:rPr>
          <w:rFonts w:cstheme="minorHAnsi"/>
        </w:rPr>
        <w:t>f</w:t>
      </w:r>
      <w:r w:rsidR="00C54014" w:rsidRPr="00C0372B">
        <w:rPr>
          <w:rFonts w:cstheme="minorHAnsi"/>
          <w:vertAlign w:val="subscript"/>
        </w:rPr>
        <w:t>2</w:t>
      </w:r>
      <w:r w:rsidR="00C54014" w:rsidRPr="00455A3C">
        <w:rPr>
          <w:rFonts w:cstheme="minorHAnsi"/>
        </w:rPr>
        <w:t xml:space="preserve"> </w:t>
      </w:r>
      <w:r w:rsidR="00307797" w:rsidRPr="00455A3C">
        <w:rPr>
          <w:rFonts w:cstheme="minorHAnsi"/>
        </w:rPr>
        <w:t xml:space="preserve">* 0.611 + </w:t>
      </w:r>
      <w:r w:rsidR="00C54014" w:rsidRPr="00455A3C">
        <w:rPr>
          <w:rFonts w:cstheme="minorHAnsi"/>
        </w:rPr>
        <w:t>f</w:t>
      </w:r>
      <w:r w:rsidR="00C54014" w:rsidRPr="00C0372B">
        <w:rPr>
          <w:rFonts w:cstheme="minorHAnsi"/>
          <w:vertAlign w:val="subscript"/>
        </w:rPr>
        <w:t>3</w:t>
      </w:r>
      <w:r w:rsidR="00C54014" w:rsidRPr="00455A3C">
        <w:rPr>
          <w:rFonts w:cstheme="minorHAnsi"/>
        </w:rPr>
        <w:t xml:space="preserve"> </w:t>
      </w:r>
      <w:r w:rsidR="00307797" w:rsidRPr="00455A3C">
        <w:rPr>
          <w:rFonts w:cstheme="minorHAnsi"/>
        </w:rPr>
        <w:t>* 0.5)</w:t>
      </w:r>
    </w:p>
    <w:p w14:paraId="2CC584C7" w14:textId="77777777" w:rsidR="00307797" w:rsidRPr="00455A3C" w:rsidRDefault="00307797" w:rsidP="005354EA">
      <w:pPr>
        <w:spacing w:after="0" w:line="276" w:lineRule="auto"/>
        <w:contextualSpacing/>
        <w:rPr>
          <w:rFonts w:cstheme="minorHAnsi"/>
        </w:rPr>
      </w:pPr>
    </w:p>
    <w:p w14:paraId="541512F8" w14:textId="1FA233D7" w:rsidR="002D22F3" w:rsidRPr="00455A3C" w:rsidRDefault="002D22F3" w:rsidP="005354EA">
      <w:pPr>
        <w:spacing w:after="0" w:line="276" w:lineRule="auto"/>
        <w:contextualSpacing/>
        <w:rPr>
          <w:rFonts w:cstheme="minorHAnsi"/>
        </w:rPr>
      </w:pPr>
      <w:r w:rsidRPr="00455A3C">
        <w:rPr>
          <w:rFonts w:cstheme="minorHAnsi"/>
        </w:rPr>
        <w:t xml:space="preserve">where </w:t>
      </w:r>
      <w:r w:rsidR="00C54014" w:rsidRPr="00455A3C">
        <w:rPr>
          <w:rFonts w:cstheme="minorHAnsi"/>
        </w:rPr>
        <w:t>f</w:t>
      </w:r>
      <w:r w:rsidR="00C54014" w:rsidRPr="00455A3C">
        <w:rPr>
          <w:rFonts w:cstheme="minorHAnsi"/>
          <w:vertAlign w:val="subscript"/>
        </w:rPr>
        <w:t>0</w:t>
      </w:r>
      <w:r w:rsidR="00C54014" w:rsidRPr="00455A3C">
        <w:rPr>
          <w:rFonts w:cstheme="minorHAnsi"/>
        </w:rPr>
        <w:t>, f</w:t>
      </w:r>
      <w:r w:rsidR="00C54014" w:rsidRPr="00455A3C">
        <w:rPr>
          <w:rFonts w:cstheme="minorHAnsi"/>
          <w:vertAlign w:val="subscript"/>
        </w:rPr>
        <w:t>1</w:t>
      </w:r>
      <w:r w:rsidR="00C54014" w:rsidRPr="00455A3C">
        <w:rPr>
          <w:rFonts w:cstheme="minorHAnsi"/>
        </w:rPr>
        <w:t>, f</w:t>
      </w:r>
      <w:r w:rsidR="00C54014" w:rsidRPr="00455A3C">
        <w:rPr>
          <w:rFonts w:cstheme="minorHAnsi"/>
          <w:vertAlign w:val="subscript"/>
        </w:rPr>
        <w:t>2</w:t>
      </w:r>
      <w:r w:rsidR="00C54014" w:rsidRPr="00455A3C">
        <w:rPr>
          <w:rFonts w:cstheme="minorHAnsi"/>
        </w:rPr>
        <w:t>, and f</w:t>
      </w:r>
      <w:r w:rsidR="00C54014" w:rsidRPr="00455A3C">
        <w:rPr>
          <w:rFonts w:cstheme="minorHAnsi"/>
          <w:vertAlign w:val="subscript"/>
        </w:rPr>
        <w:t>3</w:t>
      </w:r>
      <w:r w:rsidR="00C54014" w:rsidRPr="00455A3C">
        <w:rPr>
          <w:rFonts w:cstheme="minorHAnsi"/>
        </w:rPr>
        <w:t>, r</w:t>
      </w:r>
      <w:r w:rsidRPr="00455A3C">
        <w:rPr>
          <w:rFonts w:cstheme="minorHAnsi"/>
        </w:rPr>
        <w:t>epresent the fraction of pr</w:t>
      </w:r>
      <w:r w:rsidR="0065718E" w:rsidRPr="00455A3C">
        <w:rPr>
          <w:rFonts w:cstheme="minorHAnsi"/>
        </w:rPr>
        <w:t xml:space="preserve">egnant individuals who receive </w:t>
      </w:r>
      <w:r w:rsidR="00C54014" w:rsidRPr="00455A3C">
        <w:rPr>
          <w:rFonts w:cstheme="minorHAnsi"/>
        </w:rPr>
        <w:t xml:space="preserve">zero, </w:t>
      </w:r>
      <w:r w:rsidR="0065718E" w:rsidRPr="00455A3C">
        <w:rPr>
          <w:rFonts w:cstheme="minorHAnsi"/>
        </w:rPr>
        <w:t>one, two and three</w:t>
      </w:r>
      <w:r w:rsidRPr="00455A3C">
        <w:rPr>
          <w:rFonts w:cstheme="minorHAnsi"/>
        </w:rPr>
        <w:t xml:space="preserve"> IPTp doses, respectively.</w:t>
      </w:r>
      <w:r w:rsidR="0065718E" w:rsidRPr="00455A3C">
        <w:rPr>
          <w:rFonts w:cstheme="minorHAnsi"/>
        </w:rPr>
        <w:t xml:space="preserve"> </w:t>
      </w:r>
    </w:p>
    <w:p w14:paraId="644DDFD4" w14:textId="30C67E1B" w:rsidR="008F08B4" w:rsidRPr="00455A3C" w:rsidRDefault="008F08B4" w:rsidP="005354EA">
      <w:pPr>
        <w:spacing w:after="0" w:line="276" w:lineRule="auto"/>
        <w:contextualSpacing/>
        <w:rPr>
          <w:rFonts w:cstheme="minorHAnsi"/>
        </w:rPr>
      </w:pPr>
    </w:p>
    <w:p w14:paraId="49E09FCF" w14:textId="3FCCA281" w:rsidR="008F08B4" w:rsidRPr="00455A3C" w:rsidRDefault="008F08B4" w:rsidP="005354EA">
      <w:pPr>
        <w:spacing w:after="0" w:line="276" w:lineRule="auto"/>
        <w:contextualSpacing/>
        <w:rPr>
          <w:rFonts w:cstheme="minorHAnsi"/>
        </w:rPr>
      </w:pPr>
      <w:r w:rsidRPr="00455A3C">
        <w:rPr>
          <w:rFonts w:cstheme="minorHAnsi"/>
        </w:rPr>
        <w:t>The impact of IPTp on maternal and infant mortality is discussed in the “Estimating malaria mortality” section.</w:t>
      </w:r>
    </w:p>
    <w:p w14:paraId="478597D3" w14:textId="35A3B089" w:rsidR="002D22F3" w:rsidRPr="00455A3C" w:rsidRDefault="002D22F3" w:rsidP="005354EA">
      <w:pPr>
        <w:spacing w:after="0" w:line="276" w:lineRule="auto"/>
        <w:contextualSpacing/>
        <w:rPr>
          <w:rFonts w:cstheme="minorHAnsi"/>
          <w:u w:val="single"/>
        </w:rPr>
      </w:pPr>
    </w:p>
    <w:p w14:paraId="78E1152D" w14:textId="66A0BB6C" w:rsidR="007F7C1D" w:rsidRPr="00455A3C" w:rsidRDefault="00B62E1D" w:rsidP="005354EA">
      <w:pPr>
        <w:pStyle w:val="Heading1"/>
        <w:spacing w:before="0" w:line="276" w:lineRule="auto"/>
        <w:contextualSpacing/>
        <w:rPr>
          <w:rFonts w:asciiTheme="minorHAnsi" w:eastAsia="Times New Roman" w:hAnsiTheme="minorHAnsi" w:cstheme="minorHAnsi"/>
          <w:color w:val="auto"/>
          <w:sz w:val="22"/>
          <w:szCs w:val="22"/>
          <w:u w:val="single"/>
        </w:rPr>
      </w:pPr>
      <w:bookmarkStart w:id="14" w:name="_Toc77757586"/>
      <w:r w:rsidRPr="00455A3C">
        <w:rPr>
          <w:rFonts w:asciiTheme="minorHAnsi" w:eastAsia="Times New Roman" w:hAnsiTheme="minorHAnsi" w:cstheme="minorHAnsi"/>
          <w:color w:val="auto"/>
          <w:sz w:val="22"/>
          <w:szCs w:val="22"/>
          <w:u w:val="single"/>
        </w:rPr>
        <w:t>Intermittent Preventive Treatment in Infants</w:t>
      </w:r>
      <w:r w:rsidR="00F84FE8" w:rsidRPr="00455A3C">
        <w:rPr>
          <w:rFonts w:asciiTheme="minorHAnsi" w:eastAsia="Times New Roman" w:hAnsiTheme="minorHAnsi" w:cstheme="minorHAnsi"/>
          <w:color w:val="auto"/>
          <w:sz w:val="22"/>
          <w:szCs w:val="22"/>
          <w:u w:val="single"/>
        </w:rPr>
        <w:t xml:space="preserve"> (IPTi)</w:t>
      </w:r>
      <w:bookmarkEnd w:id="14"/>
      <w:r w:rsidR="00F84FE8" w:rsidRPr="00455A3C">
        <w:rPr>
          <w:rFonts w:asciiTheme="minorHAnsi" w:eastAsia="Times New Roman" w:hAnsiTheme="minorHAnsi" w:cstheme="minorHAnsi"/>
          <w:color w:val="auto"/>
          <w:sz w:val="22"/>
          <w:szCs w:val="22"/>
          <w:u w:val="single"/>
        </w:rPr>
        <w:t xml:space="preserve"> </w:t>
      </w:r>
      <w:r w:rsidRPr="00455A3C">
        <w:rPr>
          <w:rFonts w:asciiTheme="minorHAnsi" w:eastAsia="Times New Roman" w:hAnsiTheme="minorHAnsi" w:cstheme="minorHAnsi"/>
          <w:color w:val="auto"/>
          <w:sz w:val="22"/>
          <w:szCs w:val="22"/>
          <w:u w:val="single"/>
        </w:rPr>
        <w:t xml:space="preserve"> </w:t>
      </w:r>
    </w:p>
    <w:p w14:paraId="4AF32722" w14:textId="7EBA134D" w:rsidR="000B10B1" w:rsidRPr="00455A3C" w:rsidRDefault="00ED1373" w:rsidP="005354EA">
      <w:pPr>
        <w:spacing w:after="0" w:line="276" w:lineRule="auto"/>
        <w:contextualSpacing/>
        <w:rPr>
          <w:rFonts w:cstheme="minorHAnsi"/>
        </w:rPr>
      </w:pPr>
      <w:r w:rsidRPr="00C0372B">
        <w:rPr>
          <w:rFonts w:cstheme="minorHAnsi"/>
          <w:noProof/>
        </w:rPr>
        <w:drawing>
          <wp:inline distT="0" distB="0" distL="0" distR="0" wp14:anchorId="494DE79D" wp14:editId="7DC24398">
            <wp:extent cx="4196500" cy="26707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9_IPTi eligible areas.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08317" cy="2678306"/>
                    </a:xfrm>
                    <a:prstGeom prst="rect">
                      <a:avLst/>
                    </a:prstGeom>
                  </pic:spPr>
                </pic:pic>
              </a:graphicData>
            </a:graphic>
          </wp:inline>
        </w:drawing>
      </w:r>
    </w:p>
    <w:p w14:paraId="03F87BE6" w14:textId="1BF25004" w:rsidR="000B10B1" w:rsidRPr="00455A3C" w:rsidRDefault="00ED1373" w:rsidP="005354EA">
      <w:pPr>
        <w:spacing w:after="0" w:line="276" w:lineRule="auto"/>
        <w:contextualSpacing/>
        <w:rPr>
          <w:rFonts w:cstheme="minorHAnsi"/>
        </w:rPr>
      </w:pPr>
      <w:r w:rsidRPr="00455A3C">
        <w:rPr>
          <w:rFonts w:cstheme="minorHAnsi"/>
        </w:rPr>
        <w:t xml:space="preserve">Figure </w:t>
      </w:r>
      <w:r w:rsidR="003140B2" w:rsidRPr="00455A3C">
        <w:rPr>
          <w:rFonts w:cstheme="minorHAnsi"/>
        </w:rPr>
        <w:t>S</w:t>
      </w:r>
      <w:r w:rsidR="00F84FE8" w:rsidRPr="00455A3C">
        <w:rPr>
          <w:rFonts w:cstheme="minorHAnsi"/>
        </w:rPr>
        <w:t>9: LGAs designated as eligible to receive IPTi</w:t>
      </w:r>
      <w:r w:rsidR="003140B2" w:rsidRPr="00455A3C">
        <w:rPr>
          <w:rFonts w:cstheme="minorHAnsi"/>
        </w:rPr>
        <w:t>.</w:t>
      </w:r>
    </w:p>
    <w:p w14:paraId="23C25A49" w14:textId="77777777" w:rsidR="004322FE" w:rsidRPr="00455A3C" w:rsidRDefault="004322FE" w:rsidP="005354EA">
      <w:pPr>
        <w:spacing w:after="0" w:line="276" w:lineRule="auto"/>
        <w:contextualSpacing/>
        <w:rPr>
          <w:rFonts w:cstheme="minorHAnsi"/>
          <w:iCs/>
        </w:rPr>
      </w:pPr>
    </w:p>
    <w:p w14:paraId="0E73241A" w14:textId="6406811C" w:rsidR="005D742D" w:rsidRPr="00455A3C" w:rsidRDefault="009F30EF" w:rsidP="005354EA">
      <w:pPr>
        <w:pStyle w:val="Heading2"/>
        <w:spacing w:line="276" w:lineRule="auto"/>
        <w:rPr>
          <w:rFonts w:asciiTheme="minorHAnsi" w:hAnsiTheme="minorHAnsi" w:cstheme="minorHAnsi"/>
          <w:sz w:val="22"/>
          <w:szCs w:val="22"/>
        </w:rPr>
      </w:pPr>
      <w:bookmarkStart w:id="15" w:name="_Toc77757587"/>
      <w:r w:rsidRPr="00455A3C">
        <w:rPr>
          <w:rFonts w:asciiTheme="minorHAnsi" w:hAnsiTheme="minorHAnsi" w:cstheme="minorHAnsi"/>
          <w:sz w:val="22"/>
          <w:szCs w:val="22"/>
        </w:rPr>
        <w:t xml:space="preserve">Estimating likely IPTi coverage through historical </w:t>
      </w:r>
      <w:r w:rsidR="00551055" w:rsidRPr="00455A3C">
        <w:rPr>
          <w:rFonts w:asciiTheme="minorHAnsi" w:hAnsiTheme="minorHAnsi" w:cstheme="minorHAnsi"/>
          <w:sz w:val="22"/>
          <w:szCs w:val="22"/>
        </w:rPr>
        <w:t>vaccine</w:t>
      </w:r>
      <w:r w:rsidR="005F0203" w:rsidRPr="00455A3C">
        <w:rPr>
          <w:rFonts w:asciiTheme="minorHAnsi" w:hAnsiTheme="minorHAnsi" w:cstheme="minorHAnsi"/>
          <w:sz w:val="22"/>
          <w:szCs w:val="22"/>
        </w:rPr>
        <w:t xml:space="preserve"> </w:t>
      </w:r>
      <w:r w:rsidR="005D742D" w:rsidRPr="00455A3C">
        <w:rPr>
          <w:rFonts w:asciiTheme="minorHAnsi" w:hAnsiTheme="minorHAnsi" w:cstheme="minorHAnsi"/>
          <w:sz w:val="22"/>
          <w:szCs w:val="22"/>
        </w:rPr>
        <w:t>coverage</w:t>
      </w:r>
      <w:bookmarkEnd w:id="15"/>
      <w:r w:rsidR="005D742D" w:rsidRPr="00455A3C">
        <w:rPr>
          <w:rFonts w:asciiTheme="minorHAnsi" w:hAnsiTheme="minorHAnsi" w:cstheme="minorHAnsi"/>
          <w:sz w:val="22"/>
          <w:szCs w:val="22"/>
        </w:rPr>
        <w:t xml:space="preserve"> </w:t>
      </w:r>
    </w:p>
    <w:p w14:paraId="723CB60F" w14:textId="243BF2A2" w:rsidR="005D742D" w:rsidRPr="00455A3C" w:rsidRDefault="00011747" w:rsidP="005354EA">
      <w:pPr>
        <w:spacing w:after="0" w:line="276" w:lineRule="auto"/>
        <w:contextualSpacing/>
        <w:rPr>
          <w:rFonts w:cstheme="minorHAnsi"/>
        </w:rPr>
      </w:pPr>
      <w:r w:rsidRPr="00455A3C">
        <w:rPr>
          <w:rFonts w:cstheme="minorHAnsi"/>
        </w:rPr>
        <w:t xml:space="preserve">374 LGAs were deemed IPTi-eligible based on SMC ineligibility </w:t>
      </w:r>
      <w:commentRangeStart w:id="16"/>
      <w:r w:rsidRPr="00455A3C">
        <w:rPr>
          <w:rFonts w:cstheme="minorHAnsi"/>
        </w:rPr>
        <w:t xml:space="preserve">and </w:t>
      </w:r>
      <w:r w:rsidR="006C5141" w:rsidRPr="00455A3C">
        <w:rPr>
          <w:rFonts w:cstheme="minorHAnsi"/>
        </w:rPr>
        <w:t>transmission intensity (</w:t>
      </w:r>
      <w:r w:rsidR="00763B29" w:rsidRPr="00455A3C">
        <w:rPr>
          <w:rFonts w:cstheme="minorHAnsi"/>
        </w:rPr>
        <w:t>EIR</w:t>
      </w:r>
      <w:r w:rsidR="006C5141" w:rsidRPr="00455A3C">
        <w:rPr>
          <w:rFonts w:cstheme="minorHAnsi"/>
        </w:rPr>
        <w:t xml:space="preserve"> &gt;10)</w:t>
      </w:r>
      <w:commentRangeEnd w:id="16"/>
      <w:r w:rsidR="0044103B">
        <w:rPr>
          <w:rStyle w:val="CommentReference"/>
        </w:rPr>
        <w:commentReference w:id="16"/>
      </w:r>
      <w:r w:rsidR="00EB68B3" w:rsidRPr="00455A3C">
        <w:rPr>
          <w:rFonts w:cstheme="minorHAnsi"/>
        </w:rPr>
        <w:t xml:space="preserve"> </w:t>
      </w:r>
      <w:r w:rsidR="00EB68B3" w:rsidRPr="00455A3C">
        <w:rPr>
          <w:rFonts w:cstheme="minorHAnsi"/>
        </w:rPr>
        <w:fldChar w:fldCharType="begin" w:fldLock="1"/>
      </w:r>
      <w:r w:rsidR="00C72B9D">
        <w:rPr>
          <w:rFonts w:cstheme="minorHAnsi"/>
        </w:rPr>
        <w:instrText>ADDIN CSL_CITATION {"citationItems":[{"id":"ITEM-1","itemData":{"abstract":"Malaria remains a leading cause of ill health, causing an estimated 243 million cases of clinical malaria and 863 thousand deaths1. More than 85% of malaria cases and 90% of malaria deaths occur in Africa, south of Sahara. In Africa, the vast majority of cases and deaths occur in young children. Key interventions currently recommended by WHO for the control of malaria are the use of insecticidal treated nets (ITNs) or indoor residual spraying (IRS) for vector control, and prompt access to diagnosis and treatment of clinical malaria. An additional intervention which is recommended for pregnant women – a high risk group in areas of high malaria transmission – is Intermittent Preventive Treatment in pregnancy (IPTp), which involves the administration of at least 2 doses of sulphadoxine-pyrimethamine (SP) during the second and third trimesters of pregnancy. WHO is now recommending a new intervention against Plasmodium falciparum malaria: Intermittent Preventive Treatment for infants (IPTi). Intermittent Preventive Treatment in infancy with SP (SP-IPTi) is the administration of a full therapeutic course of SP delivered through the Expanded Program on Immunization (EPI) at defined intervals corresponding to routine vaccination schedules – usually at 10 weeks, 14 weeks, and ~9 months of age – to infants at risk of malaria.","author":[{"dropping-particle":"","family":"World Health Organisation","given":"","non-dropping-particle":"","parse-names":false,"suffix":""}],"container-title":"World Health Organization","id":"ITEM-1","issued":{"date-parts":[["2010"]]},"title":"WHO Policy recommendation on Intermittent Preventive Treatment during infancy with sulphadoxine-pyrimethamine (SP-IPTi) for Plasmodium falciparum malaria control in Africa","type":"report"},"uris":["http://www.mendeley.com/documents/?uuid=2ad81dc3-07fd-4da6-bbbb-f3ef4a02c61e"]}],"mendeley":{"formattedCitation":"[21]","plainTextFormattedCitation":"[21]","previouslyFormattedCitation":"[21]"},"properties":{"noteIndex":0},"schema":"https://github.com/citation-style-language/schema/raw/master/csl-citation.json"}</w:instrText>
      </w:r>
      <w:r w:rsidR="00EB68B3" w:rsidRPr="00455A3C">
        <w:rPr>
          <w:rFonts w:cstheme="minorHAnsi"/>
        </w:rPr>
        <w:fldChar w:fldCharType="separate"/>
      </w:r>
      <w:r w:rsidR="00D540A2" w:rsidRPr="00D540A2">
        <w:rPr>
          <w:rFonts w:cstheme="minorHAnsi"/>
          <w:noProof/>
        </w:rPr>
        <w:t>[21]</w:t>
      </w:r>
      <w:r w:rsidR="00EB68B3" w:rsidRPr="00455A3C">
        <w:rPr>
          <w:rFonts w:cstheme="minorHAnsi"/>
        </w:rPr>
        <w:fldChar w:fldCharType="end"/>
      </w:r>
      <w:r w:rsidR="006C5141" w:rsidRPr="00455A3C">
        <w:rPr>
          <w:rFonts w:cstheme="minorHAnsi"/>
        </w:rPr>
        <w:t xml:space="preserve"> </w:t>
      </w:r>
      <w:r w:rsidRPr="00455A3C">
        <w:rPr>
          <w:rFonts w:cstheme="minorHAnsi"/>
        </w:rPr>
        <w:t xml:space="preserve"> (Figure S9). </w:t>
      </w:r>
      <w:r w:rsidR="00B37258" w:rsidRPr="00455A3C">
        <w:rPr>
          <w:rFonts w:cstheme="minorHAnsi"/>
        </w:rPr>
        <w:t>IPTi</w:t>
      </w:r>
      <w:r w:rsidRPr="00455A3C">
        <w:rPr>
          <w:rFonts w:cstheme="minorHAnsi"/>
        </w:rPr>
        <w:t>, if implemented,</w:t>
      </w:r>
      <w:r w:rsidR="00B37258" w:rsidRPr="00455A3C">
        <w:rPr>
          <w:rFonts w:cstheme="minorHAnsi"/>
        </w:rPr>
        <w:t xml:space="preserve"> </w:t>
      </w:r>
      <w:r w:rsidR="003E5641" w:rsidRPr="00455A3C">
        <w:rPr>
          <w:rFonts w:cstheme="minorHAnsi"/>
        </w:rPr>
        <w:t>would</w:t>
      </w:r>
      <w:r w:rsidR="00B37258" w:rsidRPr="00455A3C">
        <w:rPr>
          <w:rFonts w:cstheme="minorHAnsi"/>
        </w:rPr>
        <w:t xml:space="preserve"> be</w:t>
      </w:r>
      <w:r w:rsidR="00F15297" w:rsidRPr="00455A3C">
        <w:rPr>
          <w:rFonts w:cstheme="minorHAnsi"/>
        </w:rPr>
        <w:t xml:space="preserve"> administered through the Expanded Progra</w:t>
      </w:r>
      <w:r w:rsidR="009F30EF" w:rsidRPr="00455A3C">
        <w:rPr>
          <w:rFonts w:cstheme="minorHAnsi"/>
        </w:rPr>
        <w:t>m</w:t>
      </w:r>
      <w:r w:rsidR="00F15297" w:rsidRPr="00455A3C">
        <w:rPr>
          <w:rFonts w:cstheme="minorHAnsi"/>
        </w:rPr>
        <w:t>me on Immunization (EPI) in Nigeria</w:t>
      </w:r>
      <w:r w:rsidR="00B37258" w:rsidRPr="00455A3C">
        <w:rPr>
          <w:rFonts w:cstheme="minorHAnsi"/>
        </w:rPr>
        <w:t>.</w:t>
      </w:r>
      <w:r w:rsidR="003140B2" w:rsidRPr="00455A3C">
        <w:rPr>
          <w:rFonts w:cstheme="minorHAnsi"/>
        </w:rPr>
        <w:t xml:space="preserve"> </w:t>
      </w:r>
      <w:r w:rsidR="002A2585" w:rsidRPr="00455A3C">
        <w:rPr>
          <w:rFonts w:cstheme="minorHAnsi"/>
        </w:rPr>
        <w:t>The</w:t>
      </w:r>
      <w:r w:rsidR="00A72833" w:rsidRPr="00455A3C">
        <w:rPr>
          <w:rFonts w:cstheme="minorHAnsi"/>
        </w:rPr>
        <w:t xml:space="preserve"> DHS captures vaccine coverage based on</w:t>
      </w:r>
      <w:r w:rsidR="002A2585" w:rsidRPr="00455A3C">
        <w:rPr>
          <w:rFonts w:cstheme="minorHAnsi"/>
        </w:rPr>
        <w:t xml:space="preserve"> </w:t>
      </w:r>
      <w:r w:rsidR="00A72833" w:rsidRPr="00455A3C">
        <w:rPr>
          <w:rFonts w:cstheme="minorHAnsi"/>
        </w:rPr>
        <w:t xml:space="preserve">vaccine record cards, or from verbal recall from the mothers, and the </w:t>
      </w:r>
      <w:r w:rsidR="002A2585" w:rsidRPr="00455A3C">
        <w:rPr>
          <w:rFonts w:cstheme="minorHAnsi"/>
        </w:rPr>
        <w:t xml:space="preserve">2018 DHS survey was used to inform the assumptions on feasible IPTi coverage. </w:t>
      </w:r>
      <w:r w:rsidR="00A72833" w:rsidRPr="00455A3C">
        <w:rPr>
          <w:rFonts w:cstheme="minorHAnsi"/>
        </w:rPr>
        <w:t>IPTi would be administered at age of around 10</w:t>
      </w:r>
      <w:r w:rsidR="002B06AA">
        <w:rPr>
          <w:rFonts w:cstheme="minorHAnsi"/>
        </w:rPr>
        <w:t xml:space="preserve"> weeks</w:t>
      </w:r>
      <w:r w:rsidR="00A72833" w:rsidRPr="00455A3C">
        <w:rPr>
          <w:rFonts w:cstheme="minorHAnsi"/>
        </w:rPr>
        <w:t>,</w:t>
      </w:r>
      <w:r w:rsidR="002B06AA">
        <w:rPr>
          <w:rFonts w:cstheme="minorHAnsi"/>
        </w:rPr>
        <w:t xml:space="preserve"> </w:t>
      </w:r>
      <w:r w:rsidR="00A72833" w:rsidRPr="00455A3C">
        <w:rPr>
          <w:rFonts w:cstheme="minorHAnsi"/>
        </w:rPr>
        <w:t>14 weeks</w:t>
      </w:r>
      <w:r w:rsidR="002B06AA">
        <w:rPr>
          <w:rFonts w:cstheme="minorHAnsi"/>
        </w:rPr>
        <w:t>,</w:t>
      </w:r>
      <w:r w:rsidR="00A72833" w:rsidRPr="00455A3C">
        <w:rPr>
          <w:rFonts w:cstheme="minorHAnsi"/>
        </w:rPr>
        <w:t xml:space="preserve"> and 9 months, </w:t>
      </w:r>
      <w:r w:rsidR="00607EBB" w:rsidRPr="00455A3C">
        <w:rPr>
          <w:rFonts w:cstheme="minorHAnsi"/>
        </w:rPr>
        <w:t>aligning</w:t>
      </w:r>
      <w:r w:rsidR="00A72833" w:rsidRPr="00455A3C">
        <w:rPr>
          <w:rFonts w:cstheme="minorHAnsi"/>
        </w:rPr>
        <w:t xml:space="preserve"> with the schedule for pentavalent</w:t>
      </w:r>
      <w:r w:rsidR="00BE470E">
        <w:rPr>
          <w:rFonts w:cstheme="minorHAnsi"/>
        </w:rPr>
        <w:t xml:space="preserve"> DTP vaccine </w:t>
      </w:r>
      <w:r w:rsidR="00A72833" w:rsidRPr="00455A3C">
        <w:rPr>
          <w:rFonts w:cstheme="minorHAnsi"/>
        </w:rPr>
        <w:t>dose</w:t>
      </w:r>
      <w:r w:rsidR="00E730CC">
        <w:rPr>
          <w:rFonts w:cstheme="minorHAnsi"/>
        </w:rPr>
        <w:t>s</w:t>
      </w:r>
      <w:r w:rsidR="00A72833" w:rsidRPr="00455A3C">
        <w:rPr>
          <w:rFonts w:cstheme="minorHAnsi"/>
        </w:rPr>
        <w:t xml:space="preserve"> 2 and 3 and measles vaccine.</w:t>
      </w:r>
      <w:r w:rsidR="00B37258" w:rsidRPr="00455A3C">
        <w:rPr>
          <w:rFonts w:cstheme="minorHAnsi"/>
        </w:rPr>
        <w:t xml:space="preserve"> </w:t>
      </w:r>
      <w:r w:rsidR="007D0494" w:rsidRPr="00455A3C">
        <w:rPr>
          <w:rFonts w:cstheme="minorHAnsi"/>
        </w:rPr>
        <w:t xml:space="preserve">The reported </w:t>
      </w:r>
      <w:r w:rsidR="003779D9" w:rsidRPr="00455A3C">
        <w:rPr>
          <w:rFonts w:cstheme="minorHAnsi"/>
        </w:rPr>
        <w:t>p</w:t>
      </w:r>
      <w:r w:rsidR="005D742D" w:rsidRPr="00455A3C">
        <w:rPr>
          <w:rFonts w:cstheme="minorHAnsi"/>
        </w:rPr>
        <w:t>enta</w:t>
      </w:r>
      <w:r w:rsidR="00315306" w:rsidRPr="00455A3C">
        <w:rPr>
          <w:rFonts w:cstheme="minorHAnsi"/>
        </w:rPr>
        <w:t>valent</w:t>
      </w:r>
      <w:r w:rsidR="003779D9" w:rsidRPr="00455A3C">
        <w:rPr>
          <w:rFonts w:cstheme="minorHAnsi"/>
        </w:rPr>
        <w:t xml:space="preserve"> DTP</w:t>
      </w:r>
      <w:r w:rsidR="005D742D" w:rsidRPr="00455A3C">
        <w:rPr>
          <w:rFonts w:cstheme="minorHAnsi"/>
        </w:rPr>
        <w:t xml:space="preserve"> vaccine coverage</w:t>
      </w:r>
      <w:r w:rsidR="00607EBB" w:rsidRPr="00455A3C">
        <w:rPr>
          <w:rFonts w:cstheme="minorHAnsi"/>
        </w:rPr>
        <w:t>s</w:t>
      </w:r>
      <w:r w:rsidR="005D742D" w:rsidRPr="00455A3C">
        <w:rPr>
          <w:rFonts w:cstheme="minorHAnsi"/>
        </w:rPr>
        <w:t xml:space="preserve"> </w:t>
      </w:r>
      <w:r w:rsidR="00607EBB" w:rsidRPr="00455A3C">
        <w:rPr>
          <w:rFonts w:cstheme="minorHAnsi"/>
        </w:rPr>
        <w:t>for the doses 1,</w:t>
      </w:r>
      <w:r w:rsidR="0044103B">
        <w:rPr>
          <w:rFonts w:cstheme="minorHAnsi"/>
        </w:rPr>
        <w:t xml:space="preserve"> </w:t>
      </w:r>
      <w:r w:rsidR="00607EBB" w:rsidRPr="00455A3C">
        <w:rPr>
          <w:rFonts w:cstheme="minorHAnsi"/>
        </w:rPr>
        <w:t>2 and 3</w:t>
      </w:r>
      <w:r w:rsidR="005D742D" w:rsidRPr="00455A3C">
        <w:rPr>
          <w:rFonts w:cstheme="minorHAnsi"/>
        </w:rPr>
        <w:t xml:space="preserve"> per household cluster </w:t>
      </w:r>
      <w:r w:rsidR="00607EBB" w:rsidRPr="00455A3C">
        <w:rPr>
          <w:rFonts w:cstheme="minorHAnsi"/>
        </w:rPr>
        <w:t>were</w:t>
      </w:r>
      <w:r w:rsidR="00A72833" w:rsidRPr="00455A3C">
        <w:rPr>
          <w:rFonts w:cstheme="minorHAnsi"/>
        </w:rPr>
        <w:t xml:space="preserve"> </w:t>
      </w:r>
      <w:r w:rsidR="005D742D" w:rsidRPr="00455A3C">
        <w:rPr>
          <w:rFonts w:cstheme="minorHAnsi"/>
        </w:rPr>
        <w:t>aggregated per LGA</w:t>
      </w:r>
      <w:r w:rsidR="00607EBB" w:rsidRPr="00455A3C">
        <w:rPr>
          <w:rFonts w:cstheme="minorHAnsi"/>
        </w:rPr>
        <w:t xml:space="preserve"> and average of the three doses taken</w:t>
      </w:r>
      <w:r w:rsidR="005D742D" w:rsidRPr="00455A3C">
        <w:rPr>
          <w:rFonts w:cstheme="minorHAnsi"/>
        </w:rPr>
        <w:t>. Missing values were replaced with the state estimate (n= 47 LGAs within the IPTi eligible areas)</w:t>
      </w:r>
      <w:r w:rsidR="001F0DE0" w:rsidRPr="00455A3C">
        <w:rPr>
          <w:rFonts w:cstheme="minorHAnsi"/>
        </w:rPr>
        <w:t xml:space="preserve"> (Figure </w:t>
      </w:r>
      <w:r w:rsidR="006C7814" w:rsidRPr="00455A3C">
        <w:rPr>
          <w:rFonts w:cstheme="minorHAnsi"/>
        </w:rPr>
        <w:t>S</w:t>
      </w:r>
      <w:r w:rsidR="001F0DE0" w:rsidRPr="00455A3C">
        <w:rPr>
          <w:rFonts w:cstheme="minorHAnsi"/>
        </w:rPr>
        <w:t>10)</w:t>
      </w:r>
      <w:r w:rsidR="005D742D" w:rsidRPr="00455A3C">
        <w:rPr>
          <w:rFonts w:cstheme="minorHAnsi"/>
        </w:rPr>
        <w:t xml:space="preserve">. </w:t>
      </w:r>
    </w:p>
    <w:p w14:paraId="0835CB29" w14:textId="77777777" w:rsidR="0032733E" w:rsidRPr="00455A3C" w:rsidRDefault="0032733E" w:rsidP="005354EA">
      <w:pPr>
        <w:spacing w:after="0" w:line="276" w:lineRule="auto"/>
        <w:contextualSpacing/>
        <w:rPr>
          <w:rFonts w:cstheme="minorHAnsi"/>
        </w:rPr>
      </w:pPr>
    </w:p>
    <w:p w14:paraId="11362715" w14:textId="620E4A6F" w:rsidR="0032733E" w:rsidRPr="00455A3C" w:rsidRDefault="0032733E" w:rsidP="005354EA">
      <w:pPr>
        <w:spacing w:after="0" w:line="276" w:lineRule="auto"/>
        <w:contextualSpacing/>
        <w:rPr>
          <w:rFonts w:cstheme="minorHAnsi"/>
        </w:rPr>
      </w:pPr>
      <w:r w:rsidRPr="00455A3C">
        <w:rPr>
          <w:rFonts w:eastAsia="Times New Roman" w:cstheme="minorHAnsi"/>
          <w:color w:val="000000"/>
        </w:rPr>
        <w:t>We considered the</w:t>
      </w:r>
      <w:r w:rsidR="00FA709C">
        <w:rPr>
          <w:rFonts w:eastAsia="Times New Roman" w:cstheme="minorHAnsi"/>
          <w:color w:val="000000"/>
        </w:rPr>
        <w:t xml:space="preserve"> impact of IPTi in Scenario</w:t>
      </w:r>
      <w:r w:rsidR="00934E6A">
        <w:rPr>
          <w:rFonts w:eastAsia="Times New Roman" w:cstheme="minorHAnsi"/>
          <w:color w:val="000000"/>
        </w:rPr>
        <w:t xml:space="preserve"> 2</w:t>
      </w:r>
      <w:r w:rsidRPr="00455A3C">
        <w:rPr>
          <w:rFonts w:eastAsia="Times New Roman" w:cstheme="minorHAnsi"/>
          <w:color w:val="000000"/>
        </w:rPr>
        <w:t xml:space="preserve"> with coverage targets</w:t>
      </w:r>
      <w:r w:rsidR="00EA7B41" w:rsidRPr="00455A3C">
        <w:rPr>
          <w:rFonts w:eastAsia="Times New Roman" w:cstheme="minorHAnsi"/>
          <w:color w:val="000000"/>
        </w:rPr>
        <w:t xml:space="preserve"> </w:t>
      </w:r>
      <w:r w:rsidRPr="00455A3C">
        <w:rPr>
          <w:rFonts w:eastAsia="Times New Roman" w:cstheme="minorHAnsi"/>
          <w:color w:val="000000"/>
        </w:rPr>
        <w:t>at or above 80%</w:t>
      </w:r>
      <w:r w:rsidR="00934E6A">
        <w:rPr>
          <w:rFonts w:eastAsia="Times New Roman" w:cstheme="minorHAnsi"/>
          <w:color w:val="000000"/>
        </w:rPr>
        <w:t>.</w:t>
      </w:r>
      <w:r w:rsidRPr="00455A3C">
        <w:rPr>
          <w:rFonts w:eastAsia="Times New Roman" w:cstheme="minorHAnsi"/>
          <w:color w:val="000000"/>
        </w:rPr>
        <w:t xml:space="preserve"> Given that IPTi had never been implemented in Nigeria but was expected to be co</w:t>
      </w:r>
      <w:r w:rsidR="00607EBB" w:rsidRPr="00455A3C">
        <w:rPr>
          <w:rFonts w:eastAsia="Times New Roman" w:cstheme="minorHAnsi"/>
          <w:color w:val="000000"/>
        </w:rPr>
        <w:t>-</w:t>
      </w:r>
      <w:r w:rsidRPr="00455A3C">
        <w:rPr>
          <w:rFonts w:eastAsia="Times New Roman" w:cstheme="minorHAnsi"/>
          <w:color w:val="000000"/>
        </w:rPr>
        <w:t>administered with EPI vaccines, ‘historical coverage levels’ w</w:t>
      </w:r>
      <w:r w:rsidR="006971F4">
        <w:rPr>
          <w:rFonts w:eastAsia="Times New Roman" w:cstheme="minorHAnsi"/>
          <w:color w:val="000000"/>
        </w:rPr>
        <w:t>ere</w:t>
      </w:r>
      <w:r w:rsidRPr="00455A3C">
        <w:rPr>
          <w:rFonts w:eastAsia="Times New Roman" w:cstheme="minorHAnsi"/>
          <w:color w:val="000000"/>
        </w:rPr>
        <w:t xml:space="preserve"> assumed to be the same as that of the penta</w:t>
      </w:r>
      <w:r w:rsidR="00607EBB" w:rsidRPr="00455A3C">
        <w:rPr>
          <w:rFonts w:eastAsia="Times New Roman" w:cstheme="minorHAnsi"/>
          <w:color w:val="000000"/>
        </w:rPr>
        <w:t>valent</w:t>
      </w:r>
      <w:r w:rsidRPr="00455A3C">
        <w:rPr>
          <w:rFonts w:eastAsia="Times New Roman" w:cstheme="minorHAnsi"/>
          <w:color w:val="000000"/>
        </w:rPr>
        <w:t xml:space="preserve"> vaccine</w:t>
      </w:r>
      <w:r w:rsidR="00607EBB" w:rsidRPr="00455A3C">
        <w:rPr>
          <w:rFonts w:eastAsia="Times New Roman" w:cstheme="minorHAnsi"/>
          <w:color w:val="000000"/>
        </w:rPr>
        <w:t>s</w:t>
      </w:r>
      <w:r w:rsidRPr="00455A3C">
        <w:rPr>
          <w:rFonts w:eastAsia="Times New Roman" w:cstheme="minorHAnsi"/>
          <w:color w:val="000000"/>
        </w:rPr>
        <w:t xml:space="preserve"> from the 2018 DHS survey. </w:t>
      </w:r>
      <w:r w:rsidR="00FA709C">
        <w:rPr>
          <w:rFonts w:eastAsia="Times New Roman" w:cstheme="minorHAnsi"/>
          <w:color w:val="000000"/>
        </w:rPr>
        <w:t>I</w:t>
      </w:r>
      <w:r w:rsidRPr="00455A3C">
        <w:rPr>
          <w:rFonts w:eastAsia="Times New Roman" w:cstheme="minorHAnsi"/>
          <w:color w:val="000000"/>
        </w:rPr>
        <w:t xml:space="preserve">ncreases in coverage were applied to these </w:t>
      </w:r>
      <w:r w:rsidR="000F3EB6" w:rsidRPr="00455A3C">
        <w:rPr>
          <w:rFonts w:eastAsia="Times New Roman" w:cstheme="minorHAnsi"/>
          <w:color w:val="000000"/>
        </w:rPr>
        <w:t>“</w:t>
      </w:r>
      <w:r w:rsidRPr="00455A3C">
        <w:rPr>
          <w:rFonts w:eastAsia="Times New Roman" w:cstheme="minorHAnsi"/>
          <w:color w:val="000000"/>
        </w:rPr>
        <w:t>historical</w:t>
      </w:r>
      <w:r w:rsidR="000F3EB6" w:rsidRPr="00455A3C">
        <w:rPr>
          <w:rFonts w:eastAsia="Times New Roman" w:cstheme="minorHAnsi"/>
          <w:color w:val="000000"/>
        </w:rPr>
        <w:t>”</w:t>
      </w:r>
      <w:r w:rsidRPr="00455A3C">
        <w:rPr>
          <w:rFonts w:eastAsia="Times New Roman" w:cstheme="minorHAnsi"/>
          <w:color w:val="000000"/>
        </w:rPr>
        <w:t xml:space="preserve"> coverage levels.</w:t>
      </w:r>
    </w:p>
    <w:p w14:paraId="3BF55D9A" w14:textId="4B500A41" w:rsidR="00A6317E" w:rsidRPr="00455A3C" w:rsidRDefault="00A6317E" w:rsidP="005354EA">
      <w:pPr>
        <w:spacing w:after="0" w:line="276" w:lineRule="auto"/>
        <w:contextualSpacing/>
        <w:rPr>
          <w:rFonts w:cstheme="minorHAnsi"/>
        </w:rPr>
      </w:pPr>
    </w:p>
    <w:p w14:paraId="58A6375A" w14:textId="285B9F71" w:rsidR="002729E1" w:rsidRPr="00455A3C" w:rsidRDefault="002729E1" w:rsidP="005354EA">
      <w:pPr>
        <w:spacing w:after="0" w:line="276" w:lineRule="auto"/>
        <w:contextualSpacing/>
        <w:rPr>
          <w:rFonts w:cstheme="minorHAnsi"/>
        </w:rPr>
      </w:pPr>
      <w:r w:rsidRPr="00C0372B">
        <w:rPr>
          <w:rFonts w:cstheme="minorHAnsi"/>
          <w:noProof/>
        </w:rPr>
        <w:lastRenderedPageBreak/>
        <w:drawing>
          <wp:inline distT="0" distB="0" distL="0" distR="0" wp14:anchorId="6232D4F5" wp14:editId="67DFF807">
            <wp:extent cx="2721575" cy="173355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10_Penta vaccine.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27899" cy="1737578"/>
                    </a:xfrm>
                    <a:prstGeom prst="rect">
                      <a:avLst/>
                    </a:prstGeom>
                  </pic:spPr>
                </pic:pic>
              </a:graphicData>
            </a:graphic>
          </wp:inline>
        </w:drawing>
      </w:r>
    </w:p>
    <w:p w14:paraId="30957D67" w14:textId="14AC82F7" w:rsidR="00A6317E" w:rsidRPr="000B19D0" w:rsidRDefault="00A6317E" w:rsidP="005354EA">
      <w:pPr>
        <w:spacing w:after="0" w:line="276" w:lineRule="auto"/>
        <w:contextualSpacing/>
        <w:rPr>
          <w:rFonts w:ascii="Times New Roman" w:hAnsi="Times New Roman" w:cs="Times New Roman"/>
          <w:sz w:val="18"/>
          <w:szCs w:val="18"/>
        </w:rPr>
      </w:pPr>
      <w:r w:rsidRPr="000B19D0">
        <w:rPr>
          <w:rFonts w:ascii="Times New Roman" w:hAnsi="Times New Roman" w:cs="Times New Roman"/>
          <w:sz w:val="18"/>
          <w:szCs w:val="18"/>
        </w:rPr>
        <w:t xml:space="preserve">Figure </w:t>
      </w:r>
      <w:r w:rsidR="006C7814" w:rsidRPr="000B19D0">
        <w:rPr>
          <w:rFonts w:ascii="Times New Roman" w:hAnsi="Times New Roman" w:cs="Times New Roman"/>
          <w:sz w:val="18"/>
          <w:szCs w:val="18"/>
        </w:rPr>
        <w:t>S</w:t>
      </w:r>
      <w:r w:rsidRPr="000B19D0">
        <w:rPr>
          <w:rFonts w:ascii="Times New Roman" w:hAnsi="Times New Roman" w:cs="Times New Roman"/>
          <w:sz w:val="18"/>
          <w:szCs w:val="18"/>
        </w:rPr>
        <w:t>10:</w:t>
      </w:r>
      <w:r w:rsidR="00994290" w:rsidRPr="000B19D0">
        <w:rPr>
          <w:rFonts w:ascii="Times New Roman" w:hAnsi="Times New Roman" w:cs="Times New Roman"/>
          <w:sz w:val="18"/>
          <w:szCs w:val="18"/>
        </w:rPr>
        <w:t xml:space="preserve"> Mean</w:t>
      </w:r>
      <w:r w:rsidR="007D0494" w:rsidRPr="000B19D0">
        <w:rPr>
          <w:rFonts w:ascii="Times New Roman" w:hAnsi="Times New Roman" w:cs="Times New Roman"/>
          <w:sz w:val="18"/>
          <w:szCs w:val="18"/>
        </w:rPr>
        <w:t xml:space="preserve"> </w:t>
      </w:r>
      <w:r w:rsidR="00911C59" w:rsidRPr="000B19D0">
        <w:rPr>
          <w:rFonts w:ascii="Times New Roman" w:hAnsi="Times New Roman" w:cs="Times New Roman"/>
          <w:sz w:val="18"/>
          <w:szCs w:val="18"/>
        </w:rPr>
        <w:t xml:space="preserve">DTP1-3 </w:t>
      </w:r>
      <w:r w:rsidRPr="000B19D0">
        <w:rPr>
          <w:rFonts w:ascii="Times New Roman" w:hAnsi="Times New Roman" w:cs="Times New Roman"/>
          <w:sz w:val="18"/>
          <w:szCs w:val="18"/>
        </w:rPr>
        <w:t>vaccine coverage</w:t>
      </w:r>
      <w:r w:rsidR="00994290" w:rsidRPr="000B19D0">
        <w:rPr>
          <w:rFonts w:ascii="Times New Roman" w:hAnsi="Times New Roman" w:cs="Times New Roman"/>
          <w:sz w:val="18"/>
          <w:szCs w:val="18"/>
        </w:rPr>
        <w:t xml:space="preserve"> per LGA</w:t>
      </w:r>
      <w:r w:rsidRPr="000B19D0">
        <w:rPr>
          <w:rFonts w:ascii="Times New Roman" w:hAnsi="Times New Roman" w:cs="Times New Roman"/>
          <w:sz w:val="18"/>
          <w:szCs w:val="18"/>
        </w:rPr>
        <w:t xml:space="preserve"> in the 2018 DHS survey </w:t>
      </w:r>
    </w:p>
    <w:p w14:paraId="6876770F" w14:textId="77777777" w:rsidR="004322FE" w:rsidRPr="00455A3C" w:rsidRDefault="004322FE" w:rsidP="005354EA">
      <w:pPr>
        <w:spacing w:line="276" w:lineRule="auto"/>
        <w:rPr>
          <w:rFonts w:cstheme="minorHAnsi"/>
          <w:i/>
        </w:rPr>
      </w:pPr>
    </w:p>
    <w:p w14:paraId="79CF53FF" w14:textId="77777777" w:rsidR="00A2556F" w:rsidRPr="00455A3C" w:rsidRDefault="00A2556F" w:rsidP="005354EA">
      <w:pPr>
        <w:pStyle w:val="Heading2"/>
        <w:spacing w:line="276" w:lineRule="auto"/>
        <w:rPr>
          <w:rFonts w:asciiTheme="minorHAnsi" w:hAnsiTheme="minorHAnsi" w:cstheme="minorHAnsi"/>
          <w:sz w:val="22"/>
          <w:szCs w:val="22"/>
        </w:rPr>
      </w:pPr>
      <w:bookmarkStart w:id="17" w:name="_Toc77757588"/>
      <w:r w:rsidRPr="00455A3C">
        <w:rPr>
          <w:rFonts w:asciiTheme="minorHAnsi" w:hAnsiTheme="minorHAnsi" w:cstheme="minorHAnsi"/>
          <w:sz w:val="22"/>
          <w:szCs w:val="22"/>
        </w:rPr>
        <w:t>Adjusting prevalence, incidence and mortality for the impact of IPTi</w:t>
      </w:r>
      <w:bookmarkEnd w:id="17"/>
    </w:p>
    <w:p w14:paraId="075907A5" w14:textId="4DE24CB9" w:rsidR="00FB2EC6" w:rsidRPr="00C0372B" w:rsidRDefault="00A2556F" w:rsidP="00C0372B">
      <w:pPr>
        <w:rPr>
          <w:rFonts w:cstheme="minorHAnsi"/>
        </w:rPr>
      </w:pPr>
      <w:r w:rsidRPr="00C0372B">
        <w:rPr>
          <w:rFonts w:cstheme="minorHAnsi"/>
        </w:rPr>
        <w:t>IPTi reduces prevalence, cases and mortality in infants by clearing infections and protect</w:t>
      </w:r>
      <w:r w:rsidR="00C51DEB" w:rsidRPr="00455A3C">
        <w:rPr>
          <w:rFonts w:cstheme="minorHAnsi"/>
        </w:rPr>
        <w:t>ing</w:t>
      </w:r>
      <w:r w:rsidRPr="00C0372B">
        <w:rPr>
          <w:rFonts w:cstheme="minorHAnsi"/>
        </w:rPr>
        <w:t xml:space="preserve"> against new infections </w:t>
      </w:r>
      <w:r w:rsidR="00C51DEB" w:rsidRPr="00455A3C">
        <w:rPr>
          <w:rFonts w:cstheme="minorHAnsi"/>
        </w:rPr>
        <w:t>for</w:t>
      </w:r>
      <w:r w:rsidRPr="00C0372B">
        <w:rPr>
          <w:rFonts w:cstheme="minorHAnsi"/>
        </w:rPr>
        <w:t xml:space="preserve"> 30 days following a dose</w:t>
      </w:r>
      <w:r w:rsidR="00C51DEB" w:rsidRPr="00455A3C">
        <w:rPr>
          <w:rFonts w:cstheme="minorHAnsi"/>
        </w:rPr>
        <w:t xml:space="preserve">. </w:t>
      </w:r>
      <w:r w:rsidRPr="00C0372B">
        <w:rPr>
          <w:rFonts w:cstheme="minorHAnsi"/>
        </w:rPr>
        <w:t xml:space="preserve"> </w:t>
      </w:r>
      <w:r w:rsidR="00C51DEB" w:rsidRPr="00455A3C">
        <w:rPr>
          <w:rFonts w:cstheme="minorHAnsi"/>
        </w:rPr>
        <w:t>Sulphadoxine-pyrimethamine (</w:t>
      </w:r>
      <w:r w:rsidRPr="00C0372B">
        <w:rPr>
          <w:rFonts w:cstheme="minorHAnsi"/>
        </w:rPr>
        <w:t>SP</w:t>
      </w:r>
      <w:r w:rsidR="00C51DEB" w:rsidRPr="00455A3C">
        <w:rPr>
          <w:rFonts w:cstheme="minorHAnsi"/>
        </w:rPr>
        <w:t>)</w:t>
      </w:r>
      <w:r w:rsidRPr="00C0372B">
        <w:rPr>
          <w:rFonts w:cstheme="minorHAnsi"/>
        </w:rPr>
        <w:t xml:space="preserve"> </w:t>
      </w:r>
      <w:r w:rsidR="00C51DEB" w:rsidRPr="00455A3C">
        <w:rPr>
          <w:rFonts w:cstheme="minorHAnsi"/>
        </w:rPr>
        <w:t>is the</w:t>
      </w:r>
      <w:r w:rsidRPr="00C0372B">
        <w:rPr>
          <w:rFonts w:cstheme="minorHAnsi"/>
        </w:rPr>
        <w:t xml:space="preserve"> recommended drug</w:t>
      </w:r>
      <w:r w:rsidR="00C51DEB" w:rsidRPr="00455A3C">
        <w:rPr>
          <w:rFonts w:cstheme="minorHAnsi"/>
        </w:rPr>
        <w:t xml:space="preserve"> for IPTi</w:t>
      </w:r>
      <w:r w:rsidRPr="00C0372B">
        <w:rPr>
          <w:rFonts w:cstheme="minorHAnsi"/>
        </w:rPr>
        <w:t>.</w:t>
      </w:r>
      <w:r w:rsidR="00FB2EC6" w:rsidRPr="00C0372B">
        <w:rPr>
          <w:rFonts w:cstheme="minorHAnsi"/>
        </w:rPr>
        <w:t xml:space="preserve"> Synthesized protective efficacy (PE) estimates from clinical trials conducted between 2000 and 2012 suggest </w:t>
      </w:r>
      <w:r w:rsidR="00D75B3D" w:rsidRPr="00C0372B">
        <w:rPr>
          <w:rFonts w:cstheme="minorHAnsi"/>
        </w:rPr>
        <w:t xml:space="preserve">PE’s ranging from 0.66 for prevalence to 0.93 for all-cause mortality </w:t>
      </w:r>
      <w:r w:rsidR="00D75B3D" w:rsidRPr="00C0372B">
        <w:rPr>
          <w:rFonts w:eastAsia="Times New Roman" w:cstheme="minorHAnsi"/>
          <w:color w:val="000000"/>
        </w:rPr>
        <w:fldChar w:fldCharType="begin" w:fldLock="1"/>
      </w:r>
      <w:r w:rsidR="00C72B9D">
        <w:rPr>
          <w:rFonts w:eastAsia="Times New Roman" w:cstheme="minorHAnsi"/>
          <w:color w:val="000000"/>
        </w:rPr>
        <w:instrText>ADDIN CSL_CITATION {"citationItems":[{"id":"ITEM-1","itemData":{"DOI":"10.1002/14651858.CD011525.pub2","ISSN":"1469493X","PMID":"31792925","abstract":"Background: Intermittent preventive treatment could help prevent malaria in infants (IPTi) living in areas of moderate to high malaria transmission in sub-Saharan Africa. The World Health Organization (WHO) policy recommended IPTi in 2010, but its adoption in countries has been limited. Objectives: To evaluate the effects of intermittent preventive treatment (IPT) with antimalarial drugs to prevent malaria in infants living in malaria-endemic areas. Search methods: We searched the following sources up to 3 December 2018: the Cochrane Infectious Diseases Group Specialized Register, CENTRAL (the Cochrane Library), MEDLINE (PubMed), Embase (OVID), LILACS (Bireme), and reference lists of articles. We also searched the metaRegister of Controlled Trials (mRCT) and the WHO International Clinical Trials Registry Platform (ICTRP) portal for ongoing trials up to 3 December 2018. Selection criteria: We included randomized controlled trials (RCTs) that compared IPT to placebo or no intervention in infants (defined as young children aged between 1 to 12 months) in malaria-endemic areas. Data collection and analysis: The primary outcome was clinical malaria (fever plus asexual parasitaemia). Two review authors independently assessed trials for inclusion, evaluated the risk of bias, and extracted data. We summarized dichotomous outcomes and count data using risk ratios (RR) and rate ratios respectively, and presented all measures with 95% confidence intervals (CIs). We extracted protective efficacy values and their 95% CIs; when an included trial did not report this data, we calculated these values from the RR or rate ratio with its 95% CI. Where appropriate, we combined data in meta-analyses and assessed the certainty of the evidence using the GRADE approach. Main results: We included 12 trials that enrolled 19,098 infants; all were conducted in sub-Saharan Africa. Three trials were cluster-RCTs. IPTi with sulfadoxine-pyrimethamine (SP) was evaluated in 10 trials from 1999 to 2013 (n = 15,256). Trials evaluating ACTs included dihydroartemisinin-piperaquine (1 trial, 147 participants; year 2013), amodiaquine-artesunate (1 study, 684 participants; year 2008), and SP-artesunate (1 trial, 676 participants; year 2008). The earlier studies evaluated IPTi with SP, and were conducted in Tanzania (in 1999 and 2006), Mozambique (2004), Ghana (2004 to 2005), Gabon (2005), Kenya (2008), and Mali (2009). One trial evaluated IPTi with amodiaquine in Tanzania (2000). Later studies …","author":[{"dropping-particle":"","family":"Esu","given":"Ekpereonne B.","non-dropping-particle":"","parse-names":false,"suffix":""},{"dropping-particle":"","family":"Oringanje","given":"Chioma","non-dropping-particle":"","parse-names":false,"suffix":""},{"dropping-particle":"","family":"Meremikwu","given":"Martin M.","non-dropping-particle":"","parse-names":false,"suffix":""}],"container-title":"Cochrane Database of Systematic Reviews","id":"ITEM-1","issue":"12","issued":{"date-parts":[["2019","12","2"]]},"publisher":"John Wiley and Sons Ltd","title":"Intermittent preventive treatment for malaria in infants","type":"article","volume":"2019"},"uris":["http://www.mendeley.com/documents/?uuid=b86d2003-0cb7-353e-a868-db75ade71ab4","http://www.mendeley.com/documents/?uuid=916dd350-05b3-4ba4-bfa9-4634f6af2f27"]}],"mendeley":{"formattedCitation":"[22]","plainTextFormattedCitation":"[22]","previouslyFormattedCitation":"[22]"},"properties":{"noteIndex":0},"schema":"https://github.com/citation-style-language/schema/raw/master/csl-citation.json"}</w:instrText>
      </w:r>
      <w:r w:rsidR="00D75B3D" w:rsidRPr="00C0372B">
        <w:rPr>
          <w:rFonts w:eastAsia="Times New Roman" w:cstheme="minorHAnsi"/>
          <w:color w:val="000000"/>
        </w:rPr>
        <w:fldChar w:fldCharType="separate"/>
      </w:r>
      <w:r w:rsidR="00D540A2" w:rsidRPr="00D540A2">
        <w:rPr>
          <w:rFonts w:eastAsia="Times New Roman" w:cstheme="minorHAnsi"/>
          <w:noProof/>
          <w:color w:val="000000"/>
        </w:rPr>
        <w:t>[22]</w:t>
      </w:r>
      <w:r w:rsidR="00D75B3D" w:rsidRPr="00C0372B">
        <w:rPr>
          <w:rFonts w:eastAsia="Times New Roman" w:cstheme="minorHAnsi"/>
          <w:color w:val="000000"/>
        </w:rPr>
        <w:fldChar w:fldCharType="end"/>
      </w:r>
      <w:r w:rsidR="00D75B3D" w:rsidRPr="00C0372B">
        <w:rPr>
          <w:rFonts w:eastAsia="Times New Roman" w:cstheme="minorHAnsi"/>
          <w:color w:val="000000"/>
        </w:rPr>
        <w:t xml:space="preserve"> (Table S2)</w:t>
      </w:r>
      <w:r w:rsidR="00D75B3D" w:rsidRPr="00C0372B">
        <w:rPr>
          <w:rFonts w:cstheme="minorHAnsi"/>
        </w:rPr>
        <w:t xml:space="preserve">. Since these estimates are for the total infant population after receiving all IPTi doses, the IPTi adjustment was done for the total infant population using aggregated IPTi coverage for all doses. </w:t>
      </w:r>
      <w:r w:rsidR="002A7926">
        <w:rPr>
          <w:rFonts w:cstheme="minorHAnsi"/>
        </w:rPr>
        <w:t>T</w:t>
      </w:r>
      <w:r w:rsidR="00D75B3D" w:rsidRPr="00C0372B">
        <w:rPr>
          <w:rFonts w:cstheme="minorHAnsi"/>
        </w:rPr>
        <w:t>he IPTi adjustment was applied after adjusting for the impact of IPTp</w:t>
      </w:r>
      <w:r w:rsidR="002A7926">
        <w:rPr>
          <w:rFonts w:cstheme="minorHAnsi"/>
        </w:rPr>
        <w:t xml:space="preserve"> by applying</w:t>
      </w:r>
      <w:r w:rsidR="00D75B3D" w:rsidRPr="00C0372B">
        <w:rPr>
          <w:rFonts w:cstheme="minorHAnsi"/>
        </w:rPr>
        <w:t xml:space="preserve"> scaling factors onto the simulation outputs for the </w:t>
      </w:r>
      <w:r w:rsidR="00A840A2">
        <w:rPr>
          <w:rFonts w:cstheme="minorHAnsi"/>
        </w:rPr>
        <w:t xml:space="preserve">U5 </w:t>
      </w:r>
      <w:r w:rsidR="00D75B3D" w:rsidRPr="00C0372B">
        <w:rPr>
          <w:rFonts w:cstheme="minorHAnsi"/>
        </w:rPr>
        <w:t>age groups and</w:t>
      </w:r>
      <w:r w:rsidR="00A840A2">
        <w:rPr>
          <w:rFonts w:cstheme="minorHAnsi"/>
        </w:rPr>
        <w:t xml:space="preserve"> for the</w:t>
      </w:r>
      <w:r w:rsidR="00D75B3D" w:rsidRPr="00C0372B">
        <w:rPr>
          <w:rFonts w:cstheme="minorHAnsi"/>
        </w:rPr>
        <w:t xml:space="preserve"> total population. To obtain these scaling factors, we first </w:t>
      </w:r>
      <w:r w:rsidR="007A11DE" w:rsidRPr="00C0372B">
        <w:rPr>
          <w:rFonts w:cstheme="minorHAnsi"/>
        </w:rPr>
        <w:t xml:space="preserve">(i) </w:t>
      </w:r>
      <w:r w:rsidR="00D75B3D" w:rsidRPr="00C0372B">
        <w:rPr>
          <w:rFonts w:cstheme="minorHAnsi"/>
        </w:rPr>
        <w:t xml:space="preserve">calculated the total number of infections, cases and deaths averted due to IPTi in infants, </w:t>
      </w:r>
      <w:r w:rsidR="007A11DE" w:rsidRPr="00C0372B">
        <w:rPr>
          <w:rFonts w:cstheme="minorHAnsi"/>
        </w:rPr>
        <w:t xml:space="preserve">(ii) </w:t>
      </w:r>
      <w:r w:rsidR="00D75B3D" w:rsidRPr="00C0372B">
        <w:rPr>
          <w:rFonts w:cstheme="minorHAnsi"/>
        </w:rPr>
        <w:t xml:space="preserve">then subtracted these from the respective number in the U5 and total population and </w:t>
      </w:r>
      <w:r w:rsidR="007A11DE" w:rsidRPr="00C0372B">
        <w:rPr>
          <w:rFonts w:cstheme="minorHAnsi"/>
        </w:rPr>
        <w:t xml:space="preserve">(iii) </w:t>
      </w:r>
      <w:r w:rsidR="00D75B3D" w:rsidRPr="00C0372B">
        <w:rPr>
          <w:rFonts w:cstheme="minorHAnsi"/>
        </w:rPr>
        <w:t>calculated relative reduction</w:t>
      </w:r>
      <w:r w:rsidR="0063393E">
        <w:rPr>
          <w:rFonts w:cstheme="minorHAnsi"/>
        </w:rPr>
        <w:t>s</w:t>
      </w:r>
      <w:r w:rsidR="00D75B3D" w:rsidRPr="00C0372B">
        <w:rPr>
          <w:rFonts w:cstheme="minorHAnsi"/>
        </w:rPr>
        <w:t xml:space="preserve"> to be used as scaling factor </w:t>
      </w:r>
      <w:r w:rsidR="007643FA">
        <w:rPr>
          <w:rFonts w:cstheme="minorHAnsi"/>
        </w:rPr>
        <w:t>on</w:t>
      </w:r>
      <w:r w:rsidR="007A11DE" w:rsidRPr="00C0372B">
        <w:rPr>
          <w:rFonts w:cstheme="minorHAnsi"/>
        </w:rPr>
        <w:t xml:space="preserve"> the IPTp-adjusted predictions</w:t>
      </w:r>
      <w:r w:rsidR="00D75B3D" w:rsidRPr="00C0372B">
        <w:rPr>
          <w:rFonts w:cstheme="minorHAnsi"/>
        </w:rPr>
        <w:t xml:space="preserve">. </w:t>
      </w:r>
    </w:p>
    <w:p w14:paraId="32924EE4" w14:textId="19AF2B4A" w:rsidR="004C2205" w:rsidRPr="00C0372B" w:rsidRDefault="004C2205" w:rsidP="00C0372B">
      <w:pPr>
        <w:rPr>
          <w:rFonts w:cstheme="minorHAnsi"/>
        </w:rPr>
      </w:pPr>
      <w:r w:rsidRPr="00C0372B">
        <w:rPr>
          <w:rFonts w:cstheme="minorHAnsi"/>
          <w:i/>
        </w:rPr>
        <w:t xml:space="preserve">Table S2: Synthesized IPTi protective efficacy estimates extracted from Esu et al </w:t>
      </w:r>
      <w:r w:rsidRPr="00C0372B">
        <w:rPr>
          <w:rFonts w:eastAsia="Times New Roman" w:cstheme="minorHAnsi"/>
          <w:color w:val="000000"/>
        </w:rPr>
        <w:fldChar w:fldCharType="begin" w:fldLock="1"/>
      </w:r>
      <w:r w:rsidR="00C72B9D">
        <w:rPr>
          <w:rFonts w:eastAsia="Times New Roman" w:cstheme="minorHAnsi"/>
          <w:color w:val="000000"/>
        </w:rPr>
        <w:instrText>ADDIN CSL_CITATION {"citationItems":[{"id":"ITEM-1","itemData":{"DOI":"10.1002/14651858.CD011525.pub2","ISSN":"1469493X","PMID":"31792925","abstract":"Background: Intermittent preventive treatment could help prevent malaria in infants (IPTi) living in areas of moderate to high malaria transmission in sub-Saharan Africa. The World Health Organization (WHO) policy recommended IPTi in 2010, but its adoption in countries has been limited. Objectives: To evaluate the effects of intermittent preventive treatment (IPT) with antimalarial drugs to prevent malaria in infants living in malaria-endemic areas. Search methods: We searched the following sources up to 3 December 2018: the Cochrane Infectious Diseases Group Specialized Register, CENTRAL (the Cochrane Library), MEDLINE (PubMed), Embase (OVID), LILACS (Bireme), and reference lists of articles. We also searched the metaRegister of Controlled Trials (mRCT) and the WHO International Clinical Trials Registry Platform (ICTRP) portal for ongoing trials up to 3 December 2018. Selection criteria: We included randomized controlled trials (RCTs) that compared IPT to placebo or no intervention in infants (defined as young children aged between 1 to 12 months) in malaria-endemic areas. Data collection and analysis: The primary outcome was clinical malaria (fever plus asexual parasitaemia). Two review authors independently assessed trials for inclusion, evaluated the risk of bias, and extracted data. We summarized dichotomous outcomes and count data using risk ratios (RR) and rate ratios respectively, and presented all measures with 95% confidence intervals (CIs). We extracted protective efficacy values and their 95% CIs; when an included trial did not report this data, we calculated these values from the RR or rate ratio with its 95% CI. Where appropriate, we combined data in meta-analyses and assessed the certainty of the evidence using the GRADE approach. Main results: We included 12 trials that enrolled 19,098 infants; all were conducted in sub-Saharan Africa. Three trials were cluster-RCTs. IPTi with sulfadoxine-pyrimethamine (SP) was evaluated in 10 trials from 1999 to 2013 (n = 15,256). Trials evaluating ACTs included dihydroartemisinin-piperaquine (1 trial, 147 participants; year 2013), amodiaquine-artesunate (1 study, 684 participants; year 2008), and SP-artesunate (1 trial, 676 participants; year 2008). The earlier studies evaluated IPTi with SP, and were conducted in Tanzania (in 1999 and 2006), Mozambique (2004), Ghana (2004 to 2005), Gabon (2005), Kenya (2008), and Mali (2009). One trial evaluated IPTi with amodiaquine in Tanzania (2000). Later studies …","author":[{"dropping-particle":"","family":"Esu","given":"Ekpereonne B.","non-dropping-particle":"","parse-names":false,"suffix":""},{"dropping-particle":"","family":"Oringanje","given":"Chioma","non-dropping-particle":"","parse-names":false,"suffix":""},{"dropping-particle":"","family":"Meremikwu","given":"Martin M.","non-dropping-particle":"","parse-names":false,"suffix":""}],"container-title":"Cochrane Database of Systematic Reviews","id":"ITEM-1","issue":"12","issued":{"date-parts":[["2019","12","2"]]},"publisher":"John Wiley and Sons Ltd","title":"Intermittent preventive treatment for malaria in infants","type":"article","volume":"2019"},"uris":["http://www.mendeley.com/documents/?uuid=b86d2003-0cb7-353e-a868-db75ade71ab4","http://www.mendeley.com/documents/?uuid=916dd350-05b3-4ba4-bfa9-4634f6af2f27"]}],"mendeley":{"formattedCitation":"[22]","plainTextFormattedCitation":"[22]","previouslyFormattedCitation":"[22]"},"properties":{"noteIndex":0},"schema":"https://github.com/citation-style-language/schema/raw/master/csl-citation.json"}</w:instrText>
      </w:r>
      <w:r w:rsidRPr="00C0372B">
        <w:rPr>
          <w:rFonts w:eastAsia="Times New Roman" w:cstheme="minorHAnsi"/>
          <w:color w:val="000000"/>
        </w:rPr>
        <w:fldChar w:fldCharType="separate"/>
      </w:r>
      <w:r w:rsidR="00D540A2" w:rsidRPr="00D540A2">
        <w:rPr>
          <w:rFonts w:eastAsia="Times New Roman" w:cstheme="minorHAnsi"/>
          <w:noProof/>
          <w:color w:val="000000"/>
        </w:rPr>
        <w:t>[22]</w:t>
      </w:r>
      <w:r w:rsidRPr="00C0372B">
        <w:rPr>
          <w:rFonts w:eastAsia="Times New Roman" w:cstheme="minorHAnsi"/>
          <w:color w:val="000000"/>
        </w:rPr>
        <w:fldChar w:fldCharType="end"/>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160"/>
        <w:gridCol w:w="1350"/>
        <w:gridCol w:w="2160"/>
      </w:tblGrid>
      <w:tr w:rsidR="004C2205" w:rsidRPr="00455A3C" w14:paraId="3D19F011" w14:textId="77777777" w:rsidTr="000634BA">
        <w:tc>
          <w:tcPr>
            <w:tcW w:w="2160" w:type="dxa"/>
            <w:tcBorders>
              <w:top w:val="single" w:sz="4" w:space="0" w:color="auto"/>
              <w:bottom w:val="single" w:sz="4" w:space="0" w:color="auto"/>
            </w:tcBorders>
          </w:tcPr>
          <w:p w14:paraId="31E94CE2" w14:textId="77777777" w:rsidR="004C2205" w:rsidRPr="00455A3C" w:rsidRDefault="004C2205" w:rsidP="000634BA">
            <w:pPr>
              <w:spacing w:line="276" w:lineRule="auto"/>
              <w:contextualSpacing/>
              <w:rPr>
                <w:rFonts w:eastAsiaTheme="minorEastAsia" w:cstheme="minorHAnsi"/>
                <w:b/>
                <w:bCs/>
                <w:sz w:val="22"/>
                <w:szCs w:val="22"/>
              </w:rPr>
            </w:pPr>
            <w:r w:rsidRPr="00455A3C">
              <w:rPr>
                <w:rFonts w:eastAsiaTheme="minorEastAsia" w:cstheme="minorHAnsi"/>
                <w:b/>
                <w:bCs/>
              </w:rPr>
              <w:t>Outcome</w:t>
            </w:r>
          </w:p>
        </w:tc>
        <w:tc>
          <w:tcPr>
            <w:tcW w:w="1350" w:type="dxa"/>
            <w:tcBorders>
              <w:top w:val="single" w:sz="4" w:space="0" w:color="auto"/>
              <w:bottom w:val="single" w:sz="4" w:space="0" w:color="auto"/>
            </w:tcBorders>
          </w:tcPr>
          <w:p w14:paraId="5E375297" w14:textId="77777777" w:rsidR="004C2205" w:rsidRPr="00455A3C" w:rsidRDefault="004C2205" w:rsidP="000634BA">
            <w:pPr>
              <w:spacing w:line="276" w:lineRule="auto"/>
              <w:contextualSpacing/>
              <w:rPr>
                <w:rFonts w:eastAsiaTheme="minorEastAsia" w:cstheme="minorHAnsi"/>
                <w:b/>
                <w:bCs/>
                <w:sz w:val="22"/>
                <w:szCs w:val="22"/>
              </w:rPr>
            </w:pPr>
            <w:r w:rsidRPr="00455A3C">
              <w:rPr>
                <w:rFonts w:eastAsiaTheme="minorEastAsia" w:cstheme="minorHAnsi"/>
                <w:b/>
                <w:bCs/>
              </w:rPr>
              <w:t>Rate ratio</w:t>
            </w:r>
          </w:p>
        </w:tc>
        <w:tc>
          <w:tcPr>
            <w:tcW w:w="2160" w:type="dxa"/>
            <w:tcBorders>
              <w:top w:val="single" w:sz="4" w:space="0" w:color="auto"/>
              <w:bottom w:val="single" w:sz="4" w:space="0" w:color="auto"/>
            </w:tcBorders>
          </w:tcPr>
          <w:p w14:paraId="0B68588E" w14:textId="77777777" w:rsidR="004C2205" w:rsidRPr="00455A3C" w:rsidRDefault="004C2205" w:rsidP="000634BA">
            <w:pPr>
              <w:spacing w:line="276" w:lineRule="auto"/>
              <w:contextualSpacing/>
              <w:rPr>
                <w:rFonts w:eastAsiaTheme="minorEastAsia" w:cstheme="minorHAnsi"/>
                <w:b/>
                <w:bCs/>
                <w:sz w:val="22"/>
                <w:szCs w:val="22"/>
              </w:rPr>
            </w:pPr>
            <w:r w:rsidRPr="00455A3C">
              <w:rPr>
                <w:rFonts w:eastAsiaTheme="minorEastAsia" w:cstheme="minorHAnsi"/>
                <w:b/>
                <w:bCs/>
              </w:rPr>
              <w:t>95%CI</w:t>
            </w:r>
          </w:p>
        </w:tc>
      </w:tr>
      <w:tr w:rsidR="004C2205" w:rsidRPr="00455A3C" w14:paraId="542D8800" w14:textId="77777777" w:rsidTr="000634BA">
        <w:tc>
          <w:tcPr>
            <w:tcW w:w="2160" w:type="dxa"/>
            <w:tcBorders>
              <w:top w:val="single" w:sz="4" w:space="0" w:color="auto"/>
            </w:tcBorders>
          </w:tcPr>
          <w:p w14:paraId="271B83A9" w14:textId="77777777" w:rsidR="004C2205" w:rsidRPr="00455A3C" w:rsidRDefault="004C2205" w:rsidP="000634BA">
            <w:pPr>
              <w:spacing w:line="276" w:lineRule="auto"/>
              <w:contextualSpacing/>
              <w:rPr>
                <w:rFonts w:eastAsiaTheme="minorEastAsia" w:cstheme="minorHAnsi"/>
                <w:sz w:val="22"/>
                <w:szCs w:val="22"/>
              </w:rPr>
            </w:pPr>
            <w:r w:rsidRPr="00455A3C">
              <w:rPr>
                <w:rFonts w:eastAsiaTheme="minorEastAsia" w:cstheme="minorHAnsi"/>
                <w:i/>
                <w:iCs/>
              </w:rPr>
              <w:t>Pf</w:t>
            </w:r>
            <w:r w:rsidRPr="00455A3C">
              <w:rPr>
                <w:rFonts w:eastAsiaTheme="minorEastAsia" w:cstheme="minorHAnsi"/>
              </w:rPr>
              <w:t>PR</w:t>
            </w:r>
          </w:p>
        </w:tc>
        <w:tc>
          <w:tcPr>
            <w:tcW w:w="1350" w:type="dxa"/>
            <w:tcBorders>
              <w:top w:val="single" w:sz="4" w:space="0" w:color="auto"/>
            </w:tcBorders>
          </w:tcPr>
          <w:p w14:paraId="6596A8CF" w14:textId="77777777" w:rsidR="004C2205" w:rsidRPr="00455A3C" w:rsidRDefault="004C2205" w:rsidP="000634BA">
            <w:pPr>
              <w:spacing w:line="276" w:lineRule="auto"/>
              <w:contextualSpacing/>
              <w:rPr>
                <w:rFonts w:eastAsiaTheme="minorEastAsia" w:cstheme="minorHAnsi"/>
                <w:sz w:val="22"/>
                <w:szCs w:val="22"/>
              </w:rPr>
            </w:pPr>
            <w:r w:rsidRPr="00455A3C">
              <w:rPr>
                <w:rFonts w:eastAsiaTheme="minorEastAsia" w:cstheme="minorHAnsi"/>
              </w:rPr>
              <w:t>0.66</w:t>
            </w:r>
          </w:p>
        </w:tc>
        <w:tc>
          <w:tcPr>
            <w:tcW w:w="2160" w:type="dxa"/>
            <w:tcBorders>
              <w:top w:val="single" w:sz="4" w:space="0" w:color="auto"/>
            </w:tcBorders>
          </w:tcPr>
          <w:p w14:paraId="5FD6F2CD" w14:textId="77777777" w:rsidR="004C2205" w:rsidRPr="00455A3C" w:rsidRDefault="004C2205" w:rsidP="000634BA">
            <w:pPr>
              <w:spacing w:line="276" w:lineRule="auto"/>
              <w:contextualSpacing/>
              <w:rPr>
                <w:rFonts w:cstheme="minorHAnsi"/>
                <w:color w:val="000000"/>
                <w:sz w:val="22"/>
                <w:szCs w:val="22"/>
              </w:rPr>
            </w:pPr>
            <w:r w:rsidRPr="00455A3C">
              <w:rPr>
                <w:rFonts w:cstheme="minorHAnsi"/>
                <w:color w:val="000000"/>
              </w:rPr>
              <w:t>(0.56 - 0.79)</w:t>
            </w:r>
          </w:p>
        </w:tc>
      </w:tr>
      <w:tr w:rsidR="004C2205" w:rsidRPr="00455A3C" w14:paraId="62811971" w14:textId="77777777" w:rsidTr="000634BA">
        <w:tc>
          <w:tcPr>
            <w:tcW w:w="2160" w:type="dxa"/>
          </w:tcPr>
          <w:p w14:paraId="71C7468F" w14:textId="77777777" w:rsidR="004C2205" w:rsidRPr="00455A3C" w:rsidRDefault="004C2205" w:rsidP="000634BA">
            <w:pPr>
              <w:spacing w:line="276" w:lineRule="auto"/>
              <w:contextualSpacing/>
              <w:rPr>
                <w:rFonts w:eastAsiaTheme="minorEastAsia" w:cstheme="minorHAnsi"/>
                <w:sz w:val="22"/>
                <w:szCs w:val="22"/>
              </w:rPr>
            </w:pPr>
            <w:r w:rsidRPr="00455A3C">
              <w:rPr>
                <w:rFonts w:eastAsiaTheme="minorEastAsia" w:cstheme="minorHAnsi"/>
              </w:rPr>
              <w:t>Clinical cases</w:t>
            </w:r>
          </w:p>
        </w:tc>
        <w:tc>
          <w:tcPr>
            <w:tcW w:w="1350" w:type="dxa"/>
          </w:tcPr>
          <w:p w14:paraId="04EABEA2" w14:textId="77777777" w:rsidR="004C2205" w:rsidRPr="00455A3C" w:rsidRDefault="004C2205" w:rsidP="000634BA">
            <w:pPr>
              <w:spacing w:line="276" w:lineRule="auto"/>
              <w:contextualSpacing/>
              <w:rPr>
                <w:rFonts w:eastAsiaTheme="minorEastAsia" w:cstheme="minorHAnsi"/>
                <w:sz w:val="22"/>
                <w:szCs w:val="22"/>
              </w:rPr>
            </w:pPr>
            <w:r w:rsidRPr="00455A3C">
              <w:rPr>
                <w:rFonts w:eastAsiaTheme="minorEastAsia" w:cstheme="minorHAnsi"/>
              </w:rPr>
              <w:t>0.79</w:t>
            </w:r>
          </w:p>
        </w:tc>
        <w:tc>
          <w:tcPr>
            <w:tcW w:w="2160" w:type="dxa"/>
          </w:tcPr>
          <w:p w14:paraId="3CA008DF" w14:textId="77777777" w:rsidR="004C2205" w:rsidRPr="00455A3C" w:rsidRDefault="004C2205" w:rsidP="000634BA">
            <w:pPr>
              <w:spacing w:line="276" w:lineRule="auto"/>
              <w:contextualSpacing/>
              <w:rPr>
                <w:rFonts w:cstheme="minorHAnsi"/>
                <w:color w:val="000000"/>
                <w:sz w:val="22"/>
                <w:szCs w:val="22"/>
              </w:rPr>
            </w:pPr>
            <w:r w:rsidRPr="00455A3C">
              <w:rPr>
                <w:rFonts w:cstheme="minorHAnsi"/>
                <w:color w:val="000000"/>
              </w:rPr>
              <w:t>(0.74 - 0.85)</w:t>
            </w:r>
          </w:p>
        </w:tc>
      </w:tr>
      <w:tr w:rsidR="004C2205" w:rsidRPr="00455A3C" w14:paraId="485BBE1B" w14:textId="77777777" w:rsidTr="000634BA">
        <w:tc>
          <w:tcPr>
            <w:tcW w:w="2160" w:type="dxa"/>
          </w:tcPr>
          <w:p w14:paraId="0DB9FA5E" w14:textId="77777777" w:rsidR="004C2205" w:rsidRPr="00455A3C" w:rsidRDefault="004C2205" w:rsidP="000634BA">
            <w:pPr>
              <w:spacing w:line="276" w:lineRule="auto"/>
              <w:contextualSpacing/>
              <w:rPr>
                <w:rFonts w:eastAsiaTheme="minorEastAsia" w:cstheme="minorHAnsi"/>
                <w:sz w:val="22"/>
                <w:szCs w:val="22"/>
              </w:rPr>
            </w:pPr>
            <w:r w:rsidRPr="00455A3C">
              <w:rPr>
                <w:rFonts w:eastAsiaTheme="minorEastAsia" w:cstheme="minorHAnsi"/>
              </w:rPr>
              <w:t>Severe cases</w:t>
            </w:r>
          </w:p>
        </w:tc>
        <w:tc>
          <w:tcPr>
            <w:tcW w:w="1350" w:type="dxa"/>
          </w:tcPr>
          <w:p w14:paraId="32C6945B" w14:textId="77777777" w:rsidR="004C2205" w:rsidRPr="00455A3C" w:rsidRDefault="004C2205" w:rsidP="000634BA">
            <w:pPr>
              <w:spacing w:line="276" w:lineRule="auto"/>
              <w:contextualSpacing/>
              <w:rPr>
                <w:rFonts w:eastAsiaTheme="minorEastAsia" w:cstheme="minorHAnsi"/>
                <w:sz w:val="22"/>
                <w:szCs w:val="22"/>
              </w:rPr>
            </w:pPr>
            <w:r w:rsidRPr="00455A3C">
              <w:rPr>
                <w:rFonts w:eastAsiaTheme="minorEastAsia" w:cstheme="minorHAnsi"/>
              </w:rPr>
              <w:t>0.92</w:t>
            </w:r>
          </w:p>
        </w:tc>
        <w:tc>
          <w:tcPr>
            <w:tcW w:w="2160" w:type="dxa"/>
          </w:tcPr>
          <w:p w14:paraId="07364758" w14:textId="77777777" w:rsidR="004C2205" w:rsidRPr="00455A3C" w:rsidRDefault="004C2205" w:rsidP="000634BA">
            <w:pPr>
              <w:spacing w:line="276" w:lineRule="auto"/>
              <w:contextualSpacing/>
              <w:rPr>
                <w:rFonts w:cstheme="minorHAnsi"/>
                <w:color w:val="000000"/>
                <w:sz w:val="22"/>
                <w:szCs w:val="22"/>
              </w:rPr>
            </w:pPr>
            <w:r w:rsidRPr="00455A3C">
              <w:rPr>
                <w:rFonts w:cstheme="minorHAnsi"/>
                <w:color w:val="000000"/>
              </w:rPr>
              <w:t>(0.47 - 1.81)</w:t>
            </w:r>
          </w:p>
        </w:tc>
      </w:tr>
      <w:tr w:rsidR="004C2205" w:rsidRPr="00455A3C" w14:paraId="36ED82E4" w14:textId="77777777" w:rsidTr="000634BA">
        <w:tc>
          <w:tcPr>
            <w:tcW w:w="2160" w:type="dxa"/>
            <w:tcBorders>
              <w:top w:val="single" w:sz="4" w:space="0" w:color="auto"/>
              <w:bottom w:val="single" w:sz="4" w:space="0" w:color="auto"/>
            </w:tcBorders>
          </w:tcPr>
          <w:p w14:paraId="0298E210" w14:textId="77777777" w:rsidR="004C2205" w:rsidRPr="00455A3C" w:rsidRDefault="004C2205" w:rsidP="000634BA">
            <w:pPr>
              <w:spacing w:line="276" w:lineRule="auto"/>
              <w:contextualSpacing/>
              <w:rPr>
                <w:rFonts w:eastAsiaTheme="minorEastAsia" w:cstheme="minorHAnsi"/>
                <w:sz w:val="22"/>
                <w:szCs w:val="22"/>
              </w:rPr>
            </w:pPr>
            <w:r w:rsidRPr="00455A3C">
              <w:rPr>
                <w:rFonts w:eastAsiaTheme="minorEastAsia" w:cstheme="minorHAnsi"/>
              </w:rPr>
              <w:t>All-cause mortality</w:t>
            </w:r>
          </w:p>
        </w:tc>
        <w:tc>
          <w:tcPr>
            <w:tcW w:w="1350" w:type="dxa"/>
            <w:tcBorders>
              <w:top w:val="single" w:sz="4" w:space="0" w:color="auto"/>
              <w:bottom w:val="single" w:sz="4" w:space="0" w:color="auto"/>
            </w:tcBorders>
          </w:tcPr>
          <w:p w14:paraId="3E252188" w14:textId="77777777" w:rsidR="004C2205" w:rsidRPr="00455A3C" w:rsidRDefault="004C2205" w:rsidP="000634BA">
            <w:pPr>
              <w:spacing w:line="276" w:lineRule="auto"/>
              <w:contextualSpacing/>
              <w:rPr>
                <w:rFonts w:eastAsiaTheme="minorEastAsia" w:cstheme="minorHAnsi"/>
                <w:sz w:val="22"/>
                <w:szCs w:val="22"/>
              </w:rPr>
            </w:pPr>
            <w:r w:rsidRPr="00455A3C">
              <w:rPr>
                <w:rFonts w:eastAsiaTheme="minorEastAsia" w:cstheme="minorHAnsi"/>
              </w:rPr>
              <w:t>0.93</w:t>
            </w:r>
          </w:p>
        </w:tc>
        <w:tc>
          <w:tcPr>
            <w:tcW w:w="2160" w:type="dxa"/>
            <w:tcBorders>
              <w:top w:val="single" w:sz="4" w:space="0" w:color="auto"/>
              <w:bottom w:val="single" w:sz="4" w:space="0" w:color="auto"/>
            </w:tcBorders>
          </w:tcPr>
          <w:p w14:paraId="31842E35" w14:textId="77777777" w:rsidR="004C2205" w:rsidRPr="00455A3C" w:rsidRDefault="004C2205" w:rsidP="000634BA">
            <w:pPr>
              <w:spacing w:line="276" w:lineRule="auto"/>
              <w:contextualSpacing/>
              <w:rPr>
                <w:rFonts w:cstheme="minorHAnsi"/>
                <w:color w:val="000000"/>
                <w:sz w:val="22"/>
                <w:szCs w:val="22"/>
              </w:rPr>
            </w:pPr>
            <w:r w:rsidRPr="00455A3C">
              <w:rPr>
                <w:rFonts w:cstheme="minorHAnsi"/>
                <w:color w:val="000000"/>
              </w:rPr>
              <w:t>(0.74 - 1.15)</w:t>
            </w:r>
          </w:p>
        </w:tc>
      </w:tr>
    </w:tbl>
    <w:p w14:paraId="5AF54A4B" w14:textId="513874DD" w:rsidR="00366CE0" w:rsidRPr="00455A3C" w:rsidRDefault="00366CE0" w:rsidP="00C0372B">
      <w:pPr>
        <w:rPr>
          <w:rFonts w:cstheme="minorHAnsi"/>
        </w:rPr>
      </w:pPr>
    </w:p>
    <w:p w14:paraId="411CA7D1" w14:textId="2ACBF293" w:rsidR="007A11DE" w:rsidRPr="00455A3C" w:rsidRDefault="007A11DE" w:rsidP="007A11DE">
      <w:pPr>
        <w:pStyle w:val="Heading3"/>
        <w:numPr>
          <w:ilvl w:val="0"/>
          <w:numId w:val="19"/>
        </w:numPr>
        <w:rPr>
          <w:rFonts w:asciiTheme="minorHAnsi" w:hAnsiTheme="minorHAnsi" w:cstheme="minorHAnsi"/>
          <w:i/>
          <w:color w:val="auto"/>
          <w:sz w:val="22"/>
          <w:szCs w:val="22"/>
          <w:u w:val="single"/>
        </w:rPr>
      </w:pPr>
      <w:bookmarkStart w:id="18" w:name="_Toc77757589"/>
      <w:r w:rsidRPr="00455A3C">
        <w:rPr>
          <w:rFonts w:asciiTheme="minorHAnsi" w:hAnsiTheme="minorHAnsi" w:cstheme="minorHAnsi"/>
          <w:i/>
          <w:color w:val="auto"/>
          <w:sz w:val="22"/>
          <w:szCs w:val="22"/>
          <w:u w:val="single"/>
        </w:rPr>
        <w:t>Malaria infections, cases and deaths averted in infants due to IPTi</w:t>
      </w:r>
      <w:bookmarkEnd w:id="18"/>
    </w:p>
    <w:p w14:paraId="1629C3C7" w14:textId="3AC210CF" w:rsidR="007A11DE" w:rsidRPr="00C0372B" w:rsidRDefault="007A11DE" w:rsidP="007A11DE">
      <w:pPr>
        <w:rPr>
          <w:rFonts w:cstheme="minorHAnsi"/>
        </w:rPr>
      </w:pPr>
      <w:r w:rsidRPr="00C0372B">
        <w:rPr>
          <w:rFonts w:cstheme="minorHAnsi"/>
        </w:rPr>
        <w:t xml:space="preserve">The effect of IPTi was estimated by combining the LGA-specific coverage with efficacy parameters from </w:t>
      </w:r>
      <w:r w:rsidRPr="00455A3C">
        <w:rPr>
          <w:rFonts w:eastAsia="Times New Roman" w:cstheme="minorHAnsi"/>
          <w:color w:val="000000"/>
        </w:rPr>
        <w:t xml:space="preserve">Esu et al </w:t>
      </w:r>
      <w:r w:rsidRPr="00C0372B">
        <w:rPr>
          <w:rFonts w:eastAsia="Times New Roman" w:cstheme="minorHAnsi"/>
          <w:color w:val="000000"/>
        </w:rPr>
        <w:fldChar w:fldCharType="begin" w:fldLock="1"/>
      </w:r>
      <w:r w:rsidR="00C72B9D">
        <w:rPr>
          <w:rFonts w:eastAsia="Times New Roman" w:cstheme="minorHAnsi"/>
          <w:color w:val="000000"/>
        </w:rPr>
        <w:instrText>ADDIN CSL_CITATION {"citationItems":[{"id":"ITEM-1","itemData":{"DOI":"10.1002/14651858.CD011525.pub2","ISSN":"1469493X","PMID":"31792925","abstract":"Background: Intermittent preventive treatment could help prevent malaria in infants (IPTi) living in areas of moderate to high malaria transmission in sub-Saharan Africa. The World Health Organization (WHO) policy recommended IPTi in 2010, but its adoption in countries has been limited. Objectives: To evaluate the effects of intermittent preventive treatment (IPT) with antimalarial drugs to prevent malaria in infants living in malaria-endemic areas. Search methods: We searched the following sources up to 3 December 2018: the Cochrane Infectious Diseases Group Specialized Register, CENTRAL (the Cochrane Library), MEDLINE (PubMed), Embase (OVID), LILACS (Bireme), and reference lists of articles. We also searched the metaRegister of Controlled Trials (mRCT) and the WHO International Clinical Trials Registry Platform (ICTRP) portal for ongoing trials up to 3 December 2018. Selection criteria: We included randomized controlled trials (RCTs) that compared IPT to placebo or no intervention in infants (defined as young children aged between 1 to 12 months) in malaria-endemic areas. Data collection and analysis: The primary outcome was clinical malaria (fever plus asexual parasitaemia). Two review authors independently assessed trials for inclusion, evaluated the risk of bias, and extracted data. We summarized dichotomous outcomes and count data using risk ratios (RR) and rate ratios respectively, and presented all measures with 95% confidence intervals (CIs). We extracted protective efficacy values and their 95% CIs; when an included trial did not report this data, we calculated these values from the RR or rate ratio with its 95% CI. Where appropriate, we combined data in meta-analyses and assessed the certainty of the evidence using the GRADE approach. Main results: We included 12 trials that enrolled 19,098 infants; all were conducted in sub-Saharan Africa. Three trials were cluster-RCTs. IPTi with sulfadoxine-pyrimethamine (SP) was evaluated in 10 trials from 1999 to 2013 (n = 15,256). Trials evaluating ACTs included dihydroartemisinin-piperaquine (1 trial, 147 participants; year 2013), amodiaquine-artesunate (1 study, 684 participants; year 2008), and SP-artesunate (1 trial, 676 participants; year 2008). The earlier studies evaluated IPTi with SP, and were conducted in Tanzania (in 1999 and 2006), Mozambique (2004), Ghana (2004 to 2005), Gabon (2005), Kenya (2008), and Mali (2009). One trial evaluated IPTi with amodiaquine in Tanzania (2000). Later studies …","author":[{"dropping-particle":"","family":"Esu","given":"Ekpereonne B.","non-dropping-particle":"","parse-names":false,"suffix":""},{"dropping-particle":"","family":"Oringanje","given":"Chioma","non-dropping-particle":"","parse-names":false,"suffix":""},{"dropping-particle":"","family":"Meremikwu","given":"Martin M.","non-dropping-particle":"","parse-names":false,"suffix":""}],"container-title":"Cochrane Database of Systematic Reviews","id":"ITEM-1","issue":"12","issued":{"date-parts":[["2019","12","2"]]},"publisher":"John Wiley and Sons Ltd","title":"Intermittent preventive treatment for malaria in infants","type":"article","volume":"2019"},"uris":["http://www.mendeley.com/documents/?uuid=b86d2003-0cb7-353e-a868-db75ade71ab4","http://www.mendeley.com/documents/?uuid=916dd350-05b3-4ba4-bfa9-4634f6af2f27"]}],"mendeley":{"formattedCitation":"[22]","plainTextFormattedCitation":"[22]","previouslyFormattedCitation":"[22]"},"properties":{"noteIndex":0},"schema":"https://github.com/citation-style-language/schema/raw/master/csl-citation.json"}</w:instrText>
      </w:r>
      <w:r w:rsidRPr="00C0372B">
        <w:rPr>
          <w:rFonts w:eastAsia="Times New Roman" w:cstheme="minorHAnsi"/>
          <w:color w:val="000000"/>
        </w:rPr>
        <w:fldChar w:fldCharType="separate"/>
      </w:r>
      <w:r w:rsidR="00D540A2" w:rsidRPr="00D540A2">
        <w:rPr>
          <w:rFonts w:eastAsia="Times New Roman" w:cstheme="minorHAnsi"/>
          <w:noProof/>
          <w:color w:val="000000"/>
        </w:rPr>
        <w:t>[22]</w:t>
      </w:r>
      <w:r w:rsidRPr="00C0372B">
        <w:rPr>
          <w:rFonts w:eastAsia="Times New Roman" w:cstheme="minorHAnsi"/>
          <w:color w:val="000000"/>
        </w:rPr>
        <w:fldChar w:fldCharType="end"/>
      </w:r>
      <w:r w:rsidRPr="00455A3C">
        <w:rPr>
          <w:rFonts w:eastAsia="Times New Roman" w:cstheme="minorHAnsi"/>
          <w:color w:val="000000"/>
        </w:rPr>
        <w:t xml:space="preserve"> (Table S2) and the LGA-specific </w:t>
      </w:r>
      <w:r w:rsidRPr="00C0372B">
        <w:rPr>
          <w:rFonts w:cstheme="minorHAnsi"/>
        </w:rPr>
        <w:t>outcome predictions in infants (</w:t>
      </w:r>
      <w:r w:rsidR="00FE0795" w:rsidRPr="00455A3C">
        <w:rPr>
          <w:rFonts w:cstheme="minorHAnsi"/>
        </w:rPr>
        <w:t>≤</w:t>
      </w:r>
      <w:r w:rsidRPr="00C0372B">
        <w:rPr>
          <w:rFonts w:cstheme="minorHAnsi"/>
        </w:rPr>
        <w:t xml:space="preserve">12 months old), since </w:t>
      </w:r>
      <w:r w:rsidR="000F1671" w:rsidRPr="00455A3C">
        <w:rPr>
          <w:rFonts w:cstheme="minorHAnsi"/>
        </w:rPr>
        <w:t xml:space="preserve">the </w:t>
      </w:r>
      <w:r w:rsidRPr="00C0372B">
        <w:rPr>
          <w:rFonts w:cstheme="minorHAnsi"/>
        </w:rPr>
        <w:t xml:space="preserve">adjustment was done for a complete course of IPTi rather than per dose. </w:t>
      </w:r>
      <w:r w:rsidRPr="00455A3C">
        <w:rPr>
          <w:rFonts w:cstheme="minorHAnsi"/>
        </w:rPr>
        <w:t>The annual number of malaria positives based on microscopy</w:t>
      </w:r>
      <w:r w:rsidR="00DD2485" w:rsidRPr="00455A3C">
        <w:rPr>
          <w:rFonts w:cstheme="minorHAnsi"/>
        </w:rPr>
        <w:t xml:space="preserve"> (PfPR</w:t>
      </w:r>
      <w:r w:rsidR="00AE4B19">
        <w:rPr>
          <w:rFonts w:cstheme="minorHAnsi"/>
        </w:rPr>
        <w:t xml:space="preserve"> in population </w:t>
      </w:r>
      <w:r w:rsidR="00AE4B19" w:rsidRPr="00455A3C">
        <w:rPr>
          <w:rFonts w:cstheme="minorHAnsi"/>
        </w:rPr>
        <w:t>≤12 months of age</w:t>
      </w:r>
      <w:r w:rsidR="00DD2485" w:rsidRPr="00455A3C">
        <w:rPr>
          <w:rFonts w:cstheme="minorHAnsi"/>
        </w:rPr>
        <w:t xml:space="preserve"> * </w:t>
      </w:r>
      <w:r w:rsidR="00AE4B19">
        <w:rPr>
          <w:rFonts w:cstheme="minorHAnsi"/>
        </w:rPr>
        <w:t xml:space="preserve">total </w:t>
      </w:r>
      <w:r w:rsidR="00DD2485" w:rsidRPr="00455A3C">
        <w:rPr>
          <w:rFonts w:cstheme="minorHAnsi"/>
        </w:rPr>
        <w:t>population</w:t>
      </w:r>
      <w:r w:rsidR="00A92DBB" w:rsidRPr="00455A3C">
        <w:rPr>
          <w:rFonts w:cstheme="minorHAnsi"/>
        </w:rPr>
        <w:t xml:space="preserve"> </w:t>
      </w:r>
      <w:r w:rsidR="00FE0795" w:rsidRPr="00455A3C">
        <w:rPr>
          <w:rFonts w:cstheme="minorHAnsi"/>
        </w:rPr>
        <w:t>≤</w:t>
      </w:r>
      <w:r w:rsidR="00A92DBB" w:rsidRPr="00455A3C">
        <w:rPr>
          <w:rFonts w:cstheme="minorHAnsi"/>
        </w:rPr>
        <w:t>12 months</w:t>
      </w:r>
      <w:r w:rsidR="005B1D63" w:rsidRPr="00455A3C">
        <w:rPr>
          <w:rFonts w:cstheme="minorHAnsi"/>
        </w:rPr>
        <w:t xml:space="preserve"> of age</w:t>
      </w:r>
      <w:r w:rsidR="00DD2485" w:rsidRPr="00455A3C">
        <w:rPr>
          <w:rFonts w:cstheme="minorHAnsi"/>
        </w:rPr>
        <w:t>)</w:t>
      </w:r>
      <w:r w:rsidRPr="00455A3C">
        <w:rPr>
          <w:rFonts w:cstheme="minorHAnsi"/>
        </w:rPr>
        <w:t>, number of malaria cases</w:t>
      </w:r>
      <w:r w:rsidR="00276BBC" w:rsidRPr="00455A3C">
        <w:rPr>
          <w:rFonts w:cstheme="minorHAnsi"/>
        </w:rPr>
        <w:t>,</w:t>
      </w:r>
      <w:r w:rsidRPr="00455A3C">
        <w:rPr>
          <w:rFonts w:cstheme="minorHAnsi"/>
        </w:rPr>
        <w:t xml:space="preserve"> and number of malaria deaths per LGA were adjusted</w:t>
      </w:r>
      <w:r w:rsidR="004279AB">
        <w:rPr>
          <w:rFonts w:cstheme="minorHAnsi"/>
        </w:rPr>
        <w:t xml:space="preserve"> for the effectiveness of IPTi </w:t>
      </w:r>
      <w:r w:rsidRPr="00455A3C">
        <w:rPr>
          <w:rFonts w:cstheme="minorHAnsi"/>
        </w:rPr>
        <w:t xml:space="preserve">between 2020 and 2030. </w:t>
      </w:r>
      <w:r w:rsidR="00804212" w:rsidRPr="00455A3C">
        <w:rPr>
          <w:rFonts w:cstheme="minorHAnsi"/>
        </w:rPr>
        <w:t xml:space="preserve">The </w:t>
      </w:r>
      <w:r w:rsidR="002671A9" w:rsidRPr="00455A3C">
        <w:rPr>
          <w:rFonts w:cstheme="minorHAnsi"/>
        </w:rPr>
        <w:t>mean values across all</w:t>
      </w:r>
      <w:r w:rsidR="00804212" w:rsidRPr="00455A3C">
        <w:rPr>
          <w:rFonts w:cstheme="minorHAnsi"/>
        </w:rPr>
        <w:t xml:space="preserve"> </w:t>
      </w:r>
      <w:r w:rsidR="00804212" w:rsidRPr="00C0372B">
        <w:rPr>
          <w:rFonts w:cstheme="minorHAnsi"/>
        </w:rPr>
        <w:t>stochastic realization</w:t>
      </w:r>
      <w:r w:rsidR="002671A9" w:rsidRPr="00455A3C">
        <w:rPr>
          <w:rFonts w:cstheme="minorHAnsi"/>
        </w:rPr>
        <w:t>s</w:t>
      </w:r>
      <w:r w:rsidR="00804212" w:rsidRPr="00C0372B">
        <w:rPr>
          <w:rFonts w:cstheme="minorHAnsi"/>
        </w:rPr>
        <w:t xml:space="preserve"> w</w:t>
      </w:r>
      <w:r w:rsidR="007B6D24" w:rsidRPr="00455A3C">
        <w:rPr>
          <w:rFonts w:cstheme="minorHAnsi"/>
        </w:rPr>
        <w:t>ere</w:t>
      </w:r>
      <w:r w:rsidR="00804212" w:rsidRPr="00C0372B">
        <w:rPr>
          <w:rFonts w:cstheme="minorHAnsi"/>
        </w:rPr>
        <w:t xml:space="preserve"> used. </w:t>
      </w:r>
      <w:r w:rsidRPr="00455A3C">
        <w:rPr>
          <w:rFonts w:eastAsia="Times New Roman" w:cstheme="minorHAnsi"/>
          <w:color w:val="000000"/>
        </w:rPr>
        <w:t xml:space="preserve">The IPTi effectiveness adjustment </w:t>
      </w:r>
      <w:r w:rsidR="004279AB">
        <w:rPr>
          <w:rFonts w:eastAsia="Times New Roman" w:cstheme="minorHAnsi"/>
          <w:color w:val="000000"/>
        </w:rPr>
        <w:t xml:space="preserve">for Scenario 2 </w:t>
      </w:r>
      <w:r w:rsidRPr="00455A3C">
        <w:rPr>
          <w:rFonts w:eastAsia="Times New Roman" w:cstheme="minorHAnsi"/>
          <w:color w:val="000000"/>
        </w:rPr>
        <w:t>was calculated as:</w:t>
      </w:r>
    </w:p>
    <w:p w14:paraId="5B486C94" w14:textId="1951CF7C" w:rsidR="007A11DE" w:rsidRPr="00455A3C" w:rsidRDefault="009C7427" w:rsidP="007A11DE">
      <w:pPr>
        <w:spacing w:after="0" w:line="276" w:lineRule="auto"/>
        <w:ind w:left="1440"/>
        <w:contextualSpacing/>
        <w:rPr>
          <w:rFonts w:eastAsiaTheme="minorEastAsia"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x.adj</m:t>
              </m:r>
            </m:e>
            <m:sub>
              <m:r>
                <w:rPr>
                  <w:rFonts w:ascii="Cambria Math" w:hAnsi="Cambria Math" w:cstheme="minorHAnsi"/>
                </w:rPr>
                <m:t>k</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k</m:t>
              </m:r>
            </m:sub>
          </m:sSub>
          <m:r>
            <w:rPr>
              <w:rFonts w:ascii="Cambria Math" w:hAnsi="Cambria Math" w:cstheme="minorHAnsi"/>
            </w:rPr>
            <m:t>-</m:t>
          </m:r>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k</m:t>
                  </m:r>
                </m:sub>
              </m:sSub>
              <m:r>
                <w:rPr>
                  <w:rFonts w:ascii="Cambria Math" w:hAnsi="Cambria Math" w:cstheme="minorHAnsi"/>
                </w:rPr>
                <m:t>*(1-PE)*C</m:t>
              </m:r>
            </m:e>
          </m:d>
        </m:oMath>
      </m:oMathPara>
    </w:p>
    <w:p w14:paraId="047A47F4" w14:textId="77777777" w:rsidR="007A11DE" w:rsidRPr="00455A3C" w:rsidRDefault="007A11DE" w:rsidP="007A11DE">
      <w:pPr>
        <w:spacing w:after="0" w:line="276" w:lineRule="auto"/>
        <w:ind w:left="1440"/>
        <w:contextualSpacing/>
        <w:rPr>
          <w:rFonts w:eastAsiaTheme="minorEastAsia" w:cstheme="minorHAnsi"/>
        </w:rPr>
      </w:pPr>
    </w:p>
    <w:p w14:paraId="62271B7A" w14:textId="69F25246" w:rsidR="007A11DE" w:rsidRPr="00455A3C" w:rsidRDefault="007A11DE" w:rsidP="00C0372B">
      <w:pPr>
        <w:spacing w:line="276" w:lineRule="auto"/>
        <w:contextualSpacing/>
        <w:rPr>
          <w:rFonts w:eastAsiaTheme="minorEastAsia" w:cstheme="minorHAnsi"/>
        </w:rPr>
      </w:pPr>
      <w:r w:rsidRPr="00C0372B">
        <w:rPr>
          <w:rFonts w:eastAsiaTheme="minorEastAsia" w:cstheme="minorHAnsi"/>
        </w:rPr>
        <w:t>With</w:t>
      </w:r>
      <w:r w:rsidRPr="00455A3C">
        <w:rPr>
          <w:rFonts w:eastAsiaTheme="minorEastAsia" w:cstheme="minorHAnsi"/>
          <w:i/>
          <w:iCs/>
        </w:rPr>
        <w:t xml:space="preserve"> x</w:t>
      </w:r>
      <w:r w:rsidRPr="00455A3C">
        <w:rPr>
          <w:rFonts w:eastAsiaTheme="minorEastAsia" w:cstheme="minorHAnsi"/>
        </w:rPr>
        <w:t xml:space="preserve"> the number of events per outcome (i.e. positives, cases, and deaths)</w:t>
      </w:r>
      <w:r w:rsidR="008D6EA3" w:rsidRPr="00455A3C">
        <w:rPr>
          <w:rFonts w:eastAsiaTheme="minorEastAsia" w:cstheme="minorHAnsi"/>
        </w:rPr>
        <w:t xml:space="preserve"> from simulation</w:t>
      </w:r>
      <w:r w:rsidR="003E306B" w:rsidRPr="00455A3C">
        <w:rPr>
          <w:rFonts w:eastAsiaTheme="minorEastAsia" w:cstheme="minorHAnsi"/>
        </w:rPr>
        <w:t xml:space="preserve"> output</w:t>
      </w:r>
      <w:r w:rsidR="00990F55" w:rsidRPr="00455A3C">
        <w:rPr>
          <w:rFonts w:eastAsiaTheme="minorEastAsia" w:cstheme="minorHAnsi"/>
        </w:rPr>
        <w:t>,</w:t>
      </w:r>
      <w:r w:rsidRPr="00455A3C">
        <w:rPr>
          <w:rFonts w:eastAsiaTheme="minorEastAsia" w:cstheme="minorHAnsi"/>
        </w:rPr>
        <w:t xml:space="preserve"> </w:t>
      </w:r>
      <w:r w:rsidRPr="00455A3C">
        <w:rPr>
          <w:rFonts w:eastAsiaTheme="minorEastAsia" w:cstheme="minorHAnsi"/>
          <w:i/>
          <w:iCs/>
        </w:rPr>
        <w:t>k</w:t>
      </w:r>
      <w:r w:rsidRPr="00455A3C">
        <w:rPr>
          <w:rFonts w:eastAsiaTheme="minorEastAsia" w:cstheme="minorHAnsi"/>
        </w:rPr>
        <w:t xml:space="preserve"> denoting the LGA, </w:t>
      </w:r>
      <w:r w:rsidRPr="00C0372B">
        <w:rPr>
          <w:rFonts w:eastAsiaTheme="minorEastAsia" w:cstheme="minorHAnsi"/>
          <w:i/>
          <w:iCs/>
        </w:rPr>
        <w:t>PE</w:t>
      </w:r>
      <w:r w:rsidRPr="00455A3C">
        <w:rPr>
          <w:rFonts w:eastAsiaTheme="minorEastAsia" w:cstheme="minorHAnsi"/>
        </w:rPr>
        <w:t xml:space="preserve"> the protective efficacy per outcome</w:t>
      </w:r>
      <w:r w:rsidR="004C5E7C" w:rsidRPr="00455A3C">
        <w:rPr>
          <w:rFonts w:eastAsiaTheme="minorEastAsia" w:cstheme="minorHAnsi"/>
        </w:rPr>
        <w:t xml:space="preserve"> separate for mean and confidence limits</w:t>
      </w:r>
      <w:r w:rsidRPr="00455A3C">
        <w:rPr>
          <w:rFonts w:eastAsiaTheme="minorEastAsia" w:cstheme="minorHAnsi"/>
        </w:rPr>
        <w:t xml:space="preserve">, and </w:t>
      </w:r>
      <w:r w:rsidRPr="00C0372B">
        <w:rPr>
          <w:rFonts w:eastAsiaTheme="minorEastAsia" w:cstheme="minorHAnsi"/>
          <w:i/>
          <w:iCs/>
        </w:rPr>
        <w:t>C</w:t>
      </w:r>
      <w:r w:rsidRPr="00455A3C">
        <w:rPr>
          <w:rFonts w:eastAsiaTheme="minorEastAsia" w:cstheme="minorHAnsi"/>
        </w:rPr>
        <w:t xml:space="preserve"> the LGA</w:t>
      </w:r>
      <w:r w:rsidR="00AE4B19">
        <w:rPr>
          <w:rFonts w:eastAsiaTheme="minorEastAsia" w:cstheme="minorHAnsi"/>
        </w:rPr>
        <w:t>-</w:t>
      </w:r>
      <w:r w:rsidRPr="00455A3C">
        <w:rPr>
          <w:rFonts w:eastAsiaTheme="minorEastAsia" w:cstheme="minorHAnsi"/>
        </w:rPr>
        <w:t xml:space="preserve">specific IPTi coverage. </w:t>
      </w:r>
      <w:r w:rsidR="00990F55" w:rsidRPr="00455A3C">
        <w:rPr>
          <w:rFonts w:eastAsiaTheme="minorEastAsia" w:cstheme="minorHAnsi"/>
        </w:rPr>
        <w:t xml:space="preserve">The number of deaths in infants was estimated based on severe cases using the approach described </w:t>
      </w:r>
      <w:r w:rsidR="00604185" w:rsidRPr="00455A3C">
        <w:rPr>
          <w:rFonts w:eastAsiaTheme="minorEastAsia" w:cstheme="minorHAnsi"/>
        </w:rPr>
        <w:t>below in the</w:t>
      </w:r>
      <w:r w:rsidR="00990F55" w:rsidRPr="00455A3C">
        <w:rPr>
          <w:rFonts w:eastAsiaTheme="minorEastAsia" w:cstheme="minorHAnsi"/>
        </w:rPr>
        <w:t xml:space="preserve"> ‘Estimating malaria mortality’ </w:t>
      </w:r>
      <w:r w:rsidR="00604185" w:rsidRPr="00455A3C">
        <w:rPr>
          <w:rFonts w:eastAsiaTheme="minorEastAsia" w:cstheme="minorHAnsi"/>
        </w:rPr>
        <w:t xml:space="preserve">section </w:t>
      </w:r>
      <w:r w:rsidR="00990F55" w:rsidRPr="00455A3C">
        <w:rPr>
          <w:rFonts w:eastAsiaTheme="minorEastAsia" w:cstheme="minorHAnsi"/>
        </w:rPr>
        <w:t xml:space="preserve">and assuming </w:t>
      </w:r>
      <w:r w:rsidR="00317FA0" w:rsidRPr="00455A3C">
        <w:rPr>
          <w:rFonts w:eastAsiaTheme="minorEastAsia" w:cstheme="minorHAnsi"/>
        </w:rPr>
        <w:t xml:space="preserve">the </w:t>
      </w:r>
      <w:r w:rsidR="00990F55" w:rsidRPr="00455A3C">
        <w:rPr>
          <w:rFonts w:eastAsiaTheme="minorEastAsia" w:cstheme="minorHAnsi"/>
        </w:rPr>
        <w:t xml:space="preserve">same case fatality and treatment seeking rates as for children U5. </w:t>
      </w:r>
    </w:p>
    <w:p w14:paraId="09A98F04" w14:textId="2C9682E5" w:rsidR="00BC24BB" w:rsidRPr="00C0372B" w:rsidRDefault="007A11DE" w:rsidP="00C0372B">
      <w:pPr>
        <w:pStyle w:val="Heading3"/>
        <w:numPr>
          <w:ilvl w:val="0"/>
          <w:numId w:val="19"/>
        </w:numPr>
        <w:rPr>
          <w:rFonts w:asciiTheme="minorHAnsi" w:hAnsiTheme="minorHAnsi" w:cstheme="minorHAnsi"/>
          <w:sz w:val="22"/>
          <w:szCs w:val="22"/>
          <w:u w:val="single"/>
        </w:rPr>
      </w:pPr>
      <w:bookmarkStart w:id="19" w:name="_Toc77757590"/>
      <w:r w:rsidRPr="00C0372B">
        <w:rPr>
          <w:rFonts w:asciiTheme="minorHAnsi" w:hAnsiTheme="minorHAnsi" w:cstheme="minorHAnsi"/>
          <w:i/>
          <w:color w:val="auto"/>
          <w:sz w:val="22"/>
          <w:szCs w:val="22"/>
          <w:u w:val="single"/>
        </w:rPr>
        <w:t xml:space="preserve">Malaria infections, cases and deaths averted </w:t>
      </w:r>
      <w:r w:rsidR="00366CE0" w:rsidRPr="00C0372B">
        <w:rPr>
          <w:rFonts w:asciiTheme="minorHAnsi" w:hAnsiTheme="minorHAnsi" w:cstheme="minorHAnsi"/>
          <w:i/>
          <w:color w:val="auto"/>
          <w:sz w:val="22"/>
          <w:szCs w:val="22"/>
          <w:u w:val="single"/>
        </w:rPr>
        <w:t>in U5 and total population</w:t>
      </w:r>
      <w:bookmarkEnd w:id="19"/>
    </w:p>
    <w:p w14:paraId="2A2DC440" w14:textId="278E7213" w:rsidR="00366CE0" w:rsidRPr="00455A3C" w:rsidRDefault="00D97564" w:rsidP="00C0372B">
      <w:pPr>
        <w:rPr>
          <w:rFonts w:cstheme="minorHAnsi"/>
        </w:rPr>
      </w:pPr>
      <w:r w:rsidRPr="00C0372B">
        <w:rPr>
          <w:rFonts w:cstheme="minorHAnsi"/>
        </w:rPr>
        <w:t>T</w:t>
      </w:r>
      <w:r w:rsidR="00366CE0" w:rsidRPr="00C0372B">
        <w:rPr>
          <w:rFonts w:cstheme="minorHAnsi"/>
        </w:rPr>
        <w:t xml:space="preserve">he number of infections, cases and deaths averted in infants due to IPTi were subtracted from the </w:t>
      </w:r>
      <w:r w:rsidR="007A11DE" w:rsidRPr="00C0372B">
        <w:rPr>
          <w:rFonts w:cstheme="minorHAnsi"/>
        </w:rPr>
        <w:t>respective outcomes in the</w:t>
      </w:r>
      <w:r w:rsidR="00366CE0" w:rsidRPr="00C0372B">
        <w:rPr>
          <w:rFonts w:cstheme="minorHAnsi"/>
        </w:rPr>
        <w:t xml:space="preserve"> U5 and total population</w:t>
      </w:r>
      <w:r w:rsidR="00F81A98">
        <w:rPr>
          <w:rFonts w:cstheme="minorHAnsi"/>
        </w:rPr>
        <w:t xml:space="preserve"> per LGA and </w:t>
      </w:r>
      <w:r w:rsidR="00366CE0" w:rsidRPr="00C0372B">
        <w:rPr>
          <w:rFonts w:cstheme="minorHAnsi"/>
        </w:rPr>
        <w:t>year</w:t>
      </w:r>
      <w:r w:rsidRPr="00C0372B">
        <w:rPr>
          <w:rFonts w:cstheme="minorHAnsi"/>
        </w:rPr>
        <w:t xml:space="preserve">. </w:t>
      </w:r>
      <w:r w:rsidR="004618D4">
        <w:rPr>
          <w:rFonts w:cstheme="minorHAnsi"/>
        </w:rPr>
        <w:t>Next</w:t>
      </w:r>
      <w:r w:rsidRPr="00C0372B">
        <w:rPr>
          <w:rFonts w:cstheme="minorHAnsi"/>
        </w:rPr>
        <w:t>, the relative reduction due to IPTi was calculated as the ratio of the adjusted and unadjusted predictions, i.e. number of infections, cases and deaths accounting for events averted in infants due to IPTi</w:t>
      </w:r>
      <w:r w:rsidR="007A11DE" w:rsidRPr="00C0372B">
        <w:rPr>
          <w:rFonts w:cstheme="minorHAnsi"/>
        </w:rPr>
        <w:t>,</w:t>
      </w:r>
      <w:r w:rsidRPr="00C0372B">
        <w:rPr>
          <w:rFonts w:cstheme="minorHAnsi"/>
        </w:rPr>
        <w:t xml:space="preserve"> divided by number of infections, cases and deaths without accounting for ev</w:t>
      </w:r>
      <w:r w:rsidR="00990F55" w:rsidRPr="00C0372B">
        <w:rPr>
          <w:rFonts w:cstheme="minorHAnsi"/>
        </w:rPr>
        <w:t>ents averted in infants</w:t>
      </w:r>
      <w:r w:rsidRPr="00C0372B">
        <w:rPr>
          <w:rFonts w:cstheme="minorHAnsi"/>
        </w:rPr>
        <w:t xml:space="preserve">. </w:t>
      </w:r>
      <w:r w:rsidR="004C5E7C" w:rsidRPr="00C0372B">
        <w:rPr>
          <w:rFonts w:cstheme="minorHAnsi"/>
        </w:rPr>
        <w:t>The calculations were done for mean as well as confidence limits of the IPTi</w:t>
      </w:r>
      <w:r w:rsidR="003D583B" w:rsidRPr="00455A3C">
        <w:rPr>
          <w:rFonts w:cstheme="minorHAnsi"/>
        </w:rPr>
        <w:t xml:space="preserve"> </w:t>
      </w:r>
      <w:r w:rsidR="004C5E7C" w:rsidRPr="00C0372B">
        <w:rPr>
          <w:rFonts w:cstheme="minorHAnsi"/>
        </w:rPr>
        <w:t>PE’s.</w:t>
      </w:r>
    </w:p>
    <w:p w14:paraId="0EDFBD3E" w14:textId="47FD5606" w:rsidR="00366CE0" w:rsidRPr="00455A3C" w:rsidRDefault="007A11DE" w:rsidP="00C0372B">
      <w:pPr>
        <w:pStyle w:val="Heading3"/>
        <w:numPr>
          <w:ilvl w:val="0"/>
          <w:numId w:val="19"/>
        </w:numPr>
        <w:rPr>
          <w:rFonts w:asciiTheme="minorHAnsi" w:hAnsiTheme="minorHAnsi" w:cstheme="minorHAnsi"/>
          <w:i/>
          <w:color w:val="auto"/>
          <w:sz w:val="22"/>
          <w:szCs w:val="22"/>
          <w:u w:val="single"/>
        </w:rPr>
      </w:pPr>
      <w:bookmarkStart w:id="20" w:name="_Toc77757591"/>
      <w:r w:rsidRPr="00455A3C">
        <w:rPr>
          <w:rFonts w:asciiTheme="minorHAnsi" w:hAnsiTheme="minorHAnsi" w:cstheme="minorHAnsi"/>
          <w:i/>
          <w:color w:val="auto"/>
          <w:sz w:val="22"/>
          <w:szCs w:val="22"/>
          <w:u w:val="single"/>
        </w:rPr>
        <w:t>Use of r</w:t>
      </w:r>
      <w:r w:rsidR="00366CE0" w:rsidRPr="00455A3C">
        <w:rPr>
          <w:rFonts w:asciiTheme="minorHAnsi" w:hAnsiTheme="minorHAnsi" w:cstheme="minorHAnsi"/>
          <w:i/>
          <w:color w:val="auto"/>
          <w:sz w:val="22"/>
          <w:szCs w:val="22"/>
          <w:u w:val="single"/>
        </w:rPr>
        <w:t>elative reductions</w:t>
      </w:r>
      <w:r w:rsidRPr="00455A3C">
        <w:rPr>
          <w:rFonts w:asciiTheme="minorHAnsi" w:hAnsiTheme="minorHAnsi" w:cstheme="minorHAnsi"/>
          <w:i/>
          <w:color w:val="auto"/>
          <w:sz w:val="22"/>
          <w:szCs w:val="22"/>
          <w:u w:val="single"/>
        </w:rPr>
        <w:t xml:space="preserve"> per age group</w:t>
      </w:r>
      <w:r w:rsidR="00366CE0" w:rsidRPr="00455A3C">
        <w:rPr>
          <w:rFonts w:asciiTheme="minorHAnsi" w:hAnsiTheme="minorHAnsi" w:cstheme="minorHAnsi"/>
          <w:i/>
          <w:color w:val="auto"/>
          <w:sz w:val="22"/>
          <w:szCs w:val="22"/>
          <w:u w:val="single"/>
        </w:rPr>
        <w:t xml:space="preserve"> as scaling factors </w:t>
      </w:r>
      <w:r w:rsidRPr="00455A3C">
        <w:rPr>
          <w:rFonts w:asciiTheme="minorHAnsi" w:hAnsiTheme="minorHAnsi" w:cstheme="minorHAnsi"/>
          <w:i/>
          <w:color w:val="auto"/>
          <w:sz w:val="22"/>
          <w:szCs w:val="22"/>
          <w:u w:val="single"/>
        </w:rPr>
        <w:t>for IPTi effectiveness</w:t>
      </w:r>
      <w:bookmarkEnd w:id="20"/>
    </w:p>
    <w:p w14:paraId="0075F7BF" w14:textId="6D8C12BE" w:rsidR="00366CE0" w:rsidRPr="00455A3C" w:rsidRDefault="00A2556F" w:rsidP="00C0372B">
      <w:pPr>
        <w:rPr>
          <w:rFonts w:cstheme="minorHAnsi"/>
        </w:rPr>
      </w:pPr>
      <w:r w:rsidRPr="00C0372B">
        <w:rPr>
          <w:rFonts w:cstheme="minorHAnsi"/>
        </w:rPr>
        <w:t>To combine the adjustment for effectiveness of IPTi with the adjustment for IPTp effectiveness</w:t>
      </w:r>
      <w:r w:rsidR="004C5E7C" w:rsidRPr="00C0372B">
        <w:rPr>
          <w:rFonts w:cstheme="minorHAnsi"/>
        </w:rPr>
        <w:t xml:space="preserve"> in children U5 and the total population</w:t>
      </w:r>
      <w:r w:rsidRPr="00C0372B">
        <w:rPr>
          <w:rFonts w:cstheme="minorHAnsi"/>
        </w:rPr>
        <w:t xml:space="preserve">, the calculated relative reductions were used as scaling factors and applied on the predictions after these were adjusted for IPTp. </w:t>
      </w:r>
      <w:r w:rsidR="00990F55" w:rsidRPr="00C0372B">
        <w:rPr>
          <w:rFonts w:cstheme="minorHAnsi"/>
        </w:rPr>
        <w:t xml:space="preserve">However, as the intervention targets </w:t>
      </w:r>
      <w:r w:rsidR="00F81A98">
        <w:rPr>
          <w:rFonts w:cstheme="minorHAnsi"/>
        </w:rPr>
        <w:t xml:space="preserve">were </w:t>
      </w:r>
      <w:r w:rsidR="00990F55" w:rsidRPr="00C0372B">
        <w:rPr>
          <w:rFonts w:cstheme="minorHAnsi"/>
        </w:rPr>
        <w:t>infants, t</w:t>
      </w:r>
      <w:r w:rsidR="004C5E7C" w:rsidRPr="00C0372B">
        <w:rPr>
          <w:rFonts w:cstheme="minorHAnsi"/>
        </w:rPr>
        <w:t>he effect on older age groups and</w:t>
      </w:r>
      <w:r w:rsidR="00990F55" w:rsidRPr="00C0372B">
        <w:rPr>
          <w:rFonts w:cstheme="minorHAnsi"/>
        </w:rPr>
        <w:t xml:space="preserve"> the total population </w:t>
      </w:r>
      <w:r w:rsidR="000C7460">
        <w:rPr>
          <w:rFonts w:cstheme="minorHAnsi"/>
        </w:rPr>
        <w:t>was</w:t>
      </w:r>
      <w:r w:rsidR="00990F55" w:rsidRPr="00C0372B">
        <w:rPr>
          <w:rFonts w:cstheme="minorHAnsi"/>
        </w:rPr>
        <w:t xml:space="preserve"> negligible. </w:t>
      </w:r>
    </w:p>
    <w:p w14:paraId="01074B8A" w14:textId="77777777" w:rsidR="00F75E00" w:rsidRPr="00455A3C" w:rsidRDefault="00F75E00" w:rsidP="00C0372B">
      <w:pPr>
        <w:spacing w:line="276" w:lineRule="auto"/>
        <w:rPr>
          <w:rFonts w:eastAsia="Times New Roman" w:cstheme="minorHAnsi"/>
          <w:color w:val="000000"/>
        </w:rPr>
      </w:pPr>
    </w:p>
    <w:p w14:paraId="1693DF82" w14:textId="15A9E677" w:rsidR="004459BF" w:rsidRPr="00455A3C" w:rsidRDefault="001009AD" w:rsidP="005354EA">
      <w:pPr>
        <w:pStyle w:val="Heading1"/>
        <w:spacing w:before="0" w:line="276" w:lineRule="auto"/>
        <w:contextualSpacing/>
        <w:rPr>
          <w:rFonts w:asciiTheme="minorHAnsi" w:hAnsiTheme="minorHAnsi" w:cstheme="minorHAnsi"/>
          <w:i/>
          <w:color w:val="auto"/>
          <w:sz w:val="22"/>
          <w:szCs w:val="22"/>
        </w:rPr>
      </w:pPr>
      <w:bookmarkStart w:id="21" w:name="_Toc77757592"/>
      <w:r w:rsidRPr="00455A3C">
        <w:rPr>
          <w:rFonts w:asciiTheme="minorHAnsi" w:eastAsia="Times New Roman" w:hAnsiTheme="minorHAnsi" w:cstheme="minorHAnsi"/>
          <w:color w:val="auto"/>
          <w:sz w:val="22"/>
          <w:szCs w:val="22"/>
          <w:u w:val="single"/>
        </w:rPr>
        <w:t>Estimating malaria mortality</w:t>
      </w:r>
      <w:bookmarkEnd w:id="21"/>
    </w:p>
    <w:p w14:paraId="0AA46F29" w14:textId="71F0E79F" w:rsidR="00C449D4" w:rsidRPr="00455A3C" w:rsidRDefault="00494E03" w:rsidP="005354EA">
      <w:pPr>
        <w:spacing w:line="276" w:lineRule="auto"/>
        <w:rPr>
          <w:rFonts w:cstheme="minorHAnsi"/>
        </w:rPr>
      </w:pPr>
      <w:r>
        <w:rPr>
          <w:rFonts w:cstheme="minorHAnsi"/>
        </w:rPr>
        <w:t>Several sources of mortality were</w:t>
      </w:r>
      <w:r w:rsidR="009F4B15" w:rsidRPr="00455A3C">
        <w:rPr>
          <w:rFonts w:cstheme="minorHAnsi"/>
        </w:rPr>
        <w:t xml:space="preserve"> included in the analyses: 1) mortality from severe malaria, 2) maternal mortality from severe anemia caused by malaria in pregnancy, and 3) infant mortality resulting from low birth weight that occurred due to malaria in pregnancy. </w:t>
      </w:r>
    </w:p>
    <w:p w14:paraId="344DEAA9" w14:textId="2AF8DA50" w:rsidR="00447CB5" w:rsidRPr="00455A3C" w:rsidRDefault="001D2BE1" w:rsidP="005354EA">
      <w:pPr>
        <w:pStyle w:val="Heading2"/>
        <w:spacing w:line="276" w:lineRule="auto"/>
        <w:rPr>
          <w:rFonts w:asciiTheme="minorHAnsi" w:hAnsiTheme="minorHAnsi" w:cstheme="minorHAnsi"/>
          <w:sz w:val="22"/>
          <w:szCs w:val="22"/>
        </w:rPr>
      </w:pPr>
      <w:bookmarkStart w:id="22" w:name="_Toc77757593"/>
      <w:r w:rsidRPr="00455A3C">
        <w:rPr>
          <w:rFonts w:asciiTheme="minorHAnsi" w:hAnsiTheme="minorHAnsi" w:cstheme="minorHAnsi"/>
          <w:sz w:val="22"/>
          <w:szCs w:val="22"/>
        </w:rPr>
        <w:t>Mortality from treated and untreated severe malaria</w:t>
      </w:r>
      <w:bookmarkEnd w:id="22"/>
      <w:r w:rsidR="00EB3D19" w:rsidRPr="00455A3C">
        <w:rPr>
          <w:rFonts w:asciiTheme="minorHAnsi" w:hAnsiTheme="minorHAnsi" w:cstheme="minorHAnsi"/>
          <w:sz w:val="22"/>
          <w:szCs w:val="22"/>
        </w:rPr>
        <w:t xml:space="preserve"> </w:t>
      </w:r>
    </w:p>
    <w:p w14:paraId="762E5FEE" w14:textId="31098C69" w:rsidR="001D2BE1" w:rsidRPr="00455A3C" w:rsidRDefault="001D2BE1" w:rsidP="005354EA">
      <w:pPr>
        <w:spacing w:after="0" w:line="276" w:lineRule="auto"/>
        <w:contextualSpacing/>
        <w:rPr>
          <w:rFonts w:cstheme="minorHAnsi"/>
        </w:rPr>
      </w:pPr>
      <w:r w:rsidRPr="00455A3C">
        <w:rPr>
          <w:rFonts w:cstheme="minorHAnsi"/>
        </w:rPr>
        <w:t xml:space="preserve">The estimated case fatality rates </w:t>
      </w:r>
      <w:r w:rsidR="00176EF3" w:rsidRPr="00455A3C">
        <w:rPr>
          <w:rFonts w:cstheme="minorHAnsi"/>
        </w:rPr>
        <w:t xml:space="preserve">(CFR) </w:t>
      </w:r>
      <w:r w:rsidRPr="00455A3C">
        <w:rPr>
          <w:rFonts w:cstheme="minorHAnsi"/>
        </w:rPr>
        <w:t xml:space="preserve">for treated severe malaria varies widely between studies and study sites, and most studies that examine the fatality rates among hospitalized severe cases look only at hospitalized children </w:t>
      </w:r>
      <w:r w:rsidR="00BE2C0B" w:rsidRPr="00C0372B">
        <w:rPr>
          <w:rFonts w:cstheme="minorHAnsi"/>
        </w:rPr>
        <w:fldChar w:fldCharType="begin" w:fldLock="1"/>
      </w:r>
      <w:r w:rsidR="00C72B9D">
        <w:rPr>
          <w:rFonts w:cstheme="minorHAnsi"/>
        </w:rPr>
        <w:instrText>ADDIN CSL_CITATION {"citationItems":[{"id":"ITEM-1","itemData":{"DOI":"10.4269/ajtmh.1998.59.539","ISSN":"00029637","PMID":"9790426","abstract":"We analyzed the clinical presentation of 800 severe malaria cases six months to 15 years of age (mean ± SD = 4.3 ± 3.0) recruited at the pediatric ward of the Ouagadougou University Hospital, and at the Sourou and Nayala District Hospitals in Burkina Faso. Inclusion criteria followed the World Health Organization (WHO) definition of severe and complicated malaria. The children were treated according to WHO guidelines with a complete regimen of drugs that were provided free of charge as part of the study. The case fatality rate of each sign and symptom of severe malaria was calculated on the 686 children whose outcomes were known. A total of 95 patients (13.8%) died while in the hospital; the mean ± SD age of these children was 3.2 ± 2.1 years. The age distribution and the clinical patterns of severe malaria was compared in patients from the urban areas of Ouagadougou characterized by relatively low transmission, and from rural areas where the mean inoculation rates are at least 20-fold higher. The mean ± SD age of the urban and rural patients was 4.8 ± 3.0 and 2.2 1.9 years, respectively (P &lt; 0.001). The prevalence of coma was higher in the urban subsample (53.6% versus 28.9%; P &lt;&lt; 0.001) while that of severe anemia (hemoglobin &lt; 5 g/dL) was higher in rural patients (47.4% versus 14.8%; P &lt; 0.001). Our data, in line with previous results obtained comparing rural areas characterized by different inoculation rates, show that the epidemiologic context influences the clinical presentation of severe malaria.","author":[{"dropping-particle":"","family":"Modiano","given":"D.","non-dropping-particle":"","parse-names":false,"suffix":""},{"dropping-particle":"","family":"Sirima","given":"B. S.","non-dropping-particle":"","parse-names":false,"suffix":""},{"dropping-particle":"","family":"Sawadogo","given":"A.","non-dropping-particle":"","parse-names":false,"suffix":""},{"dropping-particle":"","family":"Sanou","given":"I.","non-dropping-particle":"","parse-names":false,"suffix":""},{"dropping-particle":"","family":"Paré","given":"J.","non-dropping-particle":"","parse-names":false,"suffix":""},{"dropping-particle":"","family":"Konaté","given":"A.","non-dropping-particle":"","parse-names":false,"suffix":""},{"dropping-particle":"","family":"Pagnoni","given":"F.","non-dropping-particle":"","parse-names":false,"suffix":""}],"container-title":"American Journal of Tropical Medicine and Hygiene","id":"ITEM-1","issue":"4","issued":{"date-parts":[["1998"]]},"page":"539-542","publisher":"American Society of Tropical Medicine and Hygiene","title":"Severe malaria in Burkina Faso: Influence of age and transmission level on clinical presentation","type":"article-journal","volume":"59"},"uris":["http://www.mendeley.com/documents/?uuid=0c81bd18-8ce4-363c-a8f4-cc0ec6ea969c"]},{"id":"ITEM-2","itemData":{"DOI":"10.1086/589288","ISSN":"10584838","PMID":"18564928","author":[{"dropping-particle":"","family":"Olliaro","given":"Piero","non-dropping-particle":"","parse-names":false,"suffix":""}],"container-title":"Clinical Infectious Diseases","id":"ITEM-2","issue":"2","issued":{"date-parts":[["2008","7","15"]]},"page":"158-160","publisher":"Clin Infect Dis","title":"Mortality associated with severe Plasmodium falciparum malaria increases with age","type":"article","volume":"47"},"uris":["http://www.mendeley.com/documents/?uuid=de1e9f68-5175-3947-835a-d80f7fb85196"]},{"id":"ITEM-3","itemData":{"DOI":"10.1016/S0140-6736(10)61924-1","ISSN":"0140-6736","abstract":"BackgroundSevere malaria is a major cause of childhood death and often the main reason for paediatric hospital admission in sub-Saharan Africa. Quinine is still the established treatment of choice, although evidence from Asia suggests that artesunate is associated with a lower mortality. We compared parenteral treatment with either artesunate or quinine in African children with severe malaria.","author":[{"dropping-particle":"","family":"Dondorp","given":"Arjen M","non-dropping-particle":"","parse-names":false,"suffix":""},{"dropping-particle":"","family":"Fanello","given":"Caterina I","non-dropping-particle":"","parse-names":false,"suffix":""},{"dropping-particle":"","family":"Hendriksen","given":"Ilse C E","non-dropping-particle":"","parse-names":false,"suffix":""},{"dropping-particle":"","family":"Gomes","given":"Ermelinda","non-dropping-particle":"","parse-names":false,"suffix":""},{"dropping-particle":"","family":"Seni","given":"Amir","non-dropping-particle":"","parse-names":false,"suffix":""},{"dropping-particle":"","family":"Chhaganlal","given":"Kajal D","non-dropping-particle":"","parse-names":false,"suffix":""},{"dropping-particle":"","family":"Bojang","given":"Kalifa","non-dropping-particle":"","parse-names":false,"suffix":""},{"dropping-particle":"","family":"Olaosebikan","given":"Rasaq","non-dropping-particle":"","parse-names":false,"suffix":""},{"dropping-particle":"","family":"Anunobi","given":"Nkechinyere","non-dropping-particle":"","parse-names":false,"suffix":""},{"dropping-particle":"","family":"Maitland","given":"Kathryn","non-dropping-particle":"","parse-names":false,"suffix":""},{"dropping-particle":"","family":"Kivaya","given":"Esther","non-dropping-particle":"","parse-names":false,"suffix":""},{"dropping-particle":"","family":"Agbenyega","given":"Tsiri","non-dropping-particle":"","parse-names":false,"suffix":""},{"dropping-particle":"","family":"Nguah","given":"Samuel Blay","non-dropping-particle":"","parse-names":false,"suffix":""},{"dropping-particle":"","family":"Evans","given":"Jennifer","non-dropping-particle":"","parse-names":false,"suffix":""},{"dropping-particle":"","family":"Gesase","given":"Samwel","non-dropping-particle":"","parse-names":false,"suffix":""},{"dropping-particle":"","family":"Kahabuka","given":"Catherine","non-dropping-particle":"","parse-names":false,"suffix":""},{"dropping-particle":"","family":"Mtove","given":"George","non-dropping-particle":"","parse-names":false,"suffix":""},{"dropping-particle":"","family":"Nadjm","given":"Behzad","non-dropping-particle":"","parse-names":false,"suffix":""},{"dropping-particle":"","family":"Deen","given":"Jacqueline","non-dropping-particle":"","parse-names":false,"suffix":""},{"dropping-particle":"","family":"Mwanga-Amumpaire","given":"Juliet","non-dropping-particle":"","parse-names":false,"suffix":""},{"dropping-particle":"","family":"Nansumba","given":"Margaret","non-dropping-particle":"","parse-names":false,"suffix":""},{"dropping-particle":"","family":"Karema","given":"Corine","non-dropping-particle":"","parse-names":false,"suffix":""},{"dropping-particle":"","family":"Umulisa","given":"Noella","non-dropping-particle":"","parse-names":false,"suffix":""},{"dropping-particle":"","family":"Uwimana","given":"Aline","non-dropping-particle":"","parse-names":false,"suffix":""},{"dropping-particle":"","family":"Mokuolu","given":"Olugbenga A","non-dropping-particle":"","parse-names":false,"suffix":""},{"dropping-particle":"","family":"Adedoyin","given":"Olanrewaju T","non-dropping-particle":"","parse-names":false,"suffix":""},{"dropping-particle":"","family":"Johnson","given":"Wahab B R","non-dropping-particle":"","parse-names":false,"suffix":""},{"dropping-particle":"","family":"Tshefu","given":"Antoinette K","non-dropping-particle":"","parse-names":false,"suffix":""},{"dropping-particle":"","family":"Onyamboko","given":"Marie A","non-dropping-particle":"","parse-names":false,"suffix":""},{"dropping-particle":"","family":"Sakulthaew","given":"Tharisara","non-dropping-particle":"","parse-names":false,"suffix":""},{"dropping-particle":"","family":"Ngum","given":"Wirichada Pan","non-dropping-particle":"","parse-names":false,"suffix":""},{"dropping-particle":"","family":"Silamut","given":"Kamolrat","non-dropping-particle":"","parse-names":false,"suffix":""},{"dropping-particle":"","family":"Stepniewska","given":"Kasia","non-dropping-particle":"","parse-names":false,"suffix":""},{"dropping-particle":"","family":"Woodrow","given":"Charles J","non-dropping-particle":"","parse-names":false,"suffix":""},{"dropping-particle":"","family":"Bethell","given":"Delia","non-dropping-particle":"","parse-names":false,"suffix":""},{"dropping-particle":"","family":"Wills","given":"Bridget","non-dropping-particle":"","parse-names":false,"suffix":""},{"dropping-particle":"","family":"Oneko","given":"Martina","non-dropping-particle":"","parse-names":false,"suffix":""},{"dropping-particle":"","family":"Peto","given":"Tim E","non-dropping-particle":"","parse-names":false,"suffix":""},{"dropping-particle":"","family":"Seidlein","given":"Lorenz","non-dropping-particle":"von","parse-names":false,"suffix":""},{"dropping-particle":"","family":"Day","given":"Nicholas P J","non-dropping-particle":"","parse-names":false,"suffix":""},{"dropping-particle":"","family":"White","given":"Nicholas J","non-dropping-particle":"","parse-names":false,"suffix":""}],"container-title":"The Lancet","id":"ITEM-3","issue":"9753","issued":{"date-parts":[["2010","11"]]},"page":"1647-1657","publisher":"Elsevier","title":"Artesunate versus quinine in the treatment of severe falciparum malaria in African children (AQUAMAT): an open-label, randomised trial","type":"article-journal","volume":"376"},"uris":["http://www.mendeley.com/documents/?uuid=673ff50d-774e-4f88-9eb8-38d4de7cca1c"]},{"id":"ITEM-4","itemData":{"DOI":"10.1093/cid/cis034","ISSN":"10584838","PMID":"22412067","abstract":"Background. Data from the largest randomized, controlled trial for the treatment of children hospitalized with severe malaria were used to identify such predictors of a poor outcome from severe malaria.Methods.African children (&lt;15 years) with severe malaria participated in a randomized comparison of parenteral artesunate and parenteral quinine in 9 African countries. Detailed clinical assessment was performed on admission. Parasite densities were assessed in a reference laboratory. Predictors of death were examined using a multivariate logistic regression model. Results. Twenty indicators of disease severity were assessed, out of which 5 (base deficit, impaired consciousness, convulsions, elevated blood urea, and underlying chronic illness) were associated independently with death. Tachypnea, respiratory distress, deep breathing, shock, prostration, low pH, hyperparasitemia, severe anemia, and jaundice were statistically significant indicators of death in the univariate analysis but not in the multivariate model. Age, glucose levels, axillary temperature, parasite density, heart rate, blood pressure, and blackwater fever were not related to death in univariate models. Conclusions. Acidosis, cerebral involvement, renal impairment, and chronic illness are key independent predictors for a poor outcome in African children with severe malaria. Mortality is markedly increased in cerebral malaria combined with acidosis.Clinical Trial Registration.ISRCTN50258054. © 2012 The Author.","author":[{"dropping-particle":"","family":"Seidlein","given":"Lorenz","non-dropping-particle":"Von","parse-names":false,"suffix":""},{"dropping-particle":"","family":"Olaosebikan","given":"Rasaq","non-dropping-particle":"","parse-names":false,"suffix":""},{"dropping-particle":"","family":"Hendriksen","given":"Ilse C.E.","non-dropping-particle":"","parse-names":false,"suffix":""},{"dropping-particle":"","family":"Lee","given":"Sue J.","non-dropping-particle":"","parse-names":false,"suffix":""},{"dropping-particle":"","family":"Adedoyin","given":"Olanrewaju Timothy","non-dropping-particle":"","parse-names":false,"suffix":""},{"dropping-particle":"","family":"Agbenyega","given":"Tsiri","non-dropping-particle":"","parse-names":false,"suffix":""},{"dropping-particle":"","family":"Nguah","given":"Samuel Blay","non-dropping-particle":"","parse-names":false,"suffix":""},{"dropping-particle":"","family":"Bojang","given":"Kalifa","non-dropping-particle":"","parse-names":false,"suffix":""},{"dropping-particle":"","family":"Deen","given":"Jacqueline L.","non-dropping-particle":"","parse-names":false,"suffix":""},{"dropping-particle":"","family":"Evans","given":"Jennifer","non-dropping-particle":"","parse-names":false,"suffix":""},{"dropping-particle":"","family":"Fanello","given":"Caterina I.","non-dropping-particle":"","parse-names":false,"suffix":""},{"dropping-particle":"","family":"Gomes","given":"Ermelinda","non-dropping-particle":"","parse-names":false,"suffix":""},{"dropping-particle":"","family":"Pedro","given":"Alínia José","non-dropping-particle":"","parse-names":false,"suffix":""},{"dropping-particle":"","family":"Kahabuka","given":"Catherine","non-dropping-particle":"","parse-names":false,"suffix":""},{"dropping-particle":"","family":"Karema","given":"Corine","non-dropping-particle":"","parse-names":false,"suffix":""},{"dropping-particle":"","family":"Kivaya","given":"Esther","non-dropping-particle":"","parse-names":false,"suffix":""},{"dropping-particle":"","family":"Maitland","given":"Kathryn","non-dropping-particle":"","parse-names":false,"suffix":""},{"dropping-particle":"","family":"Mokuolu","given":"Olugbenga A.","non-dropping-particle":"","parse-names":false,"suffix":""},{"dropping-particle":"","family":"Mtove","given":"George","non-dropping-particle":"","parse-names":false,"suffix":""},{"dropping-particle":"","family":"Mwanga-Amumpaire","given":"Juliet","non-dropping-particle":"","parse-names":false,"suffix":""},{"dropping-particle":"","family":"Nadjm","given":"Behzad","non-dropping-particle":"","parse-names":false,"suffix":""},{"dropping-particle":"","family":"Nansumba","given":"Margaret","non-dropping-particle":"","parse-names":false,"suffix":""},{"dropping-particle":"","family":"Ngum","given":"Wirichada Pan","non-dropping-particle":"","parse-names":false,"suffix":""},{"dropping-particle":"","family":"Onyamboko","given":"Marie A.","non-dropping-particle":"","parse-names":false,"suffix":""},{"dropping-particle":"","family":"Reyburn","given":"Hugh","non-dropping-particle":"","parse-names":false,"suffix":""},{"dropping-particle":"","family":"Sakulthaew","given":"Tharisara","non-dropping-particle":"","parse-names":false,"suffix":""},{"dropping-particle":"","family":"Silamut","given":"Kamolrat","non-dropping-particle":"","parse-names":false,"suffix":""},{"dropping-particle":"","family":"Tshefu","given":"Antoinette K.","non-dropping-particle":"","parse-names":false,"suffix":""},{"dropping-particle":"","family":"Umulisa","given":"Noella","non-dropping-particle":"","parse-names":false,"suffix":""},{"dropping-particle":"","family":"Gesase","given":"Samwel","non-dropping-particle":"","parse-names":false,"suffix":""},{"dropping-particle":"","family":"Day","given":"Nicholas P.J.","non-dropping-particle":"","parse-names":false,"suffix":""},{"dropping-particle":"","family":"White","given":"Nicholas J.","non-dropping-particle":"","parse-names":false,"suffix":""},{"dropping-particle":"","family":"Dondorp","given":"Arjen M.","non-dropping-particle":"","parse-names":false,"suffix":""}],"container-title":"Clinical Infectious Diseases","id":"ITEM-4","issue":"8","issued":{"date-parts":[["2012","4","15"]]},"page":"1080-1090","publisher":"Clin Infect Dis","title":"Predicting the clinical outcome of severe falciparum malaria in African children: Findings from a large randomized trial","type":"article-journal","volume":"54"},"uris":["http://www.mendeley.com/documents/?uuid=9aa19b72-5039-3f2d-8939-93107c1fc8a0"]},{"id":"ITEM-5","itemData":{"DOI":"10.1186/s12936-016-1650-6","ISSN":"14752875","PMID":"28049519","abstract":"Background: Appropriate treatment of life-threatening Plasmodium falciparum malaria requires in-patient care. Although the proportion of severe cases accessing in-patient care in endemic settings strongly affects overall case fatality rates and thus disease burden, this proportion is generally unknown. At present, estimates of malaria mortality are driven by prevalence or overall clinical incidence data, ignoring differences in case fatality resulting from variations in access. Consequently, the overall impact of preventive interventions on disease burden have not been validly compared with those of improvements in access to case management or its quality. Methods: Using a simulation-based approach, severe malaria admission rates and the subsequent severe malaria disease and mortality rates for 41 malaria endemic countries of sub-Saharan Africa were estimated. Country differences in transmission and health care settings were captured by use of high spatial resolution data on demographics and falciparum malaria prevalence, as well as national level estimates of effective coverage of treatment for uncomplicated malaria. Reported and modelled estimates of cases, admissions and malaria deaths from the World Malaria Report, along with predicted burden from simulations, were combined to provide revised estimates of access to in-patient care and case fatality rates. Results: There is substantial variation between countries’ in-patient admission rates and estimated levels of case fatality rates. It was found that for many African countries, most patients admitted for in-patient treatment would not meet strict criteria for severe disease and that for some countries only a small proportion of the total severe cases are admitted. Estimates are highly sensitive to the assumed community case fatality rates. Re-estimation of national level malaria mortality rates suggests that there is substantial burden attributable to inefficient in-patient access and treatment of severe disease. Conclusions: The model-based methods proposed here offer a standardized approach to estimate the numbers of severe malaria cases and deaths based on national level reporting, allowing for coverage of both curative and preventive interventions. This makes possible direct comparisons of the potential benefits of scaling-up either category of interventions. The profound uncertainties around these estimates highlight the need for better data.","author":[{"dropping-particle":"","family":"Camponovo","given":"Flavia","non-dropping-particle":"","parse-names":false,"suffix":""},{"dropping-particle":"","family":"Bever","given":"Caitlin A.","non-dropping-particle":"","parse-names":false,"suffix":""},{"dropping-particle":"","family":"Galactionova","given":"Katya","non-dropping-particle":"","parse-names":false,"suffix":""},{"dropping-particle":"","family":"Smith","given":"Thomas","non-dropping-particle":"","parse-names":false,"suffix":""},{"dropping-particle":"","family":"Penny","given":"Melissa A.","non-dropping-particle":"","parse-names":false,"suffix":""}],"container-title":"Malaria Journal","id":"ITEM-5","issue":"1","issued":{"date-parts":[["2017","1","3"]]},"page":"1-12","publisher":"BioMed Central","title":"Incidence and admission rates for severe malaria and their impact on mortality in Africa","type":"article-journal","volume":"16"},"uris":["http://www.mendeley.com/documents/?uuid=af2871fa-d1a0-36f0-bbf3-54245509af1a"]},{"id":"ITEM-6","itemData":{"DOI":"10.1016/S0035-9203(01)90104-X","ISSN":"0035-9203","abstract":"We conducted a meta-analysis using individual patient data from randomized controlled trials comparing artemether and quinine in severe falciparum malaria. Eleven trials were identified, of which 8 were clearly randomized. Original individual patient data on 1919 patients were obtained from 7 trials, representing 85% of the patients in the original 11 studies. Overall there were 136 deaths among the 961 patients treated with artemether, compared with 164 in the 958 treated with quinine [14% vs 17%, odds ratio (95% confidence interval) 0·8 (0·62 to 1·02), P = 0·08]. There were no differences between the 2 treatment groups in coma recovery or fever clearance times, or the development of neurological sequelae. However, the combined ‘adverse outcome’ of either death or neurological sequelae was significantly less common in the artemether group [odds ratio (95% CI) 0·77 (0·62 to 0·96), P = 0·02], and treatment with artemether was associated with significantly faster parasite clearance [hazard ratio (95% CI) 0·62 (0·56 to 0·69), P &amp;lt; 0·001]. In subgroup analyses artemether was associated with a significantly lower mortality than quinine in adults with multisystem failure. In the treatment of severe falciparum malaria artemether is at least as effective as quinine in terms of mortality and superior to quinine in terms of overall serious adverse events. There was no evidence of clinical neurotoxicity or any other major side-effects associated with its use.","author":[{"dropping-particle":"","family":"Group†","given":"The Artemether-Quinine Meta-analysis Study","non-dropping-particle":"","parse-names":false,"suffix":""}],"container-title":"Transactions of The Royal Society of Tropical Medicine and Hygiene","id":"ITEM-6","issue":"6","issued":{"date-parts":[["2001","11"]]},"page":"637-650","title":"A meta-analysis using individual patient data of trials comparing artemether with quinine in the treatment of severe falciparum malaria","type":"article-journal","volume":"95"},"uris":["http://www.mendeley.com/documents/?uuid=6a448c1a-5d26-4acc-a661-ecc95cbfcf23"]}],"mendeley":{"formattedCitation":"[23–28]","plainTextFormattedCitation":"[23–28]","previouslyFormattedCitation":"[23–28]"},"properties":{"noteIndex":0},"schema":"https://github.com/citation-style-language/schema/raw/master/csl-citation.json"}</w:instrText>
      </w:r>
      <w:r w:rsidR="00BE2C0B" w:rsidRPr="00C0372B">
        <w:rPr>
          <w:rFonts w:cstheme="minorHAnsi"/>
        </w:rPr>
        <w:fldChar w:fldCharType="separate"/>
      </w:r>
      <w:r w:rsidR="00D540A2" w:rsidRPr="00D540A2">
        <w:rPr>
          <w:rFonts w:cstheme="minorHAnsi"/>
          <w:noProof/>
        </w:rPr>
        <w:t>[23–28]</w:t>
      </w:r>
      <w:r w:rsidR="00BE2C0B" w:rsidRPr="00C0372B">
        <w:rPr>
          <w:rFonts w:cstheme="minorHAnsi"/>
        </w:rPr>
        <w:fldChar w:fldCharType="end"/>
      </w:r>
      <w:r w:rsidRPr="00455A3C">
        <w:rPr>
          <w:rFonts w:cstheme="minorHAnsi"/>
        </w:rPr>
        <w:t xml:space="preserve">. Our estimate of </w:t>
      </w:r>
      <w:r w:rsidR="00176EF3" w:rsidRPr="00455A3C">
        <w:rPr>
          <w:rFonts w:cstheme="minorHAnsi"/>
        </w:rPr>
        <w:t>CFR</w:t>
      </w:r>
      <w:r w:rsidRPr="00455A3C">
        <w:rPr>
          <w:rFonts w:cstheme="minorHAnsi"/>
        </w:rPr>
        <w:t xml:space="preserve"> was based on a</w:t>
      </w:r>
      <w:r w:rsidR="00A61BE6" w:rsidRPr="00455A3C">
        <w:rPr>
          <w:rFonts w:cstheme="minorHAnsi"/>
        </w:rPr>
        <w:t xml:space="preserve"> published</w:t>
      </w:r>
      <w:r w:rsidRPr="00455A3C">
        <w:rPr>
          <w:rFonts w:cstheme="minorHAnsi"/>
        </w:rPr>
        <w:t xml:space="preserve"> analysis of clinical trial data from nine African countries comparing outcomes of children &lt;15 years old with severe </w:t>
      </w:r>
      <w:r w:rsidR="00C7721A" w:rsidRPr="00455A3C">
        <w:rPr>
          <w:rFonts w:cstheme="minorHAnsi"/>
          <w:i/>
          <w:iCs/>
        </w:rPr>
        <w:t xml:space="preserve">P. </w:t>
      </w:r>
      <w:r w:rsidRPr="00455A3C">
        <w:rPr>
          <w:rFonts w:cstheme="minorHAnsi"/>
          <w:i/>
          <w:iCs/>
        </w:rPr>
        <w:t>falciparum</w:t>
      </w:r>
      <w:r w:rsidRPr="00455A3C">
        <w:rPr>
          <w:rFonts w:cstheme="minorHAnsi"/>
        </w:rPr>
        <w:t xml:space="preserve"> malaria treated with artesunate or quinine, where the aggregated </w:t>
      </w:r>
      <w:r w:rsidR="00176EF3" w:rsidRPr="00455A3C">
        <w:rPr>
          <w:rFonts w:cstheme="minorHAnsi"/>
        </w:rPr>
        <w:t>CFR</w:t>
      </w:r>
      <w:r w:rsidRPr="00455A3C">
        <w:rPr>
          <w:rFonts w:cstheme="minorHAnsi"/>
        </w:rPr>
        <w:t xml:space="preserve"> across eleven study sites was 9.7%</w:t>
      </w:r>
      <w:r w:rsidR="001D365C" w:rsidRPr="00455A3C">
        <w:rPr>
          <w:rFonts w:cstheme="minorHAnsi"/>
        </w:rPr>
        <w:t xml:space="preserve"> </w:t>
      </w:r>
      <w:r w:rsidR="00BE2C0B" w:rsidRPr="00455A3C">
        <w:rPr>
          <w:rFonts w:cstheme="minorHAnsi"/>
        </w:rPr>
        <w:t>[16]</w:t>
      </w:r>
      <w:r w:rsidRPr="00455A3C">
        <w:rPr>
          <w:rFonts w:cstheme="minorHAnsi"/>
        </w:rPr>
        <w:t xml:space="preserve">. The mortality rates from across the sites included in </w:t>
      </w:r>
      <w:r w:rsidR="00BE2C0B" w:rsidRPr="00C0372B">
        <w:rPr>
          <w:rFonts w:cstheme="minorHAnsi"/>
        </w:rPr>
        <w:fldChar w:fldCharType="begin" w:fldLock="1"/>
      </w:r>
      <w:r w:rsidR="00C72B9D">
        <w:rPr>
          <w:rFonts w:cstheme="minorHAnsi"/>
        </w:rPr>
        <w:instrText>ADDIN CSL_CITATION {"citationItems":[{"id":"ITEM-1","itemData":{"DOI":"10.1016/S0140-6736(10)61924-1","ISSN":"0140-6736","abstract":"BackgroundSevere malaria is a major cause of childhood death and often the main reason for paediatric hospital admission in sub-Saharan Africa. Quinine is still the established treatment of choice, although evidence from Asia suggests that artesunate is associated with a lower mortality. We compared parenteral treatment with either artesunate or quinine in African children with severe malaria.","author":[{"dropping-particle":"","family":"Dondorp","given":"Arjen M","non-dropping-particle":"","parse-names":false,"suffix":""},{"dropping-particle":"","family":"Fanello","given":"Caterina I","non-dropping-particle":"","parse-names":false,"suffix":""},{"dropping-particle":"","family":"Hendriksen","given":"Ilse C E","non-dropping-particle":"","parse-names":false,"suffix":""},{"dropping-particle":"","family":"Gomes","given":"Ermelinda","non-dropping-particle":"","parse-names":false,"suffix":""},{"dropping-particle":"","family":"Seni","given":"Amir","non-dropping-particle":"","parse-names":false,"suffix":""},{"dropping-particle":"","family":"Chhaganlal","given":"Kajal D","non-dropping-particle":"","parse-names":false,"suffix":""},{"dropping-particle":"","family":"Bojang","given":"Kalifa","non-dropping-particle":"","parse-names":false,"suffix":""},{"dropping-particle":"","family":"Olaosebikan","given":"Rasaq","non-dropping-particle":"","parse-names":false,"suffix":""},{"dropping-particle":"","family":"Anunobi","given":"Nkechinyere","non-dropping-particle":"","parse-names":false,"suffix":""},{"dropping-particle":"","family":"Maitland","given":"Kathryn","non-dropping-particle":"","parse-names":false,"suffix":""},{"dropping-particle":"","family":"Kivaya","given":"Esther","non-dropping-particle":"","parse-names":false,"suffix":""},{"dropping-particle":"","family":"Agbenyega","given":"Tsiri","non-dropping-particle":"","parse-names":false,"suffix":""},{"dropping-particle":"","family":"Nguah","given":"Samuel Blay","non-dropping-particle":"","parse-names":false,"suffix":""},{"dropping-particle":"","family":"Evans","given":"Jennifer","non-dropping-particle":"","parse-names":false,"suffix":""},{"dropping-particle":"","family":"Gesase","given":"Samwel","non-dropping-particle":"","parse-names":false,"suffix":""},{"dropping-particle":"","family":"Kahabuka","given":"Catherine","non-dropping-particle":"","parse-names":false,"suffix":""},{"dropping-particle":"","family":"Mtove","given":"George","non-dropping-particle":"","parse-names":false,"suffix":""},{"dropping-particle":"","family":"Nadjm","given":"Behzad","non-dropping-particle":"","parse-names":false,"suffix":""},{"dropping-particle":"","family":"Deen","given":"Jacqueline","non-dropping-particle":"","parse-names":false,"suffix":""},{"dropping-particle":"","family":"Mwanga-Amumpaire","given":"Juliet","non-dropping-particle":"","parse-names":false,"suffix":""},{"dropping-particle":"","family":"Nansumba","given":"Margaret","non-dropping-particle":"","parse-names":false,"suffix":""},{"dropping-particle":"","family":"Karema","given":"Corine","non-dropping-particle":"","parse-names":false,"suffix":""},{"dropping-particle":"","family":"Umulisa","given":"Noella","non-dropping-particle":"","parse-names":false,"suffix":""},{"dropping-particle":"","family":"Uwimana","given":"Aline","non-dropping-particle":"","parse-names":false,"suffix":""},{"dropping-particle":"","family":"Mokuolu","given":"Olugbenga A","non-dropping-particle":"","parse-names":false,"suffix":""},{"dropping-particle":"","family":"Adedoyin","given":"Olanrewaju T","non-dropping-particle":"","parse-names":false,"suffix":""},{"dropping-particle":"","family":"Johnson","given":"Wahab B R","non-dropping-particle":"","parse-names":false,"suffix":""},{"dropping-particle":"","family":"Tshefu","given":"Antoinette K","non-dropping-particle":"","parse-names":false,"suffix":""},{"dropping-particle":"","family":"Onyamboko","given":"Marie A","non-dropping-particle":"","parse-names":false,"suffix":""},{"dropping-particle":"","family":"Sakulthaew","given":"Tharisara","non-dropping-particle":"","parse-names":false,"suffix":""},{"dropping-particle":"","family":"Ngum","given":"Wirichada Pan","non-dropping-particle":"","parse-names":false,"suffix":""},{"dropping-particle":"","family":"Silamut","given":"Kamolrat","non-dropping-particle":"","parse-names":false,"suffix":""},{"dropping-particle":"","family":"Stepniewska","given":"Kasia","non-dropping-particle":"","parse-names":false,"suffix":""},{"dropping-particle":"","family":"Woodrow","given":"Charles J","non-dropping-particle":"","parse-names":false,"suffix":""},{"dropping-particle":"","family":"Bethell","given":"Delia","non-dropping-particle":"","parse-names":false,"suffix":""},{"dropping-particle":"","family":"Wills","given":"Bridget","non-dropping-particle":"","parse-names":false,"suffix":""},{"dropping-particle":"","family":"Oneko","given":"Martina","non-dropping-particle":"","parse-names":false,"suffix":""},{"dropping-particle":"","family":"Peto","given":"Tim E","non-dropping-particle":"","parse-names":false,"suffix":""},{"dropping-particle":"","family":"Seidlein","given":"Lorenz","non-dropping-particle":"von","parse-names":false,"suffix":""},{"dropping-particle":"","family":"Day","given":"Nicholas P J","non-dropping-particle":"","parse-names":false,"suffix":""},{"dropping-particle":"","family":"White","given":"Nicholas J","non-dropping-particle":"","parse-names":false,"suffix":""}],"container-title":"The Lancet","id":"ITEM-1","issue":"9753","issued":{"date-parts":[["2010","11"]]},"page":"1647-1657","publisher":"Elsevier","title":"Artesunate versus quinine in the treatment of severe falciparum malaria in African children (AQUAMAT): an open-label, randomised trial","type":"article-journal","volume":"376"},"uris":["http://www.mendeley.com/documents/?uuid=673ff50d-774e-4f88-9eb8-38d4de7cca1c"]}],"mendeley":{"formattedCitation":"[25]","plainTextFormattedCitation":"[25]","previouslyFormattedCitation":"[25]"},"properties":{"noteIndex":0},"schema":"https://github.com/citation-style-language/schema/raw/master/csl-citation.json"}</w:instrText>
      </w:r>
      <w:r w:rsidR="00BE2C0B" w:rsidRPr="00C0372B">
        <w:rPr>
          <w:rFonts w:cstheme="minorHAnsi"/>
        </w:rPr>
        <w:fldChar w:fldCharType="separate"/>
      </w:r>
      <w:r w:rsidR="00D540A2" w:rsidRPr="00D540A2">
        <w:rPr>
          <w:rFonts w:cstheme="minorHAnsi"/>
          <w:noProof/>
        </w:rPr>
        <w:t>[25]</w:t>
      </w:r>
      <w:r w:rsidR="00BE2C0B" w:rsidRPr="00C0372B">
        <w:rPr>
          <w:rFonts w:cstheme="minorHAnsi"/>
        </w:rPr>
        <w:fldChar w:fldCharType="end"/>
      </w:r>
      <w:r w:rsidR="007A33AA" w:rsidRPr="00455A3C">
        <w:rPr>
          <w:rFonts w:cstheme="minorHAnsi"/>
        </w:rPr>
        <w:t xml:space="preserve"> </w:t>
      </w:r>
      <w:r w:rsidRPr="00455A3C">
        <w:rPr>
          <w:rFonts w:cstheme="minorHAnsi"/>
        </w:rPr>
        <w:t>largely span the range of mortalities reported in</w:t>
      </w:r>
      <w:r w:rsidR="00146963"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{"citationItems":[{"id":"ITEM-1","itemData":{"DOI":"10.4269/ajtmh.1998.59.539","ISSN":"00029637","PMID":"9790426","abstract":"We analyzed the clinical presentation of 800 severe malaria cases six months to 15 years of age (mean ± SD = 4.3 ± 3.0) recruited at the pediatric ward of the Ouagadougou University Hospital, and at the Sourou and Nayala District Hospitals in Burkina Faso. Inclusion criteria followed the World Health Organization (WHO) definition of severe and complicated malaria. The children were treated according to WHO guidelines with a complete regimen of drugs that were provided free of charge as part of the study. The case fatality rate of each sign and symptom of severe malaria was calculated on the 686 children whose outcomes were known. A total of 95 patients (13.8%) died while in the hospital; the mean ± SD age of these children was 3.2 ± 2.1 years. The age distribution and the clinical patterns of severe malaria was compared in patients from the urban areas of Ouagadougou characterized by relatively low transmission, and from rural areas where the mean inoculation rates are at least 20-fold higher. The mean ± SD age of the urban and rural patients was 4.8 ± 3.0 and 2.2 1.9 years, respectively (P &lt; 0.001). The prevalence of coma was higher in the urban subsample (53.6% versus 28.9%; P &lt;&lt; 0.001) while that of severe anemia (hemoglobin &lt; 5 g/dL) was higher in rural patients (47.4% versus 14.8%; P &lt; 0.001). Our data, in line with previous results obtained comparing rural areas characterized by different inoculation rates, show that the epidemiologic context influences the clinical presentation of severe malaria.","author":[{"dropping-particle":"","family":"Modiano","given":"D.","non-dropping-particle":"","parse-names":false,"suffix":""},{"dropping-particle":"","family":"Sirima","given":"B. S.","non-dropping-particle":"","parse-names":false,"suffix":""},{"dropping-particle":"","family":"Sawadogo","given":"A.","non-dropping-particle":"","parse-names":false,"suffix":""},{"dropping-particle":"","family":"Sanou","given":"I.","non-dropping-particle":"","parse-names":false,"suffix":""},{"dropping-particle":"","family":"Paré","given":"J.","non-dropping-particle":"","parse-names":false,"suffix":""},{"dropping-particle":"","family":"Konaté","given":"A.","non-dropping-particle":"","parse-names":false,"suffix":""},{"dropping-particle":"","family":"Pagnoni","given":"F.","non-dropping-particle":"","parse-names":false,"suffix":""}],"container-title":"American Journal of Tropical Medicine and Hygiene","id":"ITEM-1","issue":"4","issued":{"date-parts":[["1998"]]},"page":"539-542","publisher":"American Society of Tropical Medicine and Hygiene","title":"Severe malaria in Burkina Faso: Influence of age and transmission level on clinical presentation","type":"article-journal","volume":"59"},"uris":["http://www.mendeley.com/documents/?uuid=0c81bd18-8ce4-363c-a8f4-cc0ec6ea969c"]},{"id":"ITEM-2","itemData":{"DOI":"10.1086/589288","ISSN":"10584838","PMID":"18564928","author":[{"dropping-particle":"","family":"Olliaro","given":"Piero","non-dropping-particle":"","parse-names":false,"suffix":""}],"container-title":"Clinical Infectious Diseases","id":"ITEM-2","issue":"2","issued":{"date-parts":[["2008","7","15"]]},"page":"158-160","publisher":"Clin Infect Dis","title":"Mortality associated with severe Plasmodium falciparum malaria increases with age","type":"article","volume":"47"},"uris":["http://www.mendeley.com/documents/?uuid=de1e9f68-5175-3947-835a-d80f7fb85196"]},{"id":"ITEM-3","itemData":{"DOI":"10.1186/s12936-016-1650-6","ISSN":"14752875","PMID":"28049519","abstract":"Background: Appropriate treatment of life-threatening Plasmodium falciparum malaria requires in-patient care. Although the proportion of severe cases accessing in-patient care in endemic settings strongly affects overall case fatality rates and thus disease burden, this proportion is generally unknown. At present, estimates of malaria mortality are driven by prevalence or overall clinical incidence data, ignoring differences in case fatality resulting from variations in access. Consequently, the overall impact of preventive interventions on disease burden have not been validly compared with those of improvements in access to case management or its quality. Methods: Using a simulation-based approach, severe malaria admission rates and the subsequent severe malaria disease and mortality rates for 41 malaria endemic countries of sub-Saharan Africa were estimated. Country differences in transmission and health care settings were captured by use of high spatial resolution data on demographics and falciparum malaria prevalence, as well as national level estimates of effective coverage of treatment for uncomplicated malaria. Reported and modelled estimates of cases, admissions and malaria deaths from the World Malaria Report, along with predicted burden from simulations, were combined to provide revised estimates of access to in-patient care and case fatality rates. Results: There is substantial variation between countries’ in-patient admission rates and estimated levels of case fatality rates. It was found that for many African countries, most patients admitted for in-patient treatment would not meet strict criteria for severe disease and that for some countries only a small proportion of the total severe cases are admitted. Estimates are highly sensitive to the assumed community case fatality rates. Re-estimation of national level malaria mortality rates suggests that there is substantial burden attributable to inefficient in-patient access and treatment of severe disease. Conclusions: The model-based methods proposed here offer a standardized approach to estimate the numbers of severe malaria cases and deaths based on national level reporting, allowing for coverage of both curative and preventive interventions. This makes possible direct comparisons of the potential benefits of scaling-up either category of interventions. The profound uncertainties around these estimates highlight the need for better data.","author":[{"dropping-particle":"","family":"Camponovo","given":"Flavia","non-dropping-particle":"","parse-names":false,"suffix":""},{"dropping-particle":"","family":"Bever","given":"Caitlin A.","non-dropping-particle":"","parse-names":false,"suffix":""},{"dropping-particle":"","family":"Galactionova","given":"Katya","non-dropping-particle":"","parse-names":false,"suffix":""},{"dropping-particle":"","family":"Smith","given":"Thomas","non-dropping-particle":"","parse-names":false,"suffix":""},{"dropping-particle":"","family":"Penny","given":"Melissa A.","non-dropping-particle":"","parse-names":false,"suffix":""}],"container-title":"Malaria Journal","id":"ITEM-3","issue":"1","issued":{"date-parts":[["2017","1","3"]]},"page":"1-12","publisher":"BioMed Central","title":"Incidence and admission rates for severe malaria and their impact on mortality in Africa","type":"article-journal","volume":"16"},"uris":["http://www.mendeley.com/documents/?uuid=af2871fa-d1a0-36f0-bbf3-54245509af1a"]},{"id":"ITEM-4","itemData":{"DOI":"10.1016/S0035-9203(01)90104-X","ISSN":"0035-9203","abstract":"We conducted a meta-analysis using individual patient data from randomized controlled trials comparing artemether and quinine in severe falciparum malaria. Eleven trials were identified, of which 8 were clearly randomized. Original individual patient data on 1919 patients were obtained from 7 trials, representing 85% of the patients in the original 11 studies. Overall there were 136 deaths among the 961 patients treated with artemether, compared with 164 in the 958 treated with quinine [14% vs 17%, odds ratio (95% confidence interval) 0·8 (0·62 to 1·02), P = 0·08]. There were no differences between the 2 treatment groups in coma recovery or fever clearance times, or the development of neurological sequelae. However, the combined ‘adverse outcome’ of either death or neurological sequelae was significantly less common in the artemether group [odds ratio (95% CI) 0·77 (0·62 to 0·96), P = 0·02], and treatment with artemether was associated with significantly faster parasite clearance [hazard ratio (95% CI) 0·62 (0·56 to 0·69), P &amp;lt; 0·001]. In subgroup analyses artemether was associated with a significantly lower mortality than quinine in adults with multisystem failure. In the treatment of severe falciparum malaria artemether is at least as effective as quinine in terms of mortality and superior to quinine in terms of overall serious adverse events. There was no evidence of clinical neurotoxicity or any other major side-effects associated with its use.","author":[{"dropping-particle":"","family":"Group†","given":"The Artemether-Quinine Meta-analysis Study","non-dropping-particle":"","parse-names":false,"suffix":""}],"container-title":"Transactions of The Royal Society of Tropical Medicine and Hygiene","id":"ITEM-4","issue":"6","issued":{"date-parts":[["2001","11"]]},"page":"637-650","title":"A meta-analysis using individual patient data of trials comparing artemether with quinine in the treatment of severe falciparum malaria","type":"article-journal","volume":"95"},"uris":["http://www.mendeley.com/documents/?uuid=6a448c1a-5d26-4acc-a661-ecc95cbfcf23"]}],"mendeley":{"formattedCitation":"[23,24,27,28]","plainTextFormattedCitation":"[23,24,27,28]","previouslyFormattedCitation":"[23,24,27,28]"},"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[23,24,27,28]</w:t>
      </w:r>
      <w:r w:rsidR="00146963" w:rsidRPr="00C0372B">
        <w:rPr>
          <w:rFonts w:cstheme="minorHAnsi"/>
        </w:rPr>
        <w:fldChar w:fldCharType="end"/>
      </w:r>
      <w:r w:rsidR="001D365C" w:rsidRPr="00455A3C">
        <w:rPr>
          <w:rFonts w:cstheme="minorHAnsi"/>
        </w:rPr>
        <w:t>.</w:t>
      </w:r>
    </w:p>
    <w:p w14:paraId="6A018295" w14:textId="77777777" w:rsidR="00C449D4" w:rsidRPr="00455A3C" w:rsidRDefault="00C449D4" w:rsidP="005354EA">
      <w:pPr>
        <w:spacing w:after="0" w:line="276" w:lineRule="auto"/>
        <w:contextualSpacing/>
        <w:rPr>
          <w:rFonts w:cstheme="minorHAnsi"/>
        </w:rPr>
      </w:pPr>
    </w:p>
    <w:p w14:paraId="0EFCC0D1" w14:textId="67C33818" w:rsidR="00176EF3" w:rsidRPr="00455A3C" w:rsidRDefault="001D2BE1" w:rsidP="005354EA">
      <w:pPr>
        <w:spacing w:after="0" w:line="276" w:lineRule="auto"/>
        <w:contextualSpacing/>
        <w:rPr>
          <w:rFonts w:cstheme="minorHAnsi"/>
        </w:rPr>
      </w:pPr>
      <w:r w:rsidRPr="00455A3C">
        <w:rPr>
          <w:rFonts w:cstheme="minorHAnsi"/>
        </w:rPr>
        <w:t xml:space="preserve">We found limited data describing the mortality rates for untreated severe cases in the literature, </w:t>
      </w:r>
      <w:r w:rsidR="00A11DB0" w:rsidRPr="00455A3C">
        <w:rPr>
          <w:rFonts w:cstheme="minorHAnsi"/>
        </w:rPr>
        <w:t>and</w:t>
      </w:r>
      <w:r w:rsidRPr="00455A3C">
        <w:rPr>
          <w:rFonts w:cstheme="minorHAnsi"/>
        </w:rPr>
        <w:t xml:space="preserve"> the criteria used to ascribe whether a set of symptoms constitutes severe disease varies across studies.</w:t>
      </w:r>
      <w:r w:rsidR="0015568D" w:rsidRPr="00455A3C">
        <w:rPr>
          <w:rFonts w:cstheme="minorHAnsi"/>
        </w:rPr>
        <w:t xml:space="preserve"> In</w:t>
      </w:r>
      <w:r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{"citationItems":[{"id":"ITEM-1","itemData":{"DOI":"10.1186/1471-2458-11-S3-S14","ISSN":"1471-2458","abstract":"The Lives Saved Tool (LiST) model was developed to estimate the impact of the scale-up of child survival interventions on child mortality. New advances in antimalarials have improved their efficacy of treating uncomplicated and severe malaria. Artemisinin-based combination therapies (ACTs) for uncomplicated Plasmodium falciparum malaria and parenteral or rectal artemisinin or quinine for severe malaria syndromes have been shown to be very effective for the treatment of malaria in children. These interventions are now being considered for inclusion in the LiST model. However, for obvious ethical reasons, their protective efficacy (PE) compared to placebo is unknown and their impact on reducing malaria-attributable mortality has not been quantified.","author":[{"dropping-particle":"","family":"Thwing","given":"Julie","non-dropping-particle":"","parse-names":false,"suffix":""},{"dropping-particle":"","family":"Eisele","given":"Thomas P","non-dropping-particle":"","parse-names":false,"suffix":""},{"dropping-particle":"","family":"Steketee","given":"Richard W","non-dropping-particle":"","parse-names":false,"suffix":""}],"container-title":"BMC Public Health","id":"ITEM-1","issue":"3","issued":{"date-parts":[["2011"]]},"page":"S14","title":"Protective efficacy of malaria case management for preventing malaria mortality in children: a systematic review for the Lives Saved Tool","type":"article-journal","volume":"11"},"uris":["http://www.mendeley.com/documents/?uuid=201cb8b9-4c2c-47b3-bcbd-71434fe05bbc","http://www.mendeley.com/documents/?uuid=61838ea7-9848-4ce4-b205-6f8d7a9819d2"]}],"mendeley":{"formattedCitation":"[29]","plainTextFormattedCitation":"[29]","previouslyFormattedCitation":"[29]"},"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[29]</w:t>
      </w:r>
      <w:r w:rsidR="00146963" w:rsidRPr="00C0372B">
        <w:rPr>
          <w:rFonts w:cstheme="minorHAnsi"/>
        </w:rPr>
        <w:fldChar w:fldCharType="end"/>
      </w:r>
      <w:r w:rsidR="0015568D" w:rsidRPr="00455A3C">
        <w:rPr>
          <w:rFonts w:cstheme="minorHAnsi"/>
        </w:rPr>
        <w:t>,</w:t>
      </w:r>
      <w:r w:rsidR="00146963" w:rsidRPr="00455A3C">
        <w:rPr>
          <w:rFonts w:cstheme="minorHAnsi"/>
        </w:rPr>
        <w:t xml:space="preserve"> </w:t>
      </w:r>
      <w:r w:rsidR="00D063BC" w:rsidRPr="00455A3C">
        <w:rPr>
          <w:rFonts w:cstheme="minorHAnsi"/>
        </w:rPr>
        <w:t xml:space="preserve">the results from </w:t>
      </w:r>
      <w:r w:rsidR="00146963" w:rsidRPr="00C0372B">
        <w:rPr>
          <w:rFonts w:cstheme="minorHAnsi"/>
        </w:rPr>
        <w:fldChar w:fldCharType="begin" w:fldLock="1"/>
      </w:r>
      <w:r w:rsidR="00C72B9D">
        <w:rPr>
          <w:rFonts w:cstheme="minorHAnsi"/>
        </w:rPr>
        <w:instrText>ADDIN CSL_CITATION {"citationItems":[{"id":"ITEM-1","itemData":{"ISSN":"00439686","PMID":"2743538","abstract":"Although Plasmodium falciparum malaria is a leading cause of paediatric morbidity and mortality in Africa, few quantitative estimates are available about the impact of malaria on childhood health. To quantify the impact of the disease in an urban African setting, we reviewed the paediatric ward and mortuary records at Mama Yemo Hospital in Kinshasha, Zaire. From June 1985 to May 1986, 6208 children were admitted to the hospital, 2374 (38.2%) of whom had malaria; 500 of those with malaria died (case fatality rate, 21.1%). During this same period, there were 10,036 paediatric deaths, 1323 (13.2%) of which were attributed to malaria; 823 (62.2%) of these occurred in the emergency ward prior to hospitalization. Minimum population-based malaria mortality rates were highest for children aged &lt; 1 year (4.0 per 1000 per year). Over 70% of children admitted with malaria and &gt; 80% of children who died from the disease were &lt; 5 years old. The total number of paediatric admissions and deaths remained relatively constant between 1982 and 1986; however, the proportional malaria admission rate increased from 29.5% in 1983 to 56.4% in 1986, and the proportional malaria mortality rate, from 4.8% in 1982 to 15.3% in 1986. These increases were temporally related to the emergence of chloroquine-resistant Plasmodium falciparum malaria in Kinshasa. Malaria is therefore a major cause of paediatric morbidity and mortality in the city, and this study indicates that hospital-based surveillance may be useful in monitoring disease-specific morbidity and mortality elsewhere in Africa.","author":[{"dropping-particle":"","family":"Greenberg","given":"A. E.","non-dropping-particle":"","parse-names":false,"suffix":""},{"dropping-particle":"","family":"Ntumbanzondo","given":"M.","non-dropping-particle":"","parse-names":false,"suffix":""},{"dropping-particle":"","family":"Ntula","given":"N.","non-dropping-particle":"","parse-names":false,"suffix":""},{"dropping-particle":"","family":"Mawa","given":"L.","non-dropping-particle":"","parse-names":false,"suffix":""},{"dropping-particle":"","family":"Howell","given":"J.","non-dropping-particle":"","parse-names":false,"suffix":""},{"dropping-particle":"","family":"Davachi","given":"F.","non-dropping-particle":"","parse-names":false,"suffix":""}],"container-title":"Bulletin of the World Health Organization","id":"ITEM-1","issue":"2","issued":{"date-parts":[["1989"]]},"page":"189-196","publisher":"World Health Organization","title":"Hospital-based surveillance of malaria-related paediatric morbidity and mortality in Kinshasa, Zaire","type":"article-journal","volume":"67"},"uris":["http://www.mendeley.com/documents/?uuid=ceb486de-8cd1-316d-91e8-e1a65a90cfb2"]}],"mendeley":{"formattedCitation":"[30]","plainTextFormattedCitation":"[30]","previouslyFormattedCitation":"[30]"},"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[30]</w:t>
      </w:r>
      <w:r w:rsidR="00146963" w:rsidRPr="00C0372B">
        <w:rPr>
          <w:rFonts w:cstheme="minorHAnsi"/>
        </w:rPr>
        <w:fldChar w:fldCharType="end"/>
      </w:r>
      <w:r w:rsidR="00146963" w:rsidRPr="00455A3C">
        <w:rPr>
          <w:rFonts w:cstheme="minorHAnsi"/>
        </w:rPr>
        <w:t xml:space="preserve"> </w:t>
      </w:r>
      <w:r w:rsidR="00065A67" w:rsidRPr="00455A3C">
        <w:rPr>
          <w:rFonts w:cstheme="minorHAnsi"/>
        </w:rPr>
        <w:t>and</w:t>
      </w:r>
      <w:r w:rsidR="00146963"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{"citationItems":[{"id":"ITEM-1","itemData":{"DOI":"10.4269/ajtmh.2003.68.386","ISSN":"00029637","PMID":"12879851","abstract":"In spite of increasing resistance, chloroquine remains the primary drug for treatment of malaria in most sub-Saharan African countries. We evaluated the effect of drug treatment policy on the case-fatality rates of children, adjusting for differing distributions of malaria and severe anemia. In 1991, 63% of children were treated with chloroquine while the remaining 37% were treated with a regimen that would eliminate and clear parasitemia. Case-fatality rates were 13% and 4.1%, respectively; the proportion of deaths attributable to chloroquine treatment was 69%. The trend in case-fatality rates for malaria decreased as an increasing proportion of children received an effective treatment regimen; adjusted malaria case-fatality rates were 5.1%, 3.6%, and 3.3% in 1992, 1993, and 1994, respectively, when 85% of children in 1992 and 97% of children in 1993-1994 received effective therapy. These 4 years of data provide strong evidence that continued use of chloroquine in areas with resistance is contributing to excess Plasmodium falciparum-related deaths.","author":[{"dropping-particle":"","family":"Zucker","given":"Jane R.","non-dropping-particle":"","parse-names":false,"suffix":""},{"dropping-particle":"","family":"Ruebush","given":"Trenton K.","non-dropping-particle":"","parse-names":false,"suffix":""},{"dropping-particle":"","family":"Obonyo","given":"Charles","non-dropping-particle":"","parse-names":false,"suffix":""},{"dropping-particle":"","family":"Otieno","given":"Juliana","non-dropping-particle":"","parse-names":false,"suffix":""},{"dropping-particle":"","family":"Campbell","given":"Carlos C.","non-dropping-particle":"","parse-names":false,"suffix":""}],"container-title":"American Journal of Tropical Medicine and Hygiene","id":"ITEM-1","issued":{"date-parts":[["2003"]]},"title":"The mortality consequences of the continued use of chloroquine in Africa: Experience in Siaya, Western Kenya","type":"article-journal"},"uris":["http://www.mendeley.com/documents/?uuid=1c3d73fa-88e8-460f-8744-88591dc52ca8"]}],"mendeley":{"formattedCitation":"[31]","plainTextFormattedCitation":"[31]","previouslyFormattedCitation":"[31]"},"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[31]</w:t>
      </w:r>
      <w:r w:rsidR="00146963" w:rsidRPr="00C0372B">
        <w:rPr>
          <w:rFonts w:cstheme="minorHAnsi"/>
        </w:rPr>
        <w:fldChar w:fldCharType="end"/>
      </w:r>
      <w:r w:rsidR="00065A67" w:rsidRPr="00455A3C">
        <w:rPr>
          <w:rFonts w:cstheme="minorHAnsi"/>
        </w:rPr>
        <w:t xml:space="preserve"> </w:t>
      </w:r>
      <w:r w:rsidR="0015568D" w:rsidRPr="00455A3C">
        <w:rPr>
          <w:rFonts w:cstheme="minorHAnsi"/>
        </w:rPr>
        <w:t xml:space="preserve">were combined </w:t>
      </w:r>
      <w:r w:rsidR="00D063BC" w:rsidRPr="00455A3C">
        <w:rPr>
          <w:rFonts w:cstheme="minorHAnsi"/>
        </w:rPr>
        <w:t xml:space="preserve">to estimate </w:t>
      </w:r>
      <w:r w:rsidR="0015568D" w:rsidRPr="00455A3C">
        <w:rPr>
          <w:rFonts w:cstheme="minorHAnsi"/>
        </w:rPr>
        <w:t>an 82%</w:t>
      </w:r>
      <w:r w:rsidRPr="00455A3C">
        <w:rPr>
          <w:rFonts w:cstheme="minorHAnsi"/>
        </w:rPr>
        <w:t xml:space="preserve"> protective efficacy of treatment </w:t>
      </w:r>
      <w:r w:rsidR="0015568D" w:rsidRPr="00455A3C">
        <w:rPr>
          <w:rFonts w:cstheme="minorHAnsi"/>
        </w:rPr>
        <w:t>of</w:t>
      </w:r>
      <w:r w:rsidRPr="00455A3C">
        <w:rPr>
          <w:rFonts w:cstheme="minorHAnsi"/>
        </w:rPr>
        <w:t xml:space="preserve"> severe </w:t>
      </w:r>
      <w:r w:rsidRPr="00455A3C">
        <w:rPr>
          <w:rFonts w:cstheme="minorHAnsi"/>
          <w:i/>
          <w:iCs/>
        </w:rPr>
        <w:t>P. falciparum</w:t>
      </w:r>
      <w:r w:rsidRPr="00455A3C">
        <w:rPr>
          <w:rFonts w:cstheme="minorHAnsi"/>
        </w:rPr>
        <w:t xml:space="preserve"> malaria </w:t>
      </w:r>
      <w:r w:rsidR="0015568D" w:rsidRPr="00455A3C">
        <w:rPr>
          <w:rFonts w:cstheme="minorHAnsi"/>
        </w:rPr>
        <w:t>in reducing</w:t>
      </w:r>
      <w:r w:rsidRPr="00455A3C">
        <w:rPr>
          <w:rFonts w:cstheme="minorHAnsi"/>
        </w:rPr>
        <w:t xml:space="preserve"> mortality in children by comparing the </w:t>
      </w:r>
      <w:r w:rsidR="00176EF3" w:rsidRPr="00455A3C">
        <w:rPr>
          <w:rFonts w:cstheme="minorHAnsi"/>
        </w:rPr>
        <w:t>CFRs</w:t>
      </w:r>
      <w:r w:rsidRPr="00455A3C">
        <w:rPr>
          <w:rFonts w:cstheme="minorHAnsi"/>
        </w:rPr>
        <w:t xml:space="preserve"> with effective treatment versus with treatment failure due to chloroquine resistance. </w:t>
      </w:r>
      <w:r w:rsidR="00D063BC" w:rsidRPr="00455A3C">
        <w:rPr>
          <w:rFonts w:cstheme="minorHAnsi"/>
        </w:rPr>
        <w:t xml:space="preserve">In the hospitals included in the studies, which offered a high standard of care, the CFR among effectively treated children was around 3.4% and the estimated CFRs </w:t>
      </w:r>
      <w:r w:rsidR="00065A67" w:rsidRPr="00455A3C">
        <w:rPr>
          <w:rFonts w:cstheme="minorHAnsi"/>
        </w:rPr>
        <w:t>for children not receiving effective treatment were</w:t>
      </w:r>
      <w:r w:rsidR="00D063BC" w:rsidRPr="00455A3C">
        <w:rPr>
          <w:rFonts w:cstheme="minorHAnsi"/>
        </w:rPr>
        <w:t xml:space="preserve"> </w:t>
      </w:r>
      <w:r w:rsidR="00D063BC" w:rsidRPr="00455A3C">
        <w:rPr>
          <w:rFonts w:cstheme="minorHAnsi"/>
        </w:rPr>
        <w:lastRenderedPageBreak/>
        <w:t>13</w:t>
      </w:r>
      <w:r w:rsidR="00065A67" w:rsidRPr="00455A3C">
        <w:rPr>
          <w:rFonts w:cstheme="minorHAnsi"/>
        </w:rPr>
        <w:t>.</w:t>
      </w:r>
      <w:r w:rsidR="00D063BC" w:rsidRPr="00455A3C">
        <w:rPr>
          <w:rFonts w:cstheme="minorHAnsi"/>
        </w:rPr>
        <w:t>1%-21.1%. However, a</w:t>
      </w:r>
      <w:r w:rsidR="00176EF3" w:rsidRPr="00455A3C">
        <w:rPr>
          <w:rFonts w:cstheme="minorHAnsi"/>
        </w:rPr>
        <w:t xml:space="preserve">ssuming a 9.7% CFR for treated severe cases in our simulations, </w:t>
      </w:r>
      <w:r w:rsidR="00065A67" w:rsidRPr="00455A3C">
        <w:rPr>
          <w:rFonts w:cstheme="minorHAnsi"/>
        </w:rPr>
        <w:t>an 82% protective efficacy</w:t>
      </w:r>
      <w:r w:rsidR="00176EF3" w:rsidRPr="00455A3C">
        <w:rPr>
          <w:rFonts w:cstheme="minorHAnsi"/>
        </w:rPr>
        <w:t xml:space="preserve"> would yield an untreated CFR of:</w:t>
      </w:r>
    </w:p>
    <w:p w14:paraId="117DBC6A" w14:textId="77777777" w:rsidR="00176EF3" w:rsidRPr="00455A3C" w:rsidRDefault="00176EF3" w:rsidP="005354EA">
      <w:pPr>
        <w:spacing w:after="0" w:line="276" w:lineRule="auto"/>
        <w:ind w:left="720"/>
        <w:contextualSpacing/>
        <w:rPr>
          <w:rFonts w:cstheme="minorHAnsi"/>
        </w:rPr>
      </w:pPr>
      <m:oMathPara>
        <m:oMathParaPr>
          <m:jc m:val="left"/>
        </m:oMathParaPr>
        <m:oMath>
          <m:r>
            <w:rPr>
              <w:rFonts w:ascii="Cambria Math" w:hAnsi="Cambria Math" w:cstheme="minorHAnsi"/>
            </w:rPr>
            <m:t>CFR for untreated severe malaria=</m:t>
          </m:r>
          <m:f>
            <m:fPr>
              <m:ctrlPr>
                <w:rPr>
                  <w:rFonts w:ascii="Cambria Math" w:hAnsi="Cambria Math" w:cstheme="minorHAnsi"/>
                  <w:i/>
                </w:rPr>
              </m:ctrlPr>
            </m:fPr>
            <m:num>
              <m:r>
                <w:rPr>
                  <w:rFonts w:ascii="Cambria Math" w:hAnsi="Cambria Math" w:cstheme="minorHAnsi"/>
                </w:rPr>
                <m:t xml:space="preserve">CFR for treated severe malaria </m:t>
              </m:r>
            </m:num>
            <m:den>
              <m:r>
                <w:rPr>
                  <w:rFonts w:ascii="Cambria Math" w:hAnsi="Cambria Math" w:cstheme="minorHAnsi"/>
                </w:rPr>
                <m:t xml:space="preserve">1-protective efficacy of  treatment for severe malaria </m:t>
              </m:r>
            </m:den>
          </m:f>
        </m:oMath>
      </m:oMathPara>
    </w:p>
    <w:p w14:paraId="1FB1E19C" w14:textId="337F38AE" w:rsidR="00176EF3" w:rsidRPr="00455A3C" w:rsidRDefault="00176EF3" w:rsidP="005354EA">
      <w:pPr>
        <w:spacing w:after="0" w:line="276" w:lineRule="auto"/>
        <w:ind w:left="1440"/>
        <w:contextualSpacing/>
        <w:rPr>
          <w:rFonts w:eastAsiaTheme="minorEastAsia" w:cstheme="minorHAnsi"/>
        </w:rPr>
      </w:pPr>
      <m:oMathPara>
        <m:oMathParaPr>
          <m:jc m:val="left"/>
        </m:oMathParaPr>
        <m:oMath>
          <m:r>
            <w:rPr>
              <w:rFonts w:ascii="Cambria Math" w:hAnsi="Cambria Math" w:cstheme="minorHAnsi"/>
            </w:rPr>
            <m:t>=</m:t>
          </m:r>
          <m:f>
            <m:fPr>
              <m:ctrlPr>
                <w:rPr>
                  <w:rFonts w:ascii="Cambria Math" w:hAnsi="Cambria Math" w:cstheme="minorHAnsi"/>
                  <w:i/>
                </w:rPr>
              </m:ctrlPr>
            </m:fPr>
            <m:num>
              <m:r>
                <w:rPr>
                  <w:rFonts w:ascii="Cambria Math" w:hAnsi="Cambria Math" w:cstheme="minorHAnsi"/>
                </w:rPr>
                <m:t>9.7%</m:t>
              </m:r>
            </m:num>
            <m:den>
              <m:r>
                <w:rPr>
                  <w:rFonts w:ascii="Cambria Math" w:hAnsi="Cambria Math" w:cstheme="minorHAnsi"/>
                </w:rPr>
                <m:t>1-0.82</m:t>
              </m:r>
            </m:den>
          </m:f>
        </m:oMath>
      </m:oMathPara>
    </w:p>
    <w:p w14:paraId="0628F2DF" w14:textId="591A151A" w:rsidR="00176EF3" w:rsidRPr="00455A3C" w:rsidRDefault="00176EF3" w:rsidP="005354EA">
      <w:pPr>
        <w:spacing w:after="0" w:line="276" w:lineRule="auto"/>
        <w:ind w:left="1440"/>
        <w:contextualSpacing/>
        <w:rPr>
          <w:rFonts w:cstheme="minorHAnsi"/>
        </w:rPr>
      </w:pPr>
      <m:oMath>
        <m:r>
          <w:rPr>
            <w:rFonts w:ascii="Cambria Math" w:hAnsi="Cambria Math" w:cstheme="minorHAnsi"/>
          </w:rPr>
          <m:t>=53.9%</m:t>
        </m:r>
      </m:oMath>
      <w:r w:rsidRPr="00455A3C">
        <w:rPr>
          <w:rFonts w:eastAsiaTheme="minorEastAsia" w:cstheme="minorHAnsi"/>
        </w:rPr>
        <w:t xml:space="preserve"> .</w:t>
      </w:r>
    </w:p>
    <w:p w14:paraId="101A6752" w14:textId="295E1E72" w:rsidR="00176EF3" w:rsidRPr="00455A3C" w:rsidRDefault="0015568D" w:rsidP="005354EA">
      <w:pPr>
        <w:spacing w:after="0" w:line="276" w:lineRule="auto"/>
        <w:contextualSpacing/>
        <w:rPr>
          <w:rFonts w:cstheme="minorHAnsi"/>
        </w:rPr>
      </w:pPr>
      <w:r w:rsidRPr="00455A3C">
        <w:rPr>
          <w:rFonts w:cstheme="minorHAnsi"/>
        </w:rPr>
        <w:t xml:space="preserve">Similarly, </w:t>
      </w:r>
      <w:r w:rsidRPr="00C0372B">
        <w:rPr>
          <w:rFonts w:cstheme="minorHAnsi"/>
        </w:rPr>
        <w:fldChar w:fldCharType="begin" w:fldLock="1"/>
      </w:r>
      <w:r w:rsidR="00C72B9D">
        <w:rPr>
          <w:rFonts w:cstheme="minorHAnsi"/>
        </w:rPr>
        <w:instrText>ADDIN CSL_CITATION {"citationItems":[{"id":"ITEM-1","itemData":{"DOI":"10.4269/ajtmh.1996.55.655","ISSN":"00029637","PMID":"9025694","abstract":"Plasmodium falciparum infection is an important cause of the high childhood mortality rates in sub-Saharan Africa. Increasingly, the contribution of P. falciparum-associated severe anemia to pediatric mortality is being recognized while the impact of chloroquine resistance on mortality has not been evaluated. To address the issues of pediatric mortality, causes of death among hospitalized children less than five years of age in western Kenya were identified using standardized clinical examinations and laboratory evaluations. Follow-up examinations were conducted to determine the child's clinical status posthospitalization. Of the 1,223 children admitted to Siaya District Hospital from March to September 1991, 293 (24%) were severely anemic (hemoglobin level &lt; 5.0 g/dL). There were 265 (22%) deaths; 121 (10%) occurred in-hospital and 144 (13%) occurred out-of-hospital within eight weeks after admission; 32% of all deaths were associated with malaria. Treatment for malaria with chloroquine was associated with a 33% case fatality rate compared with 11% for children treated with more effective regimens (pyrimethamine/sulfa, quinine, or trimethoprim/sulfamethoxazole for five days). The risk of dying was associated with younger age (P &lt; 0.0001) and severe anemia (relative risk [RR] = 1.52, 95% confidence interval [CI] = 1.22, 1,90), and was decreased by treatment with an effective antimalarial drug (RR = 0.33, 95% CI = 0.19, 0.65). Effective drug therapy for P. falciparum with regimens that are parasitocidal in areas with a high prevalence of severe anemia and chloroquine resistance can significantly improve the survival of children in Africa.","author":[{"dropping-particle":"","family":"Zucker","given":"Jane R.","non-dropping-particle":"","parse-names":false,"suffix":""},{"dropping-particle":"","family":"Lackritz","given":"Eve M.","non-dropping-particle":"","parse-names":false,"suffix":""},{"dropping-particle":"","family":"Ruebush","given":"Trenton K.","non-dropping-particle":"","parse-names":false,"suffix":""},{"dropping-particle":"","family":"Hightower","given":"Allen W.","non-dropping-particle":"","parse-names":false,"suffix":""},{"dropping-particle":"","family":"Adungosi","given":"John E.","non-dropping-particle":"","parse-names":false,"suffix":""},{"dropping-particle":"","family":"Were","given":"J. Ben O.","non-dropping-particle":"","parse-names":false,"suffix":""},{"dropping-particle":"","family":"Metchock","given":"Beverly","non-dropping-particle":"","parse-names":false,"suffix":""},{"dropping-particle":"","family":"Patrick","given":"Ellen","non-dropping-particle":"","parse-names":false,"suffix":""},{"dropping-particle":"","family":"Campbell","given":"Carlos C.","non-dropping-particle":"","parse-names":false,"suffix":""}],"container-title":"American Journal of Tropical Medicine and Hygiene","id":"ITEM-1","issued":{"date-parts":[["1996"]]},"title":"Childhood mortality during and after hospitalization in western Kenya: Effect of malaria treatment regimens","type":"article-journal"},"uris":["http://www.mendeley.com/documents/?uuid=e7df81ec-d819-4448-9a00-5211e80097b9"]}],"mendeley":{"formattedCitation":"[32]","plainTextFormattedCitation":"[32]","previouslyFormattedCitation":"[32]"},"properties":{"noteIndex":0},"schema":"https://github.com/citation-style-language/schema/raw/master/csl-citation.json"}</w:instrText>
      </w:r>
      <w:r w:rsidRPr="00C0372B">
        <w:rPr>
          <w:rFonts w:cstheme="minorHAnsi"/>
        </w:rPr>
        <w:fldChar w:fldCharType="separate"/>
      </w:r>
      <w:r w:rsidR="00D540A2" w:rsidRPr="00D540A2">
        <w:rPr>
          <w:rFonts w:cstheme="minorHAnsi"/>
          <w:noProof/>
        </w:rPr>
        <w:t>[32]</w:t>
      </w:r>
      <w:r w:rsidRPr="00C0372B">
        <w:rPr>
          <w:rFonts w:cstheme="minorHAnsi"/>
        </w:rPr>
        <w:fldChar w:fldCharType="end"/>
      </w:r>
      <w:r w:rsidRPr="00455A3C">
        <w:rPr>
          <w:rFonts w:cstheme="minorHAnsi"/>
        </w:rPr>
        <w:t xml:space="preserve"> reported a 33% CFR for hospitalized children who received chloroquine or no antimalarials in an area with chloroquine-resistant parasites.</w:t>
      </w:r>
    </w:p>
    <w:p w14:paraId="6729FED2" w14:textId="77777777" w:rsidR="0015568D" w:rsidRPr="00455A3C" w:rsidRDefault="0015568D" w:rsidP="005354EA">
      <w:pPr>
        <w:spacing w:after="0" w:line="276" w:lineRule="auto"/>
        <w:contextualSpacing/>
        <w:rPr>
          <w:rFonts w:cstheme="minorHAnsi"/>
        </w:rPr>
      </w:pPr>
    </w:p>
    <w:p w14:paraId="64752CB6" w14:textId="14A4C318" w:rsidR="00EB68B3" w:rsidRPr="00455A3C" w:rsidRDefault="001D2BE1" w:rsidP="00C0372B">
      <w:pPr>
        <w:spacing w:after="0" w:line="276" w:lineRule="auto"/>
        <w:contextualSpacing/>
        <w:rPr>
          <w:rFonts w:eastAsiaTheme="minorEastAsia" w:cstheme="minorHAnsi"/>
        </w:rPr>
      </w:pPr>
      <w:r w:rsidRPr="00455A3C">
        <w:rPr>
          <w:rFonts w:cstheme="minorHAnsi"/>
        </w:rPr>
        <w:t>In</w:t>
      </w:r>
      <w:r w:rsidR="00146963"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{"citationItems":[{"id":"ITEM-1","itemData":{"DOI":"10.4269/ajtmh.2006.75.63","ISSN":"00029637","PMID":"16931817","abstract":"The intensity of Plasmodium falciparum transmission has multifarious and sometimes counter-intuitive effects on age-specific rates of severe morbidity and mortality in endemic areas. This has led to conflicting speculations about the likely impact of malaria control interventions. We propose a quantitative framework to reconcile the various apparently contradictory observations relating morbidity and mortality rates to malaria transmission. Our model considers two sub-categories of severe malaria episodes. These comprise episodes with extremely high parasite densities in hosts with little previous exposure, and acute malaria episodes accompanied by co-morbidity or other risk factors enhancing susceptibility. In addition to direct malaria mortality from severe malaria episodes, the model also considers the enhanced risk of indirect mortality following acute episodes accompanied by co-morbidity after the parasites have been cleared. We fit this model to summaries of field data from endemic areas of Africa, and show that it can account for the observed age- and exposure-specific patterns of pediatric severe malaria and malaria-associated mortality in children. This model will allow us to make predictions of the long-term impact of potential malaria interventions. Predictions for children will be more reliable than those for older people because there is a paucity of epidemiologic studies of adults and adolescents. Copyright © 2006 by The American Society of Tropical Medicine and Hygiene.","author":[{"dropping-particle":"","family":"Ross","given":"Amanda","non-dropping-particle":"","parse-names":false,"suffix":""},{"dropping-particle":"","family":"Maire","given":"Nicolas","non-dropping-particle":"","parse-names":false,"suffix":""},{"dropping-particle":"","family":"Molineaux","given":"Louis","non-dropping-particle":"","parse-names":false,"suffix":""},{"dropping-particle":"","family":"Smith","given":"Thomas","non-dropping-particle":"","parse-names":false,"suffix":""}],"container-title":"American Journal of Tropical Medicine and Hygiene","id":"ITEM-1","issued":{"date-parts":[["2006"]]},"title":"An epidemiologic model of severe morbidity and mortality caused by Plasmodium falciparum","type":"article-journal"},"uris":["http://www.mendeley.com/documents/?uuid=22f14035-d96d-4227-8a89-aa5ae52e1929"]}],"mendeley":{"formattedCitation":"[33]","plainTextFormattedCitation":"[33]","previouslyFormattedCitation":"[33]"},"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[33]</w:t>
      </w:r>
      <w:r w:rsidR="00146963" w:rsidRPr="00C0372B">
        <w:rPr>
          <w:rFonts w:cstheme="minorHAnsi"/>
        </w:rPr>
        <w:fldChar w:fldCharType="end"/>
      </w:r>
      <w:r w:rsidRPr="00455A3C">
        <w:rPr>
          <w:rFonts w:cstheme="minorHAnsi"/>
        </w:rPr>
        <w:t xml:space="preserve">, the authors estimated the odds ratio for </w:t>
      </w:r>
      <w:r w:rsidR="00A11DB0" w:rsidRPr="00455A3C">
        <w:rPr>
          <w:rFonts w:cstheme="minorHAnsi"/>
        </w:rPr>
        <w:t xml:space="preserve">severe </w:t>
      </w:r>
      <w:r w:rsidRPr="00455A3C">
        <w:rPr>
          <w:rFonts w:cstheme="minorHAnsi"/>
        </w:rPr>
        <w:t xml:space="preserve">case </w:t>
      </w:r>
      <w:r w:rsidR="00F436F0" w:rsidRPr="00455A3C">
        <w:rPr>
          <w:rFonts w:cstheme="minorHAnsi"/>
        </w:rPr>
        <w:t>fatality</w:t>
      </w:r>
      <w:r w:rsidRPr="00455A3C">
        <w:rPr>
          <w:rFonts w:cstheme="minorHAnsi"/>
        </w:rPr>
        <w:t xml:space="preserve"> without versus with hospitalization as around 2. </w:t>
      </w:r>
      <w:r w:rsidR="00F436F0" w:rsidRPr="00455A3C">
        <w:rPr>
          <w:rFonts w:cstheme="minorHAnsi"/>
        </w:rPr>
        <w:t xml:space="preserve">If we assume that hospitalization equates with treatment and use the </w:t>
      </w:r>
      <w:r w:rsidR="00176EF3" w:rsidRPr="00455A3C">
        <w:rPr>
          <w:rFonts w:cstheme="minorHAnsi"/>
        </w:rPr>
        <w:t xml:space="preserve">9.7% CFR for treated severe cases, </w:t>
      </w:r>
      <w:r w:rsidR="00F436F0" w:rsidRPr="00455A3C">
        <w:rPr>
          <w:rFonts w:cstheme="minorHAnsi"/>
        </w:rPr>
        <w:t>we estimate</w:t>
      </w:r>
      <w:r w:rsidR="00176EF3" w:rsidRPr="00455A3C">
        <w:rPr>
          <w:rFonts w:cstheme="minorHAnsi"/>
        </w:rPr>
        <w:t xml:space="preserve"> an untreated CFR </w:t>
      </w:r>
      <w:r w:rsidR="00F436F0" w:rsidRPr="00455A3C">
        <w:rPr>
          <w:rFonts w:cstheme="minorHAnsi"/>
        </w:rPr>
        <w:t>for our simulations as follows</w:t>
      </w:r>
      <w:r w:rsidR="00176EF3" w:rsidRPr="00455A3C">
        <w:rPr>
          <w:rFonts w:cstheme="minorHAnsi"/>
        </w:rPr>
        <w:t>:</w:t>
      </w:r>
    </w:p>
    <w:p w14:paraId="16D1B64E" w14:textId="1A14EC69" w:rsidR="00201BDA" w:rsidRPr="00455A3C" w:rsidRDefault="00F436F0" w:rsidP="005354EA">
      <w:pPr>
        <w:spacing w:after="0" w:line="276" w:lineRule="auto"/>
        <w:ind w:left="720"/>
        <w:contextualSpacing/>
        <w:rPr>
          <w:rFonts w:eastAsiaTheme="minorEastAsia" w:cstheme="minorHAnsi"/>
        </w:rPr>
      </w:pPr>
      <m:oMathPara>
        <m:oMathParaPr>
          <m:jc m:val="left"/>
        </m:oMathParaPr>
        <m:oMath>
          <m:r>
            <w:rPr>
              <w:rFonts w:ascii="Cambria Math" w:hAnsi="Cambria Math" w:cstheme="minorHAnsi"/>
            </w:rPr>
            <m:t>Odds ratio=2=</m:t>
          </m:r>
          <m:f>
            <m:fPr>
              <m:ctrlPr>
                <w:rPr>
                  <w:rFonts w:ascii="Cambria Math" w:hAnsi="Cambria Math" w:cstheme="minorHAnsi"/>
                  <w:i/>
                </w:rPr>
              </m:ctrlPr>
            </m:fPr>
            <m:num>
              <m:d>
                <m:dPr>
                  <m:ctrlPr>
                    <w:rPr>
                      <w:rFonts w:ascii="Cambria Math" w:hAnsi="Cambria Math" w:cstheme="minorHAnsi"/>
                      <w:i/>
                    </w:rPr>
                  </m:ctrlPr>
                </m:dPr>
                <m:e>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u</m:t>
                          </m:r>
                        </m:sub>
                      </m:sSub>
                    </m:num>
                    <m:den>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u</m:t>
                          </m:r>
                        </m:sub>
                      </m:sSub>
                    </m:den>
                  </m:f>
                </m:e>
              </m:d>
            </m:num>
            <m:den>
              <m:d>
                <m:dPr>
                  <m:ctrlPr>
                    <w:rPr>
                      <w:rFonts w:ascii="Cambria Math" w:hAnsi="Cambria Math" w:cstheme="minorHAnsi"/>
                      <w:i/>
                    </w:rPr>
                  </m:ctrlPr>
                </m:dPr>
                <m:e>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t</m:t>
                          </m:r>
                        </m:sub>
                      </m:sSub>
                    </m:num>
                    <m:den>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t</m:t>
                          </m:r>
                        </m:sub>
                      </m:sSub>
                    </m:den>
                  </m:f>
                </m:e>
              </m:d>
            </m:den>
          </m:f>
          <m:r>
            <w:rPr>
              <w:rFonts w:ascii="Cambria Math" w:hAnsi="Cambria Math" w:cstheme="minorHAnsi"/>
            </w:rPr>
            <m:t xml:space="preserve">= </m:t>
          </m:r>
          <m:f>
            <m:fPr>
              <m:ctrlPr>
                <w:rPr>
                  <w:rFonts w:ascii="Cambria Math" w:hAnsi="Cambria Math" w:cstheme="minorHAnsi"/>
                  <w:i/>
                </w:rPr>
              </m:ctrlPr>
            </m:fPr>
            <m:num>
              <m:d>
                <m:dPr>
                  <m:ctrlPr>
                    <w:rPr>
                      <w:rFonts w:ascii="Cambria Math" w:hAnsi="Cambria Math" w:cstheme="minorHAnsi"/>
                      <w:i/>
                    </w:rPr>
                  </m:ctrlPr>
                </m:dPr>
                <m:e>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u</m:t>
                          </m:r>
                        </m:sub>
                      </m:sSub>
                    </m:num>
                    <m:den>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u</m:t>
                          </m:r>
                        </m:sub>
                      </m:sSub>
                    </m:den>
                  </m:f>
                </m:e>
              </m:d>
            </m:num>
            <m:den>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0.097</m:t>
                      </m:r>
                    </m:num>
                    <m:den>
                      <m:r>
                        <w:rPr>
                          <w:rFonts w:ascii="Cambria Math" w:hAnsi="Cambria Math" w:cstheme="minorHAnsi"/>
                        </w:rPr>
                        <m:t>0.903</m:t>
                      </m:r>
                    </m:den>
                  </m:f>
                </m:e>
              </m:d>
            </m:den>
          </m:f>
        </m:oMath>
      </m:oMathPara>
    </w:p>
    <w:p w14:paraId="4C14A904" w14:textId="29E8E8A6" w:rsidR="00176EF3" w:rsidRPr="00455A3C" w:rsidRDefault="004D7567" w:rsidP="00C0372B">
      <w:pPr>
        <w:spacing w:after="0" w:line="276" w:lineRule="auto"/>
        <w:ind w:left="720"/>
        <w:contextualSpacing/>
        <w:rPr>
          <w:rFonts w:eastAsiaTheme="minorEastAsia" w:cstheme="minorHAnsi"/>
        </w:rPr>
      </w:pPr>
      <m:oMath>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u</m:t>
            </m:r>
          </m:sub>
        </m:sSub>
        <m:r>
          <w:rPr>
            <w:rFonts w:ascii="Cambria Math" w:hAnsi="Cambria Math" w:cstheme="minorHAnsi"/>
          </w:rPr>
          <m:t xml:space="preserve">= </m:t>
        </m:r>
        <m:f>
          <m:fPr>
            <m:ctrlPr>
              <w:rPr>
                <w:rFonts w:ascii="Cambria Math" w:hAnsi="Cambria Math" w:cstheme="minorHAnsi"/>
                <w:i/>
              </w:rPr>
            </m:ctrlPr>
          </m:fPr>
          <m:num>
            <m:r>
              <w:rPr>
                <w:rFonts w:ascii="Cambria Math" w:hAnsi="Cambria Math" w:cstheme="minorHAnsi"/>
              </w:rPr>
              <m:t xml:space="preserve">2*  </m:t>
            </m:r>
            <m:f>
              <m:fPr>
                <m:ctrlPr>
                  <w:rPr>
                    <w:rFonts w:ascii="Cambria Math" w:hAnsi="Cambria Math" w:cstheme="minorHAnsi"/>
                    <w:i/>
                  </w:rPr>
                </m:ctrlPr>
              </m:fPr>
              <m:num>
                <m:r>
                  <w:rPr>
                    <w:rFonts w:ascii="Cambria Math" w:hAnsi="Cambria Math" w:cstheme="minorHAnsi"/>
                  </w:rPr>
                  <m:t>0.097</m:t>
                </m:r>
              </m:num>
              <m:den>
                <m:r>
                  <w:rPr>
                    <w:rFonts w:ascii="Cambria Math" w:hAnsi="Cambria Math" w:cstheme="minorHAnsi"/>
                  </w:rPr>
                  <m:t>0.903</m:t>
                </m:r>
              </m:den>
            </m:f>
          </m:num>
          <m:den>
            <m:d>
              <m:dPr>
                <m:ctrlPr>
                  <w:rPr>
                    <w:rFonts w:ascii="Cambria Math" w:hAnsi="Cambria Math" w:cstheme="minorHAnsi"/>
                    <w:i/>
                  </w:rPr>
                </m:ctrlPr>
              </m:dPr>
              <m:e>
                <m:r>
                  <w:rPr>
                    <w:rFonts w:ascii="Cambria Math" w:hAnsi="Cambria Math" w:cstheme="minorHAnsi"/>
                  </w:rPr>
                  <m:t xml:space="preserve">1+2*  </m:t>
                </m:r>
                <m:f>
                  <m:fPr>
                    <m:ctrlPr>
                      <w:rPr>
                        <w:rFonts w:ascii="Cambria Math" w:hAnsi="Cambria Math" w:cstheme="minorHAnsi"/>
                        <w:i/>
                      </w:rPr>
                    </m:ctrlPr>
                  </m:fPr>
                  <m:num>
                    <m:r>
                      <w:rPr>
                        <w:rFonts w:ascii="Cambria Math" w:hAnsi="Cambria Math" w:cstheme="minorHAnsi"/>
                      </w:rPr>
                      <m:t>0.097</m:t>
                    </m:r>
                  </m:num>
                  <m:den>
                    <m:r>
                      <w:rPr>
                        <w:rFonts w:ascii="Cambria Math" w:hAnsi="Cambria Math" w:cstheme="minorHAnsi"/>
                      </w:rPr>
                      <m:t>0.903</m:t>
                    </m:r>
                  </m:den>
                </m:f>
              </m:e>
            </m:d>
          </m:den>
        </m:f>
        <m:r>
          <w:rPr>
            <w:rFonts w:ascii="Cambria Math" w:hAnsi="Cambria Math" w:cstheme="minorHAnsi"/>
          </w:rPr>
          <m:t>= 0.177</m:t>
        </m:r>
      </m:oMath>
      <w:r w:rsidR="00201BDA" w:rsidRPr="00455A3C">
        <w:rPr>
          <w:rFonts w:eastAsiaTheme="minorEastAsia" w:cstheme="minorHAnsi"/>
        </w:rPr>
        <w:t xml:space="preserve">  </w:t>
      </w:r>
      <w:r w:rsidR="00065A67" w:rsidRPr="00455A3C">
        <w:rPr>
          <w:rFonts w:eastAsiaTheme="minorEastAsia" w:cstheme="minorHAnsi"/>
        </w:rPr>
        <w:t>.</w:t>
      </w:r>
    </w:p>
    <w:p w14:paraId="00AEB692" w14:textId="19C7476A" w:rsidR="00176EF3" w:rsidRDefault="00DA3D0D" w:rsidP="005354EA">
      <w:pPr>
        <w:spacing w:after="0" w:line="276" w:lineRule="auto"/>
        <w:contextualSpacing/>
        <w:rPr>
          <w:rFonts w:cstheme="minorHAnsi"/>
        </w:rPr>
      </w:pPr>
      <w:r w:rsidRPr="00455A3C">
        <w:rPr>
          <w:rFonts w:cstheme="minorHAnsi"/>
        </w:rPr>
        <w:t xml:space="preserve">Where the </w:t>
      </w:r>
      <w:r w:rsidR="007E2FB7" w:rsidRPr="00455A3C">
        <w:rPr>
          <w:rFonts w:cstheme="minorHAnsi"/>
        </w:rPr>
        <w:t>probability of death for</w:t>
      </w:r>
      <w:r w:rsidRPr="00455A3C">
        <w:rPr>
          <w:rFonts w:cstheme="minorHAnsi"/>
        </w:rPr>
        <w:t xml:space="preserve"> severe, untreated cases </w:t>
      </w:r>
      <w:r w:rsidR="007E2FB7" w:rsidRPr="00455A3C">
        <w:rPr>
          <w:rFonts w:cstheme="minorHAnsi"/>
        </w:rPr>
        <w:t>i</w:t>
      </w:r>
      <w:r w:rsidRPr="00455A3C">
        <w:rPr>
          <w:rFonts w:cstheme="minorHAnsi"/>
        </w:rPr>
        <w:t xml:space="preserve">s </w:t>
      </w:r>
      <w:r w:rsidRPr="00C0372B">
        <w:rPr>
          <w:rFonts w:cstheme="minorHAnsi"/>
          <w:i/>
          <w:iCs/>
        </w:rPr>
        <w:t>p</w:t>
      </w:r>
      <w:r w:rsidRPr="00C0372B">
        <w:rPr>
          <w:rFonts w:cstheme="minorHAnsi"/>
          <w:i/>
          <w:iCs/>
          <w:vertAlign w:val="subscript"/>
        </w:rPr>
        <w:t>u</w:t>
      </w:r>
      <w:r w:rsidR="007E2FB7" w:rsidRPr="00455A3C">
        <w:rPr>
          <w:rFonts w:cstheme="minorHAnsi"/>
        </w:rPr>
        <w:t xml:space="preserve"> and the probability of death for </w:t>
      </w:r>
      <w:r w:rsidRPr="00455A3C">
        <w:rPr>
          <w:rFonts w:cstheme="minorHAnsi"/>
        </w:rPr>
        <w:t xml:space="preserve">severe, treated cases </w:t>
      </w:r>
      <w:r w:rsidR="007E2FB7" w:rsidRPr="00455A3C">
        <w:rPr>
          <w:rFonts w:cstheme="minorHAnsi"/>
        </w:rPr>
        <w:t xml:space="preserve">is </w:t>
      </w:r>
      <w:r w:rsidR="007E2FB7" w:rsidRPr="00C0372B">
        <w:rPr>
          <w:rFonts w:cstheme="minorHAnsi"/>
          <w:i/>
          <w:iCs/>
        </w:rPr>
        <w:t>p</w:t>
      </w:r>
      <w:r w:rsidR="007E2FB7" w:rsidRPr="00C0372B">
        <w:rPr>
          <w:rFonts w:cstheme="minorHAnsi"/>
          <w:i/>
          <w:iCs/>
          <w:vertAlign w:val="subscript"/>
        </w:rPr>
        <w:t>t</w:t>
      </w:r>
      <w:r w:rsidR="007E2FB7" w:rsidRPr="00455A3C">
        <w:rPr>
          <w:rFonts w:cstheme="minorHAnsi"/>
        </w:rPr>
        <w:t xml:space="preserve">. </w:t>
      </w:r>
    </w:p>
    <w:p w14:paraId="0D0B62EF" w14:textId="77777777" w:rsidR="00FD6771" w:rsidRPr="00455A3C" w:rsidRDefault="00FD6771" w:rsidP="005354EA">
      <w:pPr>
        <w:spacing w:after="0" w:line="276" w:lineRule="auto"/>
        <w:contextualSpacing/>
        <w:rPr>
          <w:rFonts w:cstheme="minorHAnsi"/>
        </w:rPr>
      </w:pPr>
    </w:p>
    <w:p w14:paraId="162A659B" w14:textId="7458E94D" w:rsidR="001D2BE1" w:rsidRPr="00455A3C" w:rsidRDefault="00065A67" w:rsidP="005354EA">
      <w:pPr>
        <w:spacing w:after="0" w:line="276" w:lineRule="auto"/>
        <w:contextualSpacing/>
        <w:rPr>
          <w:rFonts w:cstheme="minorHAnsi"/>
        </w:rPr>
      </w:pPr>
      <w:r w:rsidRPr="00455A3C">
        <w:rPr>
          <w:rFonts w:cstheme="minorHAnsi"/>
        </w:rPr>
        <w:t xml:space="preserve">For </w:t>
      </w:r>
      <w:r w:rsidR="00CA7491" w:rsidRPr="00455A3C">
        <w:rPr>
          <w:rFonts w:cstheme="minorHAnsi"/>
        </w:rPr>
        <w:t>the</w:t>
      </w:r>
      <w:r w:rsidRPr="00455A3C">
        <w:rPr>
          <w:rFonts w:cstheme="minorHAnsi"/>
        </w:rPr>
        <w:t xml:space="preserve"> analys</w:t>
      </w:r>
      <w:r w:rsidR="00CA7491" w:rsidRPr="00455A3C">
        <w:rPr>
          <w:rFonts w:cstheme="minorHAnsi"/>
        </w:rPr>
        <w:t>i</w:t>
      </w:r>
      <w:r w:rsidRPr="00455A3C">
        <w:rPr>
          <w:rFonts w:cstheme="minorHAnsi"/>
        </w:rPr>
        <w:t>s</w:t>
      </w:r>
      <w:r w:rsidR="00CA7491" w:rsidRPr="00455A3C">
        <w:rPr>
          <w:rFonts w:cstheme="minorHAnsi"/>
        </w:rPr>
        <w:t xml:space="preserve"> results reported in the main text, we use</w:t>
      </w:r>
      <w:r w:rsidR="00C5054C">
        <w:rPr>
          <w:rFonts w:cstheme="minorHAnsi"/>
        </w:rPr>
        <w:t>d</w:t>
      </w:r>
      <w:r w:rsidR="001D2BE1" w:rsidRPr="00455A3C">
        <w:rPr>
          <w:rFonts w:cstheme="minorHAnsi"/>
        </w:rPr>
        <w:t xml:space="preserve"> </w:t>
      </w:r>
      <w:r w:rsidR="00322109" w:rsidRPr="00455A3C">
        <w:rPr>
          <w:rFonts w:cstheme="minorHAnsi"/>
        </w:rPr>
        <w:t xml:space="preserve">an </w:t>
      </w:r>
      <w:r w:rsidR="001D2BE1" w:rsidRPr="00455A3C">
        <w:rPr>
          <w:rFonts w:cstheme="minorHAnsi"/>
        </w:rPr>
        <w:t xml:space="preserve">intermediate </w:t>
      </w:r>
      <w:r w:rsidRPr="00455A3C">
        <w:rPr>
          <w:rFonts w:cstheme="minorHAnsi"/>
        </w:rPr>
        <w:t xml:space="preserve">severe, untreated CFR </w:t>
      </w:r>
      <w:r w:rsidR="001D2BE1" w:rsidRPr="00455A3C">
        <w:rPr>
          <w:rFonts w:cstheme="minorHAnsi"/>
        </w:rPr>
        <w:t xml:space="preserve">value of </w:t>
      </w:r>
      <w:r w:rsidR="00201BDA" w:rsidRPr="00455A3C">
        <w:rPr>
          <w:rFonts w:cstheme="minorHAnsi"/>
        </w:rPr>
        <w:t>33%</w:t>
      </w:r>
      <w:r w:rsidR="001D2BE1" w:rsidRPr="00455A3C">
        <w:rPr>
          <w:rFonts w:cstheme="minorHAnsi"/>
        </w:rPr>
        <w:t xml:space="preserve">, </w:t>
      </w:r>
      <w:r w:rsidRPr="00455A3C">
        <w:rPr>
          <w:rFonts w:cstheme="minorHAnsi"/>
        </w:rPr>
        <w:t>but</w:t>
      </w:r>
      <w:r w:rsidR="00C449D4" w:rsidRPr="00455A3C">
        <w:rPr>
          <w:rFonts w:cstheme="minorHAnsi"/>
        </w:rPr>
        <w:t xml:space="preserve"> </w:t>
      </w:r>
      <w:r w:rsidR="001D2BE1" w:rsidRPr="00455A3C">
        <w:rPr>
          <w:rFonts w:cstheme="minorHAnsi"/>
        </w:rPr>
        <w:t xml:space="preserve">we also repeated the analyses for </w:t>
      </w:r>
      <w:r w:rsidRPr="00455A3C">
        <w:rPr>
          <w:rFonts w:cstheme="minorHAnsi"/>
        </w:rPr>
        <w:t xml:space="preserve">CFRs </w:t>
      </w:r>
      <w:r w:rsidR="001D2BE1" w:rsidRPr="00455A3C">
        <w:rPr>
          <w:rFonts w:cstheme="minorHAnsi"/>
        </w:rPr>
        <w:t>of 5</w:t>
      </w:r>
      <w:r w:rsidR="00B2121B" w:rsidRPr="00455A3C">
        <w:rPr>
          <w:rFonts w:cstheme="minorHAnsi"/>
        </w:rPr>
        <w:t>3</w:t>
      </w:r>
      <w:r w:rsidR="00201BDA" w:rsidRPr="00455A3C">
        <w:rPr>
          <w:rFonts w:cstheme="minorHAnsi"/>
        </w:rPr>
        <w:t>.</w:t>
      </w:r>
      <w:r w:rsidR="00B2121B" w:rsidRPr="00455A3C">
        <w:rPr>
          <w:rFonts w:cstheme="minorHAnsi"/>
        </w:rPr>
        <w:t>9</w:t>
      </w:r>
      <w:r w:rsidR="00201BDA" w:rsidRPr="00455A3C">
        <w:rPr>
          <w:rFonts w:cstheme="minorHAnsi"/>
        </w:rPr>
        <w:t>%</w:t>
      </w:r>
      <w:r w:rsidR="001D2BE1" w:rsidRPr="00455A3C">
        <w:rPr>
          <w:rFonts w:cstheme="minorHAnsi"/>
        </w:rPr>
        <w:t xml:space="preserve"> and 1</w:t>
      </w:r>
      <w:r w:rsidR="00B2121B" w:rsidRPr="00455A3C">
        <w:rPr>
          <w:rFonts w:cstheme="minorHAnsi"/>
        </w:rPr>
        <w:t>7</w:t>
      </w:r>
      <w:r w:rsidR="00201BDA" w:rsidRPr="00455A3C">
        <w:rPr>
          <w:rFonts w:cstheme="minorHAnsi"/>
        </w:rPr>
        <w:t>.</w:t>
      </w:r>
      <w:r w:rsidR="00B2121B" w:rsidRPr="00455A3C">
        <w:rPr>
          <w:rFonts w:cstheme="minorHAnsi"/>
        </w:rPr>
        <w:t>7</w:t>
      </w:r>
      <w:r w:rsidR="00201BDA" w:rsidRPr="00455A3C">
        <w:rPr>
          <w:rFonts w:cstheme="minorHAnsi"/>
        </w:rPr>
        <w:t>%</w:t>
      </w:r>
      <w:r w:rsidR="001D2BE1" w:rsidRPr="00455A3C">
        <w:rPr>
          <w:rFonts w:cstheme="minorHAnsi"/>
        </w:rPr>
        <w:t xml:space="preserve"> and saw </w:t>
      </w:r>
      <w:r w:rsidR="00392D70" w:rsidRPr="00455A3C">
        <w:rPr>
          <w:rFonts w:cstheme="minorHAnsi"/>
        </w:rPr>
        <w:t>very similar</w:t>
      </w:r>
      <w:r w:rsidR="00CA1B13" w:rsidRPr="00455A3C">
        <w:rPr>
          <w:rFonts w:cstheme="minorHAnsi"/>
        </w:rPr>
        <w:t xml:space="preserve"> </w:t>
      </w:r>
      <w:r w:rsidR="00392D70" w:rsidRPr="00455A3C">
        <w:rPr>
          <w:rFonts w:cstheme="minorHAnsi"/>
        </w:rPr>
        <w:t xml:space="preserve">patterns of </w:t>
      </w:r>
      <w:r w:rsidR="00CA1B13" w:rsidRPr="00455A3C">
        <w:rPr>
          <w:rFonts w:cstheme="minorHAnsi"/>
        </w:rPr>
        <w:t>mortality rates</w:t>
      </w:r>
      <w:r w:rsidR="001D2BE1" w:rsidRPr="00455A3C">
        <w:rPr>
          <w:rFonts w:cstheme="minorHAnsi"/>
        </w:rPr>
        <w:t xml:space="preserve"> relative to the business as usual scenario.</w:t>
      </w:r>
      <w:r w:rsidR="00C31743" w:rsidRPr="00455A3C">
        <w:rPr>
          <w:rFonts w:cstheme="minorHAnsi"/>
        </w:rPr>
        <w:t xml:space="preserve"> We assume all CFRs are age-independent and that all deaths are preceded by an episode of severe malaria. Incidence of severe malaria in EMOD is calibrated to data on severe disease from </w:t>
      </w:r>
      <w:r w:rsidR="00C51DEB" w:rsidRPr="00455A3C">
        <w:rPr>
          <w:rFonts w:cstheme="minorHAnsi"/>
        </w:rPr>
        <w:fldChar w:fldCharType="begin" w:fldLock="1"/>
      </w:r>
      <w:r w:rsidR="00C72B9D">
        <w:rPr>
          <w:rFonts w:cstheme="minorHAnsi"/>
        </w:rPr>
        <w:instrText>ADDIN CSL_CITATION {"citationItems":[{"id":"ITEM-1","itemData":{"ISSN":"00482951","PMID":"10697862","abstract":"Stable malaria endemicity is maintained over a wide range of transmission intensities in sub-Saharan Africa. This paper considers variations in the clinical manifestations and their consequences with differences in transmission intensity. Epidemiological approaches to malarial disease have concentrated on two clinical syndromes, severe malarial anaemia and cerebral malaria. Within an area the mean age of children with severe malarial anaemia is always lower than that of those with cerebral malaria. In areas of higher malaria transmission children, on average, encounter malaria at a younger age and the mean age of clinical cases is lower Malarial anaemia tends therefore to be relatively more important under high transmission settings and cerebral malaria tends to gain in importance under lower transmission settings. In a number of studies the total load of malaria morbidity, whether measured as none severe malaria in the community or as severe malaria admitted to hospital, is low under stable low transmission conditions but is at its highest under moderate intensities of transmission. Thereafter it reaches a plateau, or even falls, at the highest transmission intensities. It is not known whether the same is true for mortality in communities living under different transmission settings. Possible implications for changes in patterns of morbidity and mortality following interventions which lower malaria transmission are discussed. It is concluded that such interventions should play an important role in integrated malaria control programmes but that these should involve concomitant introduction of other interventions, in order to minimise the possible risks of a reduced effect as the immune response of the population re-equilibrates in the face of reduced challenge.","author":[{"dropping-particle":"","family":"Marsh","given":"K.","non-dropping-particle":"","parse-names":false,"suffix":""},{"dropping-particle":"","family":"Snow","given":"R. W.","non-dropping-particle":"","parse-names":false,"suffix":""}],"container-title":"Parassitologia","id":"ITEM-1","issue":"1-3","issued":{"date-parts":[["1999","9","1"]]},"page":"241-246","title":"Malaria transmission and morbidity","type":"article-journal","volume":"41"},"uris":["http://www.mendeley.com/documents/?uuid=6b9ee3d5-47bf-3984-8527-28205195f689"]}],"mendeley":{"formattedCitation":"[34]","plainTextFormattedCitation":"[34]","previouslyFormattedCitation":"[34]"},"properties":{"noteIndex":0},"schema":"https://github.com/citation-style-language/schema/raw/master/csl-citation.json"}</w:instrText>
      </w:r>
      <w:r w:rsidR="00C51DEB" w:rsidRPr="00455A3C">
        <w:rPr>
          <w:rFonts w:cstheme="minorHAnsi"/>
        </w:rPr>
        <w:fldChar w:fldCharType="separate"/>
      </w:r>
      <w:r w:rsidR="00D540A2" w:rsidRPr="00D540A2">
        <w:rPr>
          <w:rFonts w:cstheme="minorHAnsi"/>
          <w:noProof/>
        </w:rPr>
        <w:t>[34]</w:t>
      </w:r>
      <w:r w:rsidR="00C51DEB" w:rsidRPr="00455A3C">
        <w:rPr>
          <w:rFonts w:cstheme="minorHAnsi"/>
        </w:rPr>
        <w:fldChar w:fldCharType="end"/>
      </w:r>
      <w:r w:rsidR="00B31099">
        <w:rPr>
          <w:rFonts w:cstheme="minorHAnsi"/>
        </w:rPr>
        <w:t xml:space="preserve"> </w:t>
      </w:r>
      <w:r w:rsidR="00C31743" w:rsidRPr="00455A3C">
        <w:rPr>
          <w:rFonts w:cstheme="minorHAnsi"/>
        </w:rPr>
        <w:t xml:space="preserve">following the method in </w:t>
      </w:r>
      <w:r w:rsidR="00C51DEB" w:rsidRPr="00455A3C">
        <w:rPr>
          <w:rFonts w:cstheme="minorHAnsi"/>
        </w:rPr>
        <w:fldChar w:fldCharType="begin" w:fldLock="1"/>
      </w:r>
      <w:r w:rsidR="00C72B9D">
        <w:rPr>
          <w:rFonts w:cstheme="minorHAnsi"/>
        </w:rPr>
        <w:instrText>ADDIN CSL_CITATION {"citationItems":[{"id":"ITEM-1","itemData":{"DOI":"10.1186/1475-2875-14-6","ISSN":"14752875","PMID":"25563798","abstract":"Background: A pre-erythrocytic vaccine could provide a useful tool for burden reduction and eventual eradication of malaria. Mathematical malaria models provide a mechanism for evaluating the effective burden reduction across a range of transmission conditions where such a vaccine might be deployed. Methods: The EMOD model is an individual-based model of malaria transmission dynamics, including vector lifecycles and species-specific behaviour, coupled to a mechanistic intrahost model of malaria parasite and host immune system dynamics. The present work describes the extension of the EMOD model to include diagnoses of severe malaria and iterative calibration of the immune system parameters and parasite antigenic variation to age-stratified prevalence, incidence and severe disease incidence data obtained from multiple regions with broadly varying transmission conditions in Africa. An ensemble of calibrated model parameter sets is then employed to evaluate the potential impact of routine immunization with a pre-erythrocytic vaccine. Results: The reduction in severe malaria burden exhibits a broad peak at moderate transmission conditions. Under sufficiently intense transmission, a vaccine that reduces but does not eliminate the probability of acquisition from a single challenge bite may delay infections but produces minimal or no net reduction. Conversely, under sufficiently weak transmission conditions, a vaccine can provide a high fractional reduction but avert a relatively low absolute number of cases due to low baseline burden. Conclusions: Roll-out of routine immunization with pre-erythrocytic malaria vaccines can provide substantial burden reduction across a range of transmission conditions typical to many regions in Africa.","author":[{"dropping-particle":"","family":"McCarthy","given":"Kevin A.","non-dropping-particle":"","parse-names":false,"suffix":""},{"dropping-particle":"","family":"Wenger","given":"Edward A.","non-dropping-particle":"","parse-names":false,"suffix":""},{"dropping-particle":"","family":"Huynh","given":"Grace H.","non-dropping-particle":"","parse-names":false,"suffix":""},{"dropping-particle":"","family":"Eckhoff","given":"Philip A.","non-dropping-particle":"","parse-names":false,"suffix":""}],"container-title":"Malaria Journal","id":"ITEM-1","issue":"1","issued":{"date-parts":[["2015","12","7"]]},"page":"6","publisher":"BioMed Central Ltd.","title":"Calibration of an intrahost malaria model and parameter ensemble evaluation of a pre-erythrocytic vaccine","type":"article-journal","volume":"14"},"uris":["http://www.mendeley.com/documents/?uuid=d7816610-0725-3990-9223-a0ceabb2764c"]}],"mendeley":{"formattedCitation":"[35]","plainTextFormattedCitation":"[35]","previouslyFormattedCitation":"[35]"},"properties":{"noteIndex":0},"schema":"https://github.com/citation-style-language/schema/raw/master/csl-citation.json"}</w:instrText>
      </w:r>
      <w:r w:rsidR="00C51DEB" w:rsidRPr="00455A3C">
        <w:rPr>
          <w:rFonts w:cstheme="minorHAnsi"/>
        </w:rPr>
        <w:fldChar w:fldCharType="separate"/>
      </w:r>
      <w:r w:rsidR="00D540A2" w:rsidRPr="00D540A2">
        <w:rPr>
          <w:rFonts w:cstheme="minorHAnsi"/>
          <w:noProof/>
        </w:rPr>
        <w:t>[35]</w:t>
      </w:r>
      <w:r w:rsidR="00C51DEB" w:rsidRPr="00455A3C">
        <w:rPr>
          <w:rFonts w:cstheme="minorHAnsi"/>
        </w:rPr>
        <w:fldChar w:fldCharType="end"/>
      </w:r>
      <w:r w:rsidR="00C31743" w:rsidRPr="00455A3C">
        <w:rPr>
          <w:rFonts w:cstheme="minorHAnsi"/>
        </w:rPr>
        <w:t>.</w:t>
      </w:r>
    </w:p>
    <w:p w14:paraId="71663A15" w14:textId="77777777" w:rsidR="00A11DB0" w:rsidRPr="00455A3C" w:rsidRDefault="00A11DB0" w:rsidP="005354EA">
      <w:pPr>
        <w:spacing w:after="0" w:line="276" w:lineRule="auto"/>
        <w:contextualSpacing/>
        <w:rPr>
          <w:rFonts w:cstheme="minorHAnsi"/>
        </w:rPr>
      </w:pPr>
    </w:p>
    <w:p w14:paraId="5443A0CF" w14:textId="51B42688" w:rsidR="00A11DB0" w:rsidRPr="00455A3C" w:rsidRDefault="00DC6468" w:rsidP="005354EA">
      <w:pPr>
        <w:pStyle w:val="Heading2"/>
        <w:spacing w:line="276" w:lineRule="auto"/>
        <w:rPr>
          <w:rFonts w:asciiTheme="minorHAnsi" w:hAnsiTheme="minorHAnsi" w:cstheme="minorHAnsi"/>
          <w:sz w:val="22"/>
          <w:szCs w:val="22"/>
        </w:rPr>
      </w:pPr>
      <w:bookmarkStart w:id="23" w:name="_Toc77757594"/>
      <w:r w:rsidRPr="00455A3C">
        <w:rPr>
          <w:rFonts w:asciiTheme="minorHAnsi" w:hAnsiTheme="minorHAnsi" w:cstheme="minorHAnsi"/>
          <w:sz w:val="22"/>
          <w:szCs w:val="22"/>
        </w:rPr>
        <w:t>Mortality from s</w:t>
      </w:r>
      <w:r w:rsidR="00A11DB0" w:rsidRPr="00455A3C">
        <w:rPr>
          <w:rFonts w:asciiTheme="minorHAnsi" w:hAnsiTheme="minorHAnsi" w:cstheme="minorHAnsi"/>
          <w:sz w:val="22"/>
          <w:szCs w:val="22"/>
        </w:rPr>
        <w:t>evere maternal anemia attributable to malaria in pregnancy</w:t>
      </w:r>
      <w:bookmarkEnd w:id="23"/>
    </w:p>
    <w:p w14:paraId="598086C7" w14:textId="5ECA7BBC" w:rsidR="00D25E0E" w:rsidRPr="00455A3C" w:rsidRDefault="00A11DB0" w:rsidP="00D25E0E">
      <w:pPr>
        <w:spacing w:after="0" w:line="276" w:lineRule="auto"/>
        <w:contextualSpacing/>
        <w:rPr>
          <w:rFonts w:cstheme="minorHAnsi"/>
        </w:rPr>
      </w:pPr>
      <w:r w:rsidRPr="00455A3C">
        <w:rPr>
          <w:rFonts w:cstheme="minorHAnsi"/>
        </w:rPr>
        <w:t>Individuals with malaria in pregnancy are at a higher risk of severe malaria and malaria-attributable mortality than their non-pregnant counterparts</w:t>
      </w:r>
      <w:r w:rsidR="00146963"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10.1080/00034989859816","ISSN":"0003-4983","author":[{"dropping-particle":"","family":"Granja","given":"A.C.","non-dropping-particle":"","parse-names":false,"suffix":""},{"dropping-particle":"","family":"Machungo","given":"F.","non-dropping-particle":"","parse-names":false,"suffix":""},{"dropping-particle":"","family":"Gomes","given":"A.","non-dropping-particle":"","parse-names":false,"suffix":""},{"dropping-particle":"","family":"Bergstrom","given":"S.","non-dropping-particle":"","parse-names":false,"suffix":""},{"dropping-particle":"","family":"Brabin","given":"B.","non-dropping-particle":"","parse-names":false,"suffix":""}],"container-title":"Annals of Tropical Medicine And Parasitology","id":"ITEM-1","issue":"3","issued":{"date-parts":[["1998","4"]]},"page":"257-263","title":"Malaria related maternal mortality in Mozambique urban","type":"article-journal","volume":"92"},"uris":["http://www.mendeley.com/documents/?uuid=0d5a7084-26da-491d-ba4c-8c898afe4553"]},{"id":"ITEM-2","itemData":{"ISSN":"1941-2797","PMID":"19826576","abstract":"Malaria, a parasitic infection transmitted by mosquitoes, is one of the most devastating infectious diseases, killing more than 1 million people annually. Pregnant women, children, and immunocompromised individuals have the highest morbidity and mortality, and Africa bears the heaviest burden. The World Health Organization defines malaria as a disease of poverty caused by poverty. Pregnant women infected with malaria usually have more severe symptoms and outcomes, with higher rates of miscarriage, intrauterine demise, premature delivery, low-birth-weight neonates, and neonatal death. They are also at a higher risk for severe anemia and maternal death. Malaria can be prevented with appropriate drugs, bed nets treated with insecticide, and effective educational outreach programs.","author":[{"dropping-particle":"","family":"Schantz-Dunn","given":"Julianna","non-dropping-particle":"","parse-names":false,"suffix":""},{"dropping-particle":"","family":"Nour","given":"Nawal M","non-dropping-particle":"","parse-names":false,"suffix":""}],"container-title":"Reviews in obstetrics &amp; gynecology","id":"ITEM-2","issued":{"date-parts":[["2009"]]},"title":"Malaria and pregnancy: a global health perspective.","type":"article-journal"},"uris":["http://www.mendeley.com/documents/?uuid=3e59958a-741f-4e7f-9eb4-0862eeb97ffd"]},{"id":"ITEM-3","itemData":{"DOI":"10.1016/j.trstmh.2010.01.013","ISSN":"00359203","PMID":"20207387","abstract":"Plasmodium falciparum infection during pregnancy causes maternal anemia and low birth weight (LBW), but the effect of frequency and timing of infection on the severity of these adverse effects is unknown. We conducted a cohort study recruiting 2462 pregnant women in Malawi. Microscopy was used to diagnose malaria at enrollment, follow-up and delivery. Birth weight and maternal hemoglobin were measured at delivery. The association between timing and frequency of infection and LBW and maternal anemia was analyzed using a binomial regression model. Compared with uninfected women, (i) the risk of LBW increased with the number of malaria episodes [one episode: prevalence ratio (PR) 1.62 (95% CI 1.07-2.46); two episodes: PR 2.41 (95% CI 1.39-4.18)]; (ii) the risk for maternal anemia increased with the number of malaria episodes [one episode: PR 1.15 (95% CI 0.86-1.54); two episodes: PR 1.82 (95% CI 1.28-2.62)]; and (iii) the risk of LBW was higher with infection in the second (PR 1.71; 95% CI 1.06-2.74) than third trimester or at delivery (PR 1.55; 95% CI 0.88-2.75). The timing and frequency of P. falciparum infection during pregnancy affected the risk of LBW but only frequency of infection had an effect on the risk of maternal anemia. Identification of gestational periods when malaria causes most adverse outcomes will facilitate effective targeting of interventions. © 2010 Royal Society of Tropical Medicine and Hygiene.","author":[{"dropping-particle":"","family":"Kalilani","given":"Linda","non-dropping-particle":"","parse-names":false,"suffix":""},{"dropping-particle":"","family":"Mofolo","given":"Innocent","non-dropping-particle":"","parse-names":false,"suffix":""},{"dropping-particle":"","family":"Chaponda","given":"Marjorie","non-dropping-particle":"","parse-names":false,"suffix":""},{"dropping-particle":"","family":"Rogerson","given":"Stephen J.","non-dropping-particle":"","parse-names":false,"suffix":""},{"dropping-particle":"","family":"Meshnick","given":"Steven R.","non-dropping-particle":"","parse-names":false,"suffix":""}],"container-title":"Transactions of the Royal Society of Tropical Medicine and Hygiene","id":"ITEM-3","issued":{"date-parts":[["2010"]]},"title":"The effect of timing and frequency of Plasmodium falciparum infection during pregnancy on the risk of low birth weight and maternal anemia","type":"article-journal"},"uris":["http://www.mendeley.com/documents/?uuid=c23f1998-e61b-402c-bb17-4c0aa9e0a373"]},{"id":"ITEM-4","itemData":{"DOI":"10.1186/1475-2875-10-72","ISSN":"1475-2875","abstract":"It is generally agreed that in high transmission areas, pregnant women have acquired a partial immunity to malaria and when infected they present few or no symptoms. However, longitudinal cohort studies investigating the clinical presentation of malaria infection in pregnant women in stable endemic areas are lacking, and the few studies exploring this issue are unconclusive.","author":[{"dropping-particle":"","family":"Huynh","given":"Bich-Tram","non-dropping-particle":"","parse-names":false,"suffix":""},{"dropping-particle":"","family":"Fievet","given":"Nadine","non-dropping-particle":"","parse-names":false,"suffix":""},{"dropping-particle":"","family":"Gbaguidi","given":"Gildas","non-dropping-particle":"","parse-names":false,"suffix":""},{"dropping-particle":"","family":"Borgella","given":"Sophie","non-dropping-particle":"","parse-names":false,"suffix":""},{"dropping-particle":"","family":"Mévo","given":"Blaise Guézo","non-dropping-particle":"","parse-names":false,"suffix":""},{"dropping-particle":"","family":"Massougbodji","given":"Achille","non-dropping-particle":"","parse-names":false,"suffix":""},{"dropping-particle":"","family":"Deloron","given":"Philippe","non-dropping-particle":"","parse-names":false,"suffix":""},{"dropping-particle":"","family":"Cot","given":"Michel","non-dropping-particle":"","parse-names":false,"suffix":""}],"container-title":"Malaria Journal","id":"ITEM-4","issue":"1","issued":{"date-parts":[["2011"]]},"page":"72","title":"Malaria associated symptoms in pregnant women followed-up in Benin","type":"article-journal","volume":"10"},"uris":["http://www.mendeley.com/documents/?uuid=b96582af-2931-49ae-a22d-db0823e0de52","http://www.mendeley.com/documents/?uuid=79dc3bef-e457-418c-b299-12889239e76f"]},{"id":"ITEM-5","itemData":{"PMID":"12292301","author":[{"dropping-particle":"","family":"Brabin","given":"B","non-dropping-particle":"","parse-names":false,"suffix":""}],"container-title":"African Health ","id":"ITEM-5","issue":"2","issued":{"date-parts":[["1997","1"]]},"title":"Malaria in pregnancy: current issues ","type":"article-journal","volume":"19"},"uris":["http://www.mendeley.com/documents/?uuid=43a83004-39c1-31ff-985b-075344d3517f"]}],"mendeley":{"formattedCitation":"[36–40]","plainTextFormattedCitation":"[36–40]","previouslyFormattedCitation":"[36–40]"},"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[36–40]</w:t>
      </w:r>
      <w:r w:rsidR="00146963" w:rsidRPr="00C0372B">
        <w:rPr>
          <w:rFonts w:cstheme="minorHAnsi"/>
        </w:rPr>
        <w:fldChar w:fldCharType="end"/>
      </w:r>
      <w:r w:rsidRPr="00455A3C">
        <w:rPr>
          <w:rFonts w:cstheme="minorHAnsi"/>
        </w:rPr>
        <w:t>. Much of this increased risk comes from severe anemia, particularly in malaria-infected first or second pregnancies</w:t>
      </w:r>
      <w:r w:rsidR="00146963"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{"citationItems":[{"id":"ITEM-1","itemData":{"DOI":"10.1016/S1473-3099(07)70021-X","ISSN":"14733099","PMID":"17251080","abstract":"We reviewed evidence of the clinical implications and burden of malaria in pregnancy. Most studies come from sub-Saharan Africa, where approximately 25 million pregnant women are at risk of Plasmodium falciparum infection every year, and one in four women have evidence of placental infection at the time of delivery. P falciparum infections during pregnancy in Africa rarely result in fever and therefore remain undetected and untreated. Meta-analyses of intervention trials suggest that successful prevention of these infections reduces the risk of severe maternal anaemia by 38%, low birthweight by 43%, and perinatal mortality by 27% among paucigravidae. Low birthweight associated with malaria in pregnancy is estimated to result in 100 000 infant deaths in Africa each year. Although paucigravidae are most affected by malaria, the consequences for infants born to multigravid women in Africa may be greater than previously appreciated. This is because HIV increases the risk of malaria and its adverse effects, particularly in multigravidae, and recent observational studies show that placental infection almost doubles the risk of malaria infection and morbidity in infants born to multigravidae. Outside Africa, malaria infection rates in pregnant women are much lower but are more likely to cause severe disease, preterm births, and fetal loss. Plasmodium vivax is common in Asia and the Americas and, unlike P falciparum, does not cytoadhere in the placenta, yet, is associated with maternal anaemia and low birthweight. The effect of infection in the first trimester, and the longer term effects of malaria beyond infancy, are largely unknown and may be substantial. Better estimates are also needed of the effects of malaria in pregnancy outside Africa, and on maternal morbidity and mortality in Africa. Global risk maps will allow better estimation of potential impact of successful control of malaria in pregnancy. © 2007 Elsevier Ltd. All rights reserved.","author":[{"dropping-particle":"","family":"Desai","given":"Meghna","non-dropping-particle":"","parse-names":false,"suffix":""},{"dropping-particle":"","family":"Kuile","given":"Feiko O.","non-dropping-particle":"ter","parse-names":false,"suffix":""},{"dropping-particle":"","family":"Nosten","given":"François","non-dropping-particle":"","parse-names":false,"suffix":""},{"dropping-particle":"","family":"McGready","given":"Rose","non-dropping-particle":"","parse-names":false,"suffix":""},{"dropping-particle":"","family":"Asamoa","given":"Kwame","non-dropping-particle":"","parse-names":false,"suffix":""},{"dropping-particle":"","family":"Brabin","given":"Bernard","non-dropping-particle":"","parse-names":false,"suffix":""},{"dropping-particle":"","family":"Newman","given":"Robert D.","non-dropping-particle":"","parse-names":false,"suffix":""}],"container-title":"Lancet Infectious Diseases","id":"ITEM-1","issue":"2","issued":{"date-parts":[["2007","2"]]},"page":"93-104","publisher":"Lancet Infect Dis","title":"Epidemiology and burden of malaria in pregnancy","type":"article","volume":"7"},"uris":["http://www.mendeley.com/documents/?uuid=00e7c705-7551-33da-8043-a8cd2a1502b2"]},{"id":"ITEM-2","itemData":{"DOI":"10.1080/00034989859816","ISSN":"0003-4983","author":[{"dropping-particle":"","family":"Granja","given":"A.C.","non-dropping-particle":"","parse-names":false,"suffix":""},{"dropping-particle":"","family":"Machungo","given":"F.","non-dropping-particle":"","parse-names":false,"suffix":""},{"dropping-particle":"","family":"Gomes","given":"A.","non-dropping-particle":"","parse-names":false,"suffix":""},{"dropping-particle":"","family":"Bergstrom","given":"S.","non-dropping-particle":"","parse-names":false,"suffix":""},{"dropping-particle":"","family":"Brabin","given":"B.","non-dropping-particle":"","parse-names":false,"suffix":""}],"container-title":"Annals of Tropical Medicine And Parasitology","id":"ITEM-2","issue":"3","issued":{"date-parts":[["1998","4"]]},"page":"257-263","title":"Malaria related maternal mortality in Mozambique urban","type":"article-journal","volume":"92"},"uris":["http://www.mendeley.com/documents/?uuid=0d5a7084-26da-491d-ba4c-8c898afe4553"]},{"id":"ITEM-3","itemData":{"ISSN":"1941-2797","PMID":"19826576","abstract":"Malaria, a parasitic infection transmitted by mosquitoes, is one of the most devastating infectious diseases, killing more than 1 million people annually. Pregnant women, children, and immunocompromised individuals have the highest morbidity and mortality, and Africa bears the heaviest burden. The World Health Organization defines malaria as a disease of poverty caused by poverty. Pregnant women infected with malaria usually have more severe symptoms and outcomes, with higher rates of miscarriage, intrauterine demise, premature delivery, low-birth-weight neonates, and neonatal death. They are also at a higher risk for severe anemia and maternal death. Malaria can be prevented with appropriate drugs, bed nets treated with insecticide, and effective educational outreach programs.","author":[{"dropping-particle":"","family":"Schantz-Dunn","given":"Julianna","non-dropping-particle":"","parse-names":false,"suffix":""},{"dropping-particle":"","family":"Nour","given":"Nawal M","non-dropping-particle":"","parse-names":false,"suffix":""}],"container-title":"Reviews in obstetrics &amp; gynecology","id":"ITEM-3","issued":{"date-parts":[["2009"]]},"title":"Malaria and pregnancy: a global health perspective.","type":"article-journal"},"uris":["http://www.mendeley.com/documents/?uuid=3e59958a-741f-4e7f-9eb4-0862eeb97ffd"]}],"mendeley":{"formattedCitation":"[36,37,41]","plainTextFormattedCitation":"[36,37,41]","previouslyFormattedCitation":"[36,37,41]"},"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[36,37,41]</w:t>
      </w:r>
      <w:r w:rsidR="00146963" w:rsidRPr="00C0372B">
        <w:rPr>
          <w:rFonts w:cstheme="minorHAnsi"/>
        </w:rPr>
        <w:fldChar w:fldCharType="end"/>
      </w:r>
      <w:r w:rsidRPr="00455A3C">
        <w:rPr>
          <w:rFonts w:cstheme="minorHAnsi"/>
        </w:rPr>
        <w:t xml:space="preserve">. For our simulations, </w:t>
      </w:r>
      <w:r w:rsidR="001D582E" w:rsidRPr="00455A3C">
        <w:rPr>
          <w:rFonts w:cstheme="minorHAnsi"/>
        </w:rPr>
        <w:t>we assume</w:t>
      </w:r>
      <w:r w:rsidR="00494E03">
        <w:rPr>
          <w:rFonts w:cstheme="minorHAnsi"/>
        </w:rPr>
        <w:t>d</w:t>
      </w:r>
      <w:r w:rsidR="001D582E" w:rsidRPr="00455A3C">
        <w:rPr>
          <w:rFonts w:cstheme="minorHAnsi"/>
        </w:rPr>
        <w:t xml:space="preserve"> that </w:t>
      </w:r>
      <w:r w:rsidR="00D25E0E" w:rsidRPr="00455A3C">
        <w:rPr>
          <w:rFonts w:cstheme="minorHAnsi"/>
        </w:rPr>
        <w:t xml:space="preserve">without IPTp, </w:t>
      </w:r>
      <w:r w:rsidR="001D582E" w:rsidRPr="00455A3C">
        <w:rPr>
          <w:rFonts w:cstheme="minorHAnsi"/>
        </w:rPr>
        <w:t>there is a 5</w:t>
      </w:r>
      <w:r w:rsidR="00082310" w:rsidRPr="00455A3C">
        <w:rPr>
          <w:rFonts w:cstheme="minorHAnsi"/>
        </w:rPr>
        <w:t>.7</w:t>
      </w:r>
      <w:r w:rsidR="001D582E" w:rsidRPr="00455A3C">
        <w:rPr>
          <w:rFonts w:cstheme="minorHAnsi"/>
        </w:rPr>
        <w:t>% probability that malaria during a first or second pregnancy results in malaria-attributable severe maternal anemia</w:t>
      </w:r>
      <w:r w:rsidR="00146963"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10.4269/ajtmh.2001.64.36","ISSN":"0002-9637","author":[{"dropping-particle":"","family":"Guyatt","given":"HL","non-dropping-particle":"","parse-names":false,"suffix":""},{"dropping-particle":"","family":"Snow","given":"RW","non-dropping-particle":"","parse-names":false,"suffix":""}],"container-title":"The American Journal of Tropical Medicine and Hygiene","id":"ITEM-1","issue":"1_suppl","issued":{"date-parts":[["2001","1"]]},"page":"36-44","title":"The epidemiology and burden of Plasmodium falciparum-related anemia among pregnant women in sub-Saharan Africa","type":"article-journal","volume":"64"},"uris":["http://www.mendeley.com/documents/?uuid=e6aec5a3-3c3a-4594-94e7-b6a90e22313e","http://www.mendeley.com/documents/?uuid=6d437f74-1fac-4f93-ae16-111c3201ee24"]},{"id":"ITEM-2","itemData":{"DOI":"10.1046/j.1365-3156.2001.00786.x","ISSN":"13602276","PMID":"11679125","abstract":"BACKGROUND: In areas of endemic transmission, malaria in pregnancy is associated with severe maternal anaemia and low birthweight babies. The prevalence of infection is highest in primigravidae (PG), and hence control efforts are usually geared towards this high risk group. Using a sensitive measure of placental infection, we investigated the relationship between active-acute, active-chronic and past placental infection with maternal anaemia and low birthweight in women of all gravidities. METHODS: Between January 1996 and July 1997, 912 women delivering in Kilifi District Hospital, Kenya, were recruited. Haemoglobin and peripheral malaria slides were taken prior to delivery, placental biopsies and smears were taken at the time of delivery and birthweight and maternal height and weight were measured soon after birth. Information was obtained on socio-economic and educational status. The association between placental malaria, severe anaemia and low birthweight was investigated for women of different gravidities. FINDINGS: By placental histology, the prevalence of active or past malaria in all gravidities was high, ranging from 64% in PG to 30% in gravidities 5 and above. In gravidities 1-4, active malaria infection was associated with severe maternal anaemia, adjusted OR 2.21 (95% CI 1.36, 3.61). There was a significant interaction between chronic or past malaria and severe anaemia in their effects on birthweight, whereby the risk of low birthweight was very high in women with both chronic or past placental malaria and severe anaemia: OR 4.53 (1.19, 17.2) in PG; 13.5 (4.57, 40) in gravidities 2-4. INTERPRETATION: In this area of moderate malaria transmission, women of all parities have substantially increased risk of low birthweight and severe anaemia as a result of malaria infection in pregnancy. The risk of low birthweight is likely to be particularly high in areas with a high prevalence of severe anaemia.","author":[{"dropping-particle":"","family":"Shulman","given":"C. E.","non-dropping-particle":"","parse-names":false,"suffix":""},{"dropping-particle":"","family":"Marshall","given":"T.","non-dropping-particle":"","parse-names":false,"suffix":""},{"dropping-particle":"","family":"Dorman","given":"E. K.","non-dropping-particle":"","parse-names":false,"suffix":""},{"dropping-particle":"","family":"Bulmer","given":"J. N.","non-dropping-particle":"","parse-names":false,"suffix":""},{"dropping-particle":"","family":"Cutts","given":"F.","non-dropping-particle":"","parse-names":false,"suffix":""},{"dropping-particle":"","family":"Peshu","given":"N.","non-dropping-particle":"","parse-names":false,"suffix":""},{"dropping-particle":"","family":"Marsh","given":"K.","non-dropping-particle":"","parse-names":false,"suffix":""}],"container-title":"Tropical Medicine and International Health","id":"ITEM-2","issue":"10","issued":{"date-parts":[["2001"]]},"page":"770-778","publisher":"Trop Med Int Health","title":"Malaria in pregnancy: Adverse effects on haemoglobin levels and birthweight in primigravidae and multigravidae","type":"article-journal","volume":"6"},"uris":["http://www.mendeley.com/documents/?uuid=968f3425-1425-3b20-8c0b-4441a2daba7c"]},{"id":"ITEM-3","itemData":{"DOI":"10.1016/S1473-3099(07)70021-X","ISSN":"14733099","PMID":"17251080","abstract":"We reviewed evidence of the clinical implications and burden of malaria in pregnancy. Most studies come from sub-Saharan Africa, where approximately 25 million pregnant women are at risk of Plasmodium falciparum infection every year, and one in four women have evidence of placental infection at the time of delivery. P falciparum infections during pregnancy in Africa rarely result in fever and therefore remain undetected and untreated. Meta-analyses of intervention trials suggest that successful prevention of these infections reduces the risk of severe maternal anaemia by 38%, low birthweight by 43%, and perinatal mortality by 27% among paucigravidae. Low birthweight associated with malaria in pregnancy is estimated to result in 100 000 infant deaths in Africa each year. Although paucigravidae are most affected by malaria, the consequences for infants born to multigravid women in Africa may be greater than previously appreciated. This is because HIV increases the risk of malaria and its adverse effects, particularly in multigravidae, and recent observational studies show that placental infection almost doubles the risk of malaria infection and morbidity in infants born to multigravidae. Outside Africa, malaria infection rates in pregnant women are much lower but are more likely to cause severe disease, preterm births, and fetal loss. Plasmodium vivax is common in Asia and the Americas and, unlike P falciparum, does not cytoadhere in the placenta, yet, is associated with maternal anaemia and low birthweight. The effect of infection in the first trimester, and the longer term effects of malaria beyond infancy, are largely unknown and may be substantial. Better estimates are also needed of the effects of malaria in pregnancy outside Africa, and on maternal morbidity and mortality in Africa. Global risk maps will allow better estimation of potential impact of successful control of malaria in pregnancy. © 2007 Elsevier Ltd. All rights reserved.","author":[{"dropping-particle":"","family":"Desai","given":"Meghna","non-dropping-particle":"","parse-names":false,"suffix":""},{"dropping-particle":"","family":"Kuile","given":"Feiko O.","non-dropping-particle":"ter","parse-names":false,"suffix":""},{"dropping-particle":"","family":"Nosten","given":"François","non-dropping-particle":"","parse-names":false,"suffix":""},{"dropping-particle":"","family":"McGready","given":"Rose","non-dropping-particle":"","parse-names":false,"suffix":""},{"dropping-particle":"","family":"Asamoa","given":"Kwame","non-dropping-particle":"","parse-names":false,"suffix":""},{"dropping-particle":"","family":"Brabin","given":"Bernard","non-dropping-particle":"","parse-names":false,"suffix":""},{"dropping-particle":"","family":"Newman","given":"Robert D.","non-dropping-particle":"","parse-names":false,"suffix":""}],"container-title":"Lancet Infectious Diseases","id":"ITEM-3","issue":"2","issued":{"date-parts":[["2007","2"]]},"page":"93-104","publisher":"Lancet Infect Dis","title":"Epidemiology and burden of malaria in pregnancy","type":"article","volume":"7"},"uris":["http://www.mendeley.com/documents/?uuid=00e7c705-7551-33da-8043-a8cd2a1502b2"]}],"mendeley":{"formattedCitation":"[41–43]","plainTextFormattedCitation":"[41–43]","previouslyFormattedCitation":"[41–43]"},"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[41–43]</w:t>
      </w:r>
      <w:r w:rsidR="00146963" w:rsidRPr="00C0372B">
        <w:rPr>
          <w:rFonts w:cstheme="minorHAnsi"/>
        </w:rPr>
        <w:fldChar w:fldCharType="end"/>
      </w:r>
      <w:r w:rsidR="00D25E0E" w:rsidRPr="00455A3C">
        <w:rPr>
          <w:rFonts w:cstheme="minorHAnsi"/>
        </w:rPr>
        <w:t>. We assume</w:t>
      </w:r>
      <w:r w:rsidR="00494E03">
        <w:rPr>
          <w:rFonts w:cstheme="minorHAnsi"/>
        </w:rPr>
        <w:t>d</w:t>
      </w:r>
      <w:r w:rsidR="00D25E0E" w:rsidRPr="00455A3C">
        <w:rPr>
          <w:rFonts w:cstheme="minorHAnsi"/>
        </w:rPr>
        <w:t xml:space="preserve"> that the probability of severe anemia due to malaria in pregnancy is reduced by 39% in individuals taking IPTp during pregnancy (39% from </w:t>
      </w:r>
      <w:r w:rsidR="00D25E0E" w:rsidRPr="00455A3C">
        <w:rPr>
          <w:rFonts w:cstheme="minorHAnsi"/>
        </w:rPr>
        <w:fldChar w:fldCharType="begin" w:fldLock="1"/>
      </w:r>
      <w:r w:rsidR="00C72B9D">
        <w:rPr>
          <w:rFonts w:cstheme="minorHAnsi"/>
        </w:rPr>
        <w:instrText>ADDIN CSL_CITATION {"citationItems":[{"id":"ITEM-1","itemData":{"DOI":"https://doi.org/10.1016/S0140-6736(98)07318-8","ISSN":"0140-6736","abstract":"Summary Background In areas of endemic transmission, malaria in pregnancy is associated with severe maternal anaemia and low-birthweight babies. We studied the efficacy of intermittent treatment doses of sulphadoxine-pyrimethamine in preventing malaria and severe anaemia in pregnancy in a double-blind placebo-controlled trial among primigravid women living in Kilifi District, Kenya. Methods Between January, 1996, and April, 1997, 1264 primigravid women were recruited when they attended for antenatal care, and randomly assigned sulphadoxine-pyrimethamine (640) or placebo (624). Women received one, two, or three doses of study medication depending on the duration of gestation at enrolment. Primary outcome measures were severe anaemia (haemoglobin &lt;8 g/dL) and malaria parasitaemia, assessed at 34 weeks of gestation. Analyses were based on intention to treat among women who had study blood tests at 34 weeks. Findings 30 (5·3%) of 567 women in the sulphadoxine-pyrimethamine group and 199 (35·3%) of 564 in the placebo group had peripheral parasitaemia (protective efficacy 85% [95% Cl 78·90%], p&lt;0·0001). 82 (14·5%) and 134 (23·7%) had severe anaemia (protective efficacy 39% [22–52], p&lt;0·0001). Even women who booked late and received only one dose of sulphadoxine-pyrimethamine benefited significantly from the intervention. The effects were seen both in women who owned insecticide-treated bednets and in women who did not. Interpretation Intermittent presumptive treatment with sulphadoxine-pyrimethamine is an effective, practicable strategy to decrease the risk of severe anaemia in primigravidae living in malarious areas.","author":[{"dropping-particle":"","family":"Shulman","given":"C E","non-dropping-particle":"","parse-names":false,"suffix":""},{"dropping-particle":"","family":"Dorman","given":"E K","non-dropping-particle":"","parse-names":false,"suffix":""},{"dropping-particle":"","family":"Cutts","given":"F","non-dropping-particle":"","parse-names":false,"suffix":""},{"dropping-particle":"","family":"Kawuondo","given":"K","non-dropping-particle":"","parse-names":false,"suffix":""},{"dropping-particle":"","family":"Bulmer","given":"J N","non-dropping-particle":"","parse-names":false,"suffix":""},{"dropping-particle":"","family":"Peshu","given":"N","non-dropping-particle":"","parse-names":false,"suffix":""},{"dropping-particle":"","family":"Marsh","given":"K","non-dropping-particle":"","parse-names":false,"suffix":""}],"container-title":"The Lancet","id":"ITEM-1","issue":"9153","issued":{"date-parts":[["1999"]]},"page":"632-636","title":"Intermittent sulphadoxine-pyrimethamine to prevent severe anaemia secondary to malaria in pregnancy: a randomised placebo-controlled trial","type":"article-journal","volume":"353"},"uris":["http://www.mendeley.com/documents/?uuid=3dc37552-97a3-46a6-b488-327bad84349a"]}],"mendeley":{"formattedCitation":"[44]","plainTextFormattedCitation":"[44]","previouslyFormattedCitation":"[44]"},"properties":{"noteIndex":0},"schema":"https://github.com/citation-style-language/schema/raw/master/csl-citation.json"}</w:instrText>
      </w:r>
      <w:r w:rsidR="00D25E0E" w:rsidRPr="00455A3C">
        <w:rPr>
          <w:rFonts w:cstheme="minorHAnsi"/>
        </w:rPr>
        <w:fldChar w:fldCharType="separate"/>
      </w:r>
      <w:r w:rsidR="00D540A2" w:rsidRPr="00D540A2">
        <w:rPr>
          <w:rFonts w:cstheme="minorHAnsi"/>
          <w:noProof/>
        </w:rPr>
        <w:t>[44]</w:t>
      </w:r>
      <w:r w:rsidR="00D25E0E" w:rsidRPr="00455A3C">
        <w:rPr>
          <w:rFonts w:cstheme="minorHAnsi"/>
        </w:rPr>
        <w:fldChar w:fldCharType="end"/>
      </w:r>
      <w:r w:rsidR="00D25E0E" w:rsidRPr="00455A3C">
        <w:rPr>
          <w:rFonts w:cstheme="minorHAnsi"/>
        </w:rPr>
        <w:t xml:space="preserve">, 38% from </w:t>
      </w:r>
      <w:r w:rsidR="00D25E0E" w:rsidRPr="00455A3C">
        <w:rPr>
          <w:rFonts w:cstheme="minorHAnsi"/>
        </w:rPr>
        <w:fldChar w:fldCharType="begin" w:fldLock="1"/>
      </w:r>
      <w:r w:rsidR="00C72B9D">
        <w:rPr>
          <w:rFonts w:cstheme="minorHAnsi"/>
        </w:rPr>
        <w:instrText>ADDIN CSL_CITATION {"citationItems":[{"id":"ITEM-1","itemData":{"DOI":"10.1016/S1473-3099(07)70021-X","ISSN":"14733099","PMID":"17251080","abstract":"We reviewed evidence of the clinical implications and burden of malaria in pregnancy. Most studies come from sub-Saharan Africa, where approximately 25 million pregnant women are at risk of Plasmodium falciparum infection every year, and one in four women have evidence of placental infection at the time of delivery. P falciparum infections during pregnancy in Africa rarely result in fever and therefore remain undetected and untreated. Meta-analyses of intervention trials suggest that successful prevention of these infections reduces the risk of severe maternal anaemia by 38%, low birthweight by 43%, and perinatal mortality by 27% among paucigravidae. Low birthweight associated with malaria in pregnancy is estimated to result in 100 000 infant deaths in Africa each year. Although paucigravidae are most affected by malaria, the consequences for infants born to multigravid women in Africa may be greater than previously appreciated. This is because HIV increases the risk of malaria and its adverse effects, particularly in multigravidae, and recent observational studies show that placental infection almost doubles the risk of malaria infection and morbidity in infants born to multigravidae. Outside Africa, malaria infection rates in pregnant women are much lower but are more likely to cause severe disease, preterm births, and fetal loss. Plasmodium vivax is common in Asia and the Americas and, unlike P falciparum, does not cytoadhere in the placenta, yet, is associated with maternal anaemia and low birthweight. The effect of infection in the first trimester, and the longer term effects of malaria beyond infancy, are largely unknown and may be substantial. Better estimates are also needed of the effects of malaria in pregnancy outside Africa, and on maternal morbidity and mortality in Africa. Global risk maps will allow better estimation of potential impact of successful control of malaria in pregnancy. © 2007 Elsevier Ltd. All rights reserved.","author":[{"dropping-particle":"","family":"Desai","given":"Meghna","non-dropping-particle":"","parse-names":false,"suffix":""},{"dropping-particle":"","family":"Kuile","given":"Feiko O.","non-dropping-particle":"ter","parse-names":false,"suffix":""},{"dropping-particle":"","family":"Nosten","given":"François","non-dropping-particle":"","parse-names":false,"suffix":""},{"dropping-particle":"","family":"McGready","given":"Rose","non-dropping-particle":"","parse-names":false,"suffix":""},{"dropping-particle":"","family":"Asamoa","given":"Kwame","non-dropping-particle":"","parse-names":false,"suffix":""},{"dropping-particle":"","family":"Brabin","given":"Bernard","non-dropping-particle":"","parse-names":false,"suffix":""},{"dropping-particle":"","family":"Newman","given":"Robert D.","non-dropping-particle":"","parse-names":false,"suffix":""}],"container-title":"Lancet Infectious Diseases","id":"ITEM-1","issue":"2","issued":{"date-parts":[["2007","2"]]},"page":"93-104","publisher":"Lancet Infect Dis","title":"Epidemiology and burden of malaria in pregnancy","type":"article","volume":"7"},"uris":["http://www.mendeley.com/documents/?uuid=00e7c705-7551-33da-8043-a8cd2a1502b2"]}],"mendeley":{"formattedCitation":"[41]","plainTextFormattedCitation":"[41]","previouslyFormattedCitation":"[41]"},"properties":{"noteIndex":0},"schema":"https://github.com/citation-style-language/schema/raw/master/csl-citation.json"}</w:instrText>
      </w:r>
      <w:r w:rsidR="00D25E0E" w:rsidRPr="00455A3C">
        <w:rPr>
          <w:rFonts w:cstheme="minorHAnsi"/>
        </w:rPr>
        <w:fldChar w:fldCharType="separate"/>
      </w:r>
      <w:r w:rsidR="00D540A2" w:rsidRPr="00D540A2">
        <w:rPr>
          <w:rFonts w:cstheme="minorHAnsi"/>
          <w:noProof/>
        </w:rPr>
        <w:t>[41]</w:t>
      </w:r>
      <w:r w:rsidR="00D25E0E" w:rsidRPr="00455A3C">
        <w:rPr>
          <w:rFonts w:cstheme="minorHAnsi"/>
        </w:rPr>
        <w:fldChar w:fldCharType="end"/>
      </w:r>
      <w:r w:rsidR="00D25E0E" w:rsidRPr="00455A3C">
        <w:rPr>
          <w:rFonts w:cstheme="minorHAnsi"/>
        </w:rPr>
        <w:t xml:space="preserve">, 49.5% for severe and non-severe anemia reported in </w:t>
      </w:r>
      <w:r w:rsidR="00D25E0E" w:rsidRPr="00455A3C">
        <w:rPr>
          <w:rFonts w:cstheme="minorHAnsi"/>
        </w:rPr>
        <w:fldChar w:fldCharType="begin" w:fldLock="1"/>
      </w:r>
      <w:r w:rsidR="00C72B9D">
        <w:rPr>
          <w:rFonts w:cstheme="minorHAnsi"/>
        </w:rPr>
        <w:instrText>ADDIN CSL_CITATION {"citationItems":[{"id":"ITEM-1","itemData":{"DOI":"10.1007/s10995-008-0319-3","ISSN":"1573-6628","abstract":"Objective To evaluate the efficacy of intermittent preventive treatment of malaria using sulphadoxine-pyrimethamine (SP) in the prevention of anaemia in women of low parity in a low socio-economic, malaria endemic setting. Method The study design was an open randomized control trial comparing anaemia incidence among pregnant women on intermittent presumptive treatment of malaria with SP with those on chloroquine (CQ). A total of 352 primigravid and secondigravid women between 16 and 30 weeks gestation receiving antenatal care at the Primary Health Care Center, Enuwa in Ile-Ife, Osun State, Nigeria were serially recruited and randomly allocated into experimental and control groups of 176 each. The experimental group received SP (to a maximum of three doses depending on the gestational age at enrollment into the study) while the control group had treatment doses of CQ at recruitment and subsequently only if they had symptoms suggestive of malaria. The primary outcome measure was anaemia (haematocrit &lt; 30) at 34 weeks of gestation. Result At recruitment and 34 weeks gestation, there was no statistically significant difference between the experimental and control group in terms of socio-demographic characteristics and past medical history. Thirty-three (22.6%) and 52 (37.1%) women in the study and control groups, respectively, had anaemia (protective efficacy 49.5%, p = 0.01). With multivariate analysis, controlling for the possible confounding effects of education, parity, haemoglobin level at booking and malaria parasitaemia in peripheral blood, the difference in the incidence of anaemia in the two groups remained significant (p = 0.01; odds ratio = 0.5; 95% confidence interval = 0.29–0.85). Conclusion The IPT regime with sulphadoxine-pyrimethamine is an effective, practicable strategy to decrease risk of anaemia in women of low parity residing in areas endemic for malaria.","author":[{"dropping-particle":"","family":"Asa","given":"O O","non-dropping-particle":"","parse-names":false,"suffix":""},{"dropping-particle":"","family":"Onayade","given":"A A","non-dropping-particle":"","parse-names":false,"suffix":""},{"dropping-particle":"","family":"Fatusi","given":"A O","non-dropping-particle":"","parse-names":false,"suffix":""},{"dropping-particle":"","family":"Ijadunola","given":"K T","non-dropping-particle":"","parse-names":false,"suffix":""},{"dropping-particle":"","family":"Abiona","given":"T C","non-dropping-particle":"","parse-names":false,"suffix":""}],"container-title":"Maternal and Child Health Journal","id":"ITEM-1","issue":"6","issued":{"date-parts":[["2008"]]},"page":"692-698","title":"Efficacy of Intermittent Preventive Treatment of Malaria with Sulphadoxine-pyrimethamine in Preventing Anaemia in Pregnancy among Nigerian Women","type":"article-journal","volume":"12"},"uris":["http://www.mendeley.com/documents/?uuid=83b3bb67-b788-436d-aabf-186c2ee653c8","http://www.mendeley.com/documents/?uuid=628445fc-13c4-43a6-9ec2-4f5923bc225d"]}],"mendeley":{"formattedCitation":"[45]","plainTextFormattedCitation":"[45]","previouslyFormattedCitation":"[45]"},"properties":{"noteIndex":0},"schema":"https://github.com/citation-style-language/schema/raw/master/csl-citation.json"}</w:instrText>
      </w:r>
      <w:r w:rsidR="00D25E0E" w:rsidRPr="00455A3C">
        <w:rPr>
          <w:rFonts w:cstheme="minorHAnsi"/>
        </w:rPr>
        <w:fldChar w:fldCharType="separate"/>
      </w:r>
      <w:r w:rsidR="00D540A2" w:rsidRPr="00D540A2">
        <w:rPr>
          <w:rFonts w:cstheme="minorHAnsi"/>
          <w:noProof/>
        </w:rPr>
        <w:t>[45]</w:t>
      </w:r>
      <w:r w:rsidR="00D25E0E" w:rsidRPr="00455A3C">
        <w:rPr>
          <w:rFonts w:cstheme="minorHAnsi"/>
        </w:rPr>
        <w:fldChar w:fldCharType="end"/>
      </w:r>
      <w:r w:rsidR="00D25E0E" w:rsidRPr="00455A3C">
        <w:rPr>
          <w:rFonts w:cstheme="minorHAnsi"/>
        </w:rPr>
        <w:t xml:space="preserve">) and that the protection is the same for all dose numbers </w:t>
      </w:r>
      <w:r w:rsidR="00D25E0E" w:rsidRPr="00455A3C">
        <w:rPr>
          <w:rFonts w:cstheme="minorHAnsi"/>
        </w:rPr>
        <w:fldChar w:fldCharType="begin" w:fldLock="1"/>
      </w:r>
      <w:r w:rsidR="00C72B9D">
        <w:rPr>
          <w:rFonts w:cstheme="minorHAnsi"/>
        </w:rPr>
        <w:instrText>ADDIN CSL_CITATION {"citationItems":[{"id":"ITEM-1","itemData":{"DOI":"https://doi.org/10.1016/S0140-6736(98)07318-8","ISSN":"0140-6736","abstract":"Summary Background In areas of endemic transmission, malaria in pregnancy is associated with severe maternal anaemia and low-birthweight babies. We studied the efficacy of intermittent treatment doses of sulphadoxine-pyrimethamine in preventing malaria and severe anaemia in pregnancy in a double-blind placebo-controlled trial among primigravid women living in Kilifi District, Kenya. Methods Between January, 1996, and April, 1997, 1264 primigravid women were recruited when they attended for antenatal care, and randomly assigned sulphadoxine-pyrimethamine (640) or placebo (624). Women received one, two, or three doses of study medication depending on the duration of gestation at enrolment. Primary outcome measures were severe anaemia (haemoglobin &lt;8 g/dL) and malaria parasitaemia, assessed at 34 weeks of gestation. Analyses were based on intention to treat among women who had study blood tests at 34 weeks. Findings 30 (5·3%) of 567 women in the sulphadoxine-pyrimethamine group and 199 (35·3%) of 564 in the placebo group had peripheral parasitaemia (protective efficacy 85% [95% Cl 78·90%], p&lt;0·0001). 82 (14·5%) and 134 (23·7%) had severe anaemia (protective efficacy 39% [22–52], p&lt;0·0001). Even women who booked late and received only one dose of sulphadoxine-pyrimethamine benefited significantly from the intervention. The effects were seen both in women who owned insecticide-treated bednets and in women who did not. Interpretation Intermittent presumptive treatment with sulphadoxine-pyrimethamine is an effective, practicable strategy to decrease the risk of severe anaemia in primigravidae living in malarious areas.","author":[{"dropping-particle":"","family":"Shulman","given":"C E","non-dropping-particle":"","parse-names":false,"suffix":""},{"dropping-particle":"","family":"Dorman","given":"E K","non-dropping-particle":"","parse-names":false,"suffix":""},{"dropping-particle":"","family":"Cutts","given":"F","non-dropping-particle":"","parse-names":false,"suffix":""},{"dropping-particle":"","family":"Kawuondo","given":"K","non-dropping-particle":"","parse-names":false,"suffix":""},{"dropping-particle":"","family":"Bulmer","given":"J N","non-dropping-particle":"","parse-names":false,"suffix":""},{"dropping-particle":"","family":"Peshu","given":"N","non-dropping-particle":"","parse-names":false,"suffix":""},{"dropping-particle":"","family":"Marsh","given":"K","non-dropping-particle":"","parse-names":false,"suffix":""}],"container-title":"The Lancet","id":"ITEM-1","issue":"9153","issued":{"date-parts":[["1999"]]},"page":"632-636","title":"Intermittent sulphadoxine-pyrimethamine to prevent severe anaemia secondary to malaria in pregnancy: a randomised placebo-controlled trial","type":"article-journal","volume":"353"},"uris":["http://www.mendeley.com/documents/?uuid=3dc37552-97a3-46a6-b488-327bad84349a"]}],"mendeley":{"formattedCitation":"[44]","plainTextFormattedCitation":"[44]","previouslyFormattedCitation":"[44]"},"properties":{"noteIndex":0},"schema":"https://github.com/citation-style-language/schema/raw/master/csl-citation.json"}</w:instrText>
      </w:r>
      <w:r w:rsidR="00D25E0E" w:rsidRPr="00455A3C">
        <w:rPr>
          <w:rFonts w:cstheme="minorHAnsi"/>
        </w:rPr>
        <w:fldChar w:fldCharType="separate"/>
      </w:r>
      <w:r w:rsidR="00D540A2" w:rsidRPr="00D540A2">
        <w:rPr>
          <w:rFonts w:cstheme="minorHAnsi"/>
          <w:noProof/>
        </w:rPr>
        <w:t>[44]</w:t>
      </w:r>
      <w:r w:rsidR="00D25E0E" w:rsidRPr="00455A3C">
        <w:rPr>
          <w:rFonts w:cstheme="minorHAnsi"/>
        </w:rPr>
        <w:fldChar w:fldCharType="end"/>
      </w:r>
      <w:r w:rsidR="00D25E0E" w:rsidRPr="00455A3C">
        <w:rPr>
          <w:rFonts w:cstheme="minorHAnsi"/>
        </w:rPr>
        <w:t>. The number of simulated individuals with malaria-attributable severe anemia (</w:t>
      </w:r>
      <w:r w:rsidR="00D25E0E" w:rsidRPr="00455A3C">
        <w:rPr>
          <w:rFonts w:cstheme="minorHAnsi"/>
          <w:i/>
          <w:iCs/>
        </w:rPr>
        <w:t>N</w:t>
      </w:r>
      <w:r w:rsidR="00D25E0E" w:rsidRPr="00455A3C">
        <w:rPr>
          <w:rFonts w:cstheme="minorHAnsi"/>
          <w:i/>
          <w:iCs/>
          <w:vertAlign w:val="subscript"/>
        </w:rPr>
        <w:t>anemia</w:t>
      </w:r>
      <w:r w:rsidR="00494E03">
        <w:rPr>
          <w:rFonts w:cstheme="minorHAnsi"/>
        </w:rPr>
        <w:t>) in a given month was</w:t>
      </w:r>
      <w:r w:rsidR="00D25E0E" w:rsidRPr="00455A3C">
        <w:rPr>
          <w:rFonts w:cstheme="minorHAnsi"/>
        </w:rPr>
        <w:t xml:space="preserve"> thus estimated as: </w:t>
      </w:r>
    </w:p>
    <w:p w14:paraId="3F963536" w14:textId="74F8DA2A" w:rsidR="00D25E0E" w:rsidRPr="00455A3C" w:rsidRDefault="009C7427" w:rsidP="00D25E0E">
      <w:pPr>
        <w:spacing w:after="0" w:line="276" w:lineRule="auto"/>
        <w:contextualSpacing/>
        <w:rPr>
          <w:rFonts w:cstheme="minorHAnsi"/>
        </w:rPr>
      </w:pPr>
      <m:oMathPara>
        <m:oMath>
          <m:sSub>
            <m:sSubPr>
              <m:ctrlPr>
                <w:rPr>
                  <w:rFonts w:ascii="Cambria Math" w:hAnsi="Cambria Math" w:cstheme="minorHAnsi"/>
                  <w:i/>
                </w:rPr>
              </m:ctrlPr>
            </m:sSubPr>
            <m:e>
              <m:r>
                <w:rPr>
                  <w:rFonts w:ascii="Cambria Math" w:hAnsi="Cambria Math" w:cstheme="minorHAnsi"/>
                </w:rPr>
                <m:t>N</m:t>
              </m:r>
            </m:e>
            <m:sub>
              <m:r>
                <w:rPr>
                  <w:rFonts w:ascii="Cambria Math" w:hAnsi="Cambria Math" w:cstheme="minorHAnsi"/>
                </w:rPr>
                <m:t>anemia</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N</m:t>
              </m:r>
            </m:e>
            <m:sub>
              <m:r>
                <w:rPr>
                  <w:rFonts w:ascii="Cambria Math" w:hAnsi="Cambria Math" w:cstheme="minorHAnsi"/>
                </w:rPr>
                <m:t>births</m:t>
              </m:r>
            </m:sub>
          </m:sSub>
          <m:r>
            <w:rPr>
              <w:rFonts w:ascii="Cambria Math" w:hAnsi="Cambria Math" w:cstheme="minorHAnsi"/>
            </w:rPr>
            <m:t xml:space="preserve">*m* </m:t>
          </m:r>
          <m:d>
            <m:dPr>
              <m:ctrlPr>
                <w:rPr>
                  <w:rFonts w:ascii="Cambria Math" w:hAnsi="Cambria Math" w:cstheme="minorHAnsi"/>
                  <w:i/>
                </w:rPr>
              </m:ctrlPr>
            </m:dPr>
            <m:e>
              <m:d>
                <m:dPr>
                  <m:ctrlPr>
                    <w:rPr>
                      <w:rFonts w:ascii="Cambria Math" w:hAnsi="Cambria Math" w:cstheme="minorHAnsi"/>
                      <w:i/>
                    </w:rPr>
                  </m:ctrlPr>
                </m:dPr>
                <m:e>
                  <m:r>
                    <w:rPr>
                      <w:rFonts w:ascii="Cambria Math" w:hAnsi="Cambria Math" w:cstheme="minorHAnsi"/>
                    </w:rPr>
                    <m:t>f*0.057*</m:t>
                  </m:r>
                  <m:d>
                    <m:dPr>
                      <m:ctrlPr>
                        <w:rPr>
                          <w:rFonts w:ascii="Cambria Math" w:hAnsi="Cambria Math" w:cstheme="minorHAnsi"/>
                          <w:i/>
                        </w:rPr>
                      </m:ctrlPr>
                    </m:dPr>
                    <m:e>
                      <m:r>
                        <w:rPr>
                          <w:rFonts w:ascii="Cambria Math" w:hAnsi="Cambria Math" w:cstheme="minorHAnsi"/>
                        </w:rPr>
                        <m:t>1-0.39</m:t>
                      </m:r>
                    </m:e>
                  </m:d>
                </m:e>
              </m:d>
              <m:r>
                <w:rPr>
                  <w:rFonts w:ascii="Cambria Math" w:hAnsi="Cambria Math" w:cstheme="minorHAnsi"/>
                </w:rPr>
                <m:t xml:space="preserve">+ </m:t>
              </m:r>
              <m:d>
                <m:dPr>
                  <m:ctrlPr>
                    <w:rPr>
                      <w:rFonts w:ascii="Cambria Math" w:hAnsi="Cambria Math" w:cstheme="minorHAnsi"/>
                      <w:i/>
                    </w:rPr>
                  </m:ctrlPr>
                </m:dPr>
                <m:e>
                  <m:d>
                    <m:dPr>
                      <m:ctrlPr>
                        <w:rPr>
                          <w:rFonts w:ascii="Cambria Math" w:hAnsi="Cambria Math" w:cstheme="minorHAnsi"/>
                          <w:i/>
                        </w:rPr>
                      </m:ctrlPr>
                    </m:dPr>
                    <m:e>
                      <m:r>
                        <w:rPr>
                          <w:rFonts w:ascii="Cambria Math" w:hAnsi="Cambria Math" w:cstheme="minorHAnsi"/>
                        </w:rPr>
                        <m:t>1-f</m:t>
                      </m:r>
                    </m:e>
                  </m:d>
                  <m:r>
                    <w:rPr>
                      <w:rFonts w:ascii="Cambria Math" w:hAnsi="Cambria Math" w:cstheme="minorHAnsi"/>
                    </w:rPr>
                    <m:t>*0.057</m:t>
                  </m:r>
                </m:e>
              </m:d>
            </m:e>
          </m:d>
        </m:oMath>
      </m:oMathPara>
    </w:p>
    <w:p w14:paraId="756F93CD" w14:textId="039F9079" w:rsidR="00D25E0E" w:rsidRPr="00455A3C" w:rsidRDefault="00D25E0E" w:rsidP="00D25E0E">
      <w:pPr>
        <w:spacing w:after="0" w:line="276" w:lineRule="auto"/>
        <w:contextualSpacing/>
        <w:rPr>
          <w:rFonts w:cstheme="minorHAnsi"/>
        </w:rPr>
      </w:pPr>
      <w:r w:rsidRPr="00455A3C">
        <w:rPr>
          <w:rFonts w:cstheme="minorHAnsi"/>
        </w:rPr>
        <w:t xml:space="preserve">Here, </w:t>
      </w:r>
      <w:r w:rsidRPr="00455A3C">
        <w:rPr>
          <w:rFonts w:cstheme="minorHAnsi"/>
          <w:i/>
          <w:iCs/>
        </w:rPr>
        <w:t>N</w:t>
      </w:r>
      <w:r w:rsidRPr="00455A3C">
        <w:rPr>
          <w:rFonts w:cstheme="minorHAnsi"/>
          <w:i/>
          <w:iCs/>
          <w:vertAlign w:val="subscript"/>
        </w:rPr>
        <w:t>births</w:t>
      </w:r>
      <w:r w:rsidRPr="00455A3C">
        <w:rPr>
          <w:rFonts w:cstheme="minorHAnsi"/>
        </w:rPr>
        <w:t xml:space="preserve"> is the number of first or second births expected to occur in the simulated population, which is calculated as the product of the simulated population size, the monthly per-capita birth rate of 0.0028 </w:t>
      </w:r>
      <w:r w:rsidRPr="00455A3C">
        <w:rPr>
          <w:rFonts w:cstheme="minorHAnsi"/>
        </w:rPr>
        <w:lastRenderedPageBreak/>
        <w:fldChar w:fldCharType="begin" w:fldLock="1"/>
      </w:r>
      <w:r w:rsidR="00C72B9D">
        <w:rPr>
          <w:rFonts w:cstheme="minorHAnsi"/>
        </w:rPr>
        <w:instrText>ADDIN CSL_CITATION {"citationItems":[{"id":"ITEM-1","itemData":{"author":[{"dropping-particle":"","family":"Central Intelligence Agency","given":"","non-dropping-particle":"","parse-names":false,"suffix":""}],"container-title":"The World Factbook","id":"ITEM-1","issued":{"date-parts":[["2021"]]},"title":"Nigeria","type":"webpage"},"uris":["http://www.mendeley.com/documents/?uuid=84decb8e-f2a0-4c08-bd36-0b17e70e90d0","http://www.mendeley.com/documents/?uuid=ff9c89ac-e883-4b22-bbcb-fe78d3f69128"]}],"mendeley":{"formattedCitation":"[46]","plainTextFormattedCitation":"[46]","previouslyFormattedCitation":"[46]"},"properties":{"noteIndex":0},"schema":"https://github.com/citation-style-language/schema/raw/master/csl-citation.json"}</w:instrText>
      </w:r>
      <w:r w:rsidRPr="00455A3C">
        <w:rPr>
          <w:rFonts w:cstheme="minorHAnsi"/>
        </w:rPr>
        <w:fldChar w:fldCharType="separate"/>
      </w:r>
      <w:r w:rsidR="00D540A2" w:rsidRPr="00D540A2">
        <w:rPr>
          <w:rFonts w:cstheme="minorHAnsi"/>
          <w:noProof/>
        </w:rPr>
        <w:t>[46]</w:t>
      </w:r>
      <w:r w:rsidRPr="00455A3C">
        <w:rPr>
          <w:rFonts w:cstheme="minorHAnsi"/>
        </w:rPr>
        <w:fldChar w:fldCharType="end"/>
      </w:r>
      <w:r w:rsidRPr="00455A3C">
        <w:rPr>
          <w:rFonts w:cstheme="minorHAnsi"/>
        </w:rPr>
        <w:t>, and the fraction of all pregnancies that are the mother’s first or second pregnancy (estimated as 0.36).</w:t>
      </w:r>
      <w:r w:rsidR="00414D4B" w:rsidRPr="00455A3C">
        <w:rPr>
          <w:rFonts w:cstheme="minorHAnsi"/>
        </w:rPr>
        <w:t xml:space="preserve"> </w:t>
      </w:r>
      <w:r w:rsidRPr="00455A3C">
        <w:rPr>
          <w:rFonts w:cstheme="minorHAnsi"/>
        </w:rPr>
        <w:t xml:space="preserve">The parameter </w:t>
      </w:r>
      <w:r w:rsidRPr="00455A3C">
        <w:rPr>
          <w:rFonts w:cstheme="minorHAnsi"/>
          <w:i/>
          <w:iCs/>
        </w:rPr>
        <w:t>m</w:t>
      </w:r>
      <w:r w:rsidRPr="00455A3C">
        <w:rPr>
          <w:rFonts w:cstheme="minorHAnsi"/>
        </w:rPr>
        <w:t xml:space="preserve"> </w:t>
      </w:r>
      <w:r w:rsidR="00414D4B" w:rsidRPr="00455A3C">
        <w:rPr>
          <w:rFonts w:cstheme="minorHAnsi"/>
        </w:rPr>
        <w:t>represents</w:t>
      </w:r>
      <w:r w:rsidRPr="00455A3C">
        <w:rPr>
          <w:rFonts w:cstheme="minorHAnsi"/>
        </w:rPr>
        <w:t xml:space="preserve"> the fraction of simulated individuals between 15-30 years of age who were infected with malaria during the previous nine months</w:t>
      </w:r>
      <w:r w:rsidR="00547CFF" w:rsidRPr="00455A3C">
        <w:rPr>
          <w:rFonts w:cstheme="minorHAnsi"/>
        </w:rPr>
        <w:t xml:space="preserve"> of the simulation</w:t>
      </w:r>
      <w:r w:rsidRPr="00455A3C">
        <w:rPr>
          <w:rFonts w:cstheme="minorHAnsi"/>
        </w:rPr>
        <w:t xml:space="preserve">, and </w:t>
      </w:r>
      <w:r w:rsidRPr="00455A3C">
        <w:rPr>
          <w:rFonts w:cstheme="minorHAnsi"/>
          <w:i/>
          <w:iCs/>
        </w:rPr>
        <w:t>f</w:t>
      </w:r>
      <w:r w:rsidRPr="00455A3C">
        <w:rPr>
          <w:rFonts w:cstheme="minorHAnsi"/>
        </w:rPr>
        <w:t xml:space="preserve"> is the fraction of pregnant individuals</w:t>
      </w:r>
      <w:r w:rsidR="00414D4B" w:rsidRPr="00455A3C">
        <w:rPr>
          <w:rFonts w:cstheme="minorHAnsi"/>
        </w:rPr>
        <w:t xml:space="preserve"> </w:t>
      </w:r>
      <w:r w:rsidRPr="00455A3C">
        <w:rPr>
          <w:rFonts w:cstheme="minorHAnsi"/>
        </w:rPr>
        <w:t xml:space="preserve">who received at least one dose of IPTp. </w:t>
      </w:r>
    </w:p>
    <w:p w14:paraId="437E2348" w14:textId="77777777" w:rsidR="00D25E0E" w:rsidRPr="00455A3C" w:rsidRDefault="00D25E0E" w:rsidP="005354EA">
      <w:pPr>
        <w:spacing w:after="0" w:line="276" w:lineRule="auto"/>
        <w:contextualSpacing/>
        <w:rPr>
          <w:rFonts w:cstheme="minorHAnsi"/>
        </w:rPr>
      </w:pPr>
    </w:p>
    <w:p w14:paraId="758FDA70" w14:textId="02913373" w:rsidR="00A11DB0" w:rsidRPr="00455A3C" w:rsidRDefault="00A11DB0" w:rsidP="005354EA">
      <w:pPr>
        <w:spacing w:after="0" w:line="276" w:lineRule="auto"/>
        <w:contextualSpacing/>
        <w:rPr>
          <w:rFonts w:cstheme="minorHAnsi"/>
        </w:rPr>
      </w:pPr>
      <w:r w:rsidRPr="00455A3C">
        <w:rPr>
          <w:rFonts w:cstheme="minorHAnsi"/>
        </w:rPr>
        <w:t>We assume</w:t>
      </w:r>
      <w:r w:rsidR="00494E03">
        <w:rPr>
          <w:rFonts w:cstheme="minorHAnsi"/>
        </w:rPr>
        <w:t>d</w:t>
      </w:r>
      <w:r w:rsidRPr="00455A3C">
        <w:rPr>
          <w:rFonts w:cstheme="minorHAnsi"/>
        </w:rPr>
        <w:t xml:space="preserve"> that individuals with malaria-attributable severe anemia cases have the same treated and untreated </w:t>
      </w:r>
      <w:r w:rsidR="00990F39" w:rsidRPr="00455A3C">
        <w:rPr>
          <w:rFonts w:cstheme="minorHAnsi"/>
        </w:rPr>
        <w:t>CFRs</w:t>
      </w:r>
      <w:r w:rsidRPr="00455A3C">
        <w:rPr>
          <w:rFonts w:cstheme="minorHAnsi"/>
        </w:rPr>
        <w:t xml:space="preserve"> as severe malaria in the general population. </w:t>
      </w:r>
    </w:p>
    <w:p w14:paraId="42C9B75E" w14:textId="77777777" w:rsidR="00C449D4" w:rsidRPr="00455A3C" w:rsidRDefault="00C449D4" w:rsidP="005354EA">
      <w:pPr>
        <w:spacing w:after="0" w:line="276" w:lineRule="auto"/>
        <w:contextualSpacing/>
        <w:rPr>
          <w:rFonts w:cstheme="minorHAnsi"/>
          <w:u w:val="single"/>
        </w:rPr>
      </w:pPr>
    </w:p>
    <w:p w14:paraId="2A561871" w14:textId="0CE4A13F" w:rsidR="00A11DB0" w:rsidRPr="00455A3C" w:rsidRDefault="00836B81" w:rsidP="005354EA">
      <w:pPr>
        <w:pStyle w:val="Heading2"/>
        <w:spacing w:line="276" w:lineRule="auto"/>
        <w:rPr>
          <w:rFonts w:asciiTheme="minorHAnsi" w:hAnsiTheme="minorHAnsi" w:cstheme="minorHAnsi"/>
          <w:sz w:val="22"/>
          <w:szCs w:val="22"/>
        </w:rPr>
      </w:pPr>
      <w:bookmarkStart w:id="24" w:name="_Toc77757595"/>
      <w:r w:rsidRPr="00455A3C">
        <w:rPr>
          <w:rFonts w:asciiTheme="minorHAnsi" w:hAnsiTheme="minorHAnsi" w:cstheme="minorHAnsi"/>
          <w:sz w:val="22"/>
          <w:szCs w:val="22"/>
        </w:rPr>
        <w:t>Mortality from l</w:t>
      </w:r>
      <w:r w:rsidR="00A11DB0" w:rsidRPr="00455A3C">
        <w:rPr>
          <w:rFonts w:asciiTheme="minorHAnsi" w:hAnsiTheme="minorHAnsi" w:cstheme="minorHAnsi"/>
          <w:sz w:val="22"/>
          <w:szCs w:val="22"/>
        </w:rPr>
        <w:t>ow birth weight attributable to malaria</w:t>
      </w:r>
      <w:bookmarkEnd w:id="24"/>
    </w:p>
    <w:p w14:paraId="43F47F51" w14:textId="781389CF" w:rsidR="00A11DB0" w:rsidRPr="00455A3C" w:rsidRDefault="00A11DB0" w:rsidP="005354EA">
      <w:pPr>
        <w:spacing w:after="0" w:line="276" w:lineRule="auto"/>
        <w:contextualSpacing/>
        <w:rPr>
          <w:rFonts w:cstheme="minorHAnsi"/>
        </w:rPr>
      </w:pPr>
      <w:r w:rsidRPr="00455A3C">
        <w:rPr>
          <w:rFonts w:cstheme="minorHAnsi"/>
        </w:rPr>
        <w:t>We calculate</w:t>
      </w:r>
      <w:r w:rsidR="00494E03">
        <w:rPr>
          <w:rFonts w:cstheme="minorHAnsi"/>
        </w:rPr>
        <w:t>d</w:t>
      </w:r>
      <w:r w:rsidRPr="00455A3C">
        <w:rPr>
          <w:rFonts w:cstheme="minorHAnsi"/>
        </w:rPr>
        <w:t xml:space="preserve"> the number of births with malaria-attributable low birth weight (mLBW) and mLBW-related mortality among individuals infected with malaria during pregnancy. The r</w:t>
      </w:r>
      <w:r w:rsidR="00EC4C3D">
        <w:rPr>
          <w:rFonts w:cstheme="minorHAnsi"/>
        </w:rPr>
        <w:t xml:space="preserve">isk of mLBW appeared </w:t>
      </w:r>
      <w:r w:rsidRPr="00455A3C">
        <w:rPr>
          <w:rFonts w:cstheme="minorHAnsi"/>
        </w:rPr>
        <w:t>substantially greater in first or second pregnancies</w:t>
      </w:r>
      <w:r w:rsidR="00146963"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{"citationItems":[{"id":"ITEM-1","itemData":{"DOI":"10.4269/ajtmh.2006.75.205","ISSN":"00029637","PMID":"16896120","abstract":"The World Health Organization recommends that pregnant women in malaria-endemic areas receive ≥ 2 doses of intermittent preventive treatment with sulfadoxine-pyrimethamine (IPTp/SP) in the second and third trimesters of pregnancy to prevent maternal anemia, placental parasitemia, and low birth weight (LBW). In 2001, a program evaluation in Koupela District, Burkina Faso demonstrated that despite widespread use of chloroquine chemoprophylaxis, the burden of malaria during pregnancy remained high. In 2003, the Burkina Faso Ministry of Health piloted a program of IPTp/SP (three doses) and accelerated distribution of insecticide-treated nets (ITN) to pregnant women in Koupela District. In 2004, a follow-up program evaluation was conducted. Coverage with ≥ 1 doses of IPTp/SP was high among women attending antenatal clinics (ANCs) (96.2%) and delivery units (DUs) (93.5%); ITN ownership was moderately high (ANC = 53.9%, DU = 61.6%). In multivariate analysis, ≥ 1 dose of IPTp/SP was associated with a significant reduction in the prevalence of peripheral parasitemia at ANCs (risk ratio [RR] = 0.49, P = 0.008), ≥ 2 doses of IPTp/SP were associated with a reduction in the prevalence of placental parasitemia (RR = 0.56, P = 0.02), and three doses of IPTp/SP were associated with a reduced risk of LBW (RR = 0.51, P = 0.04). The proportions of women at ANCs with peripheral parasitemia and anemia were significantly lower in 2004 than in 2001 (RR = 0.53, P = 0.001 and RR = 0.78, P = 0.003, respectively). The proportions of women at DUs with peripheral and placental parasitemia were also significantly lower in 2004 than in 2001 (RR = 0.66, P &lt; 0.0001 and RR = 0.71, P = 0.0002, respectively). These data suggest that a package of IPTp/SP and ITNs is effective in reducing the burden of malaria during pregnancy in Burkina Faso. Copyright © 2006 by The American Society of Tropical Medicine and Hygiene.","author":[{"dropping-particle":"","family":"Sirima","given":"Sodiomon B.","non-dropping-particle":"","parse-names":false,"suffix":""},{"dropping-particle":"","family":"Cotte","given":"Annett H.","non-dropping-particle":"","parse-names":false,"suffix":""},{"dropping-particle":"","family":"Konaté","given":"Amadou","non-dropping-particle":"","parse-names":false,"suffix":""},{"dropping-particle":"","family":"Moran","given":"Allisyn C.","non-dropping-particle":"","parse-names":false,"suffix":""},{"dropping-particle":"","family":"Asamoa","given":"Kwame","non-dropping-particle":"","parse-names":false,"suffix":""},{"dropping-particle":"","family":"Bougouma","given":"Edith C.","non-dropping-particle":"","parse-names":false,"suffix":""},{"dropping-particle":"","family":"Diarra","given":"Amidou","non-dropping-particle":"","parse-names":false,"suffix":""},{"dropping-particle":"","family":"Ouédraogo","given":"Alphonse","non-dropping-particle":"","parse-names":false,"suffix":""},{"dropping-particle":"","family":"Parise","given":"Monica E.","non-dropping-particle":"","parse-names":false,"suffix":""},{"dropping-particle":"","family":"Newman","given":"Robert D.","non-dropping-particle":"","parse-names":false,"suffix":""}],"container-title":"American Journal of Tropical Medicine and Hygiene","id":"ITEM-1","issued":{"date-parts":[["2006"]]},"title":"Malaria prevention during pregnancy: Assessing the disease burden one year after implementing a program of intermittent preventive treatment in Koupéla District, Burkina Faso","type":"article-journal"},"uris":["http://www.mendeley.com/documents/?uuid=7ddf7a4f-fd08-4a32-9f5d-3d15042b68e9"]},{"id":"ITEM-2","itemData":{"DOI":"10.4103/ijmr.IJMR_1304_17","ISSN":"09715916","PMID":"29355138","abstract":"Pregnant women are especially susceptible to malaria infection. Without existing immunity, severe malaria can develop requiring emergency treatment, and pregnancy loss is common. In semi-immune women, consequences of malaria for the mother include anaemia while stillbirth, premature delivery and foetal growth restriction affect the developing foetus. Preventive measures include insecticide-treated nets and (in some African settings) intermittent preventive treatment. Prompt management of maternal infection is key, using parenteral artemisinins for severe malaria, and artemisinin combination treatments (ACTs) in the second and third trimesters of pregnancy. ACTs may soon also be recommended as an alternative to quinine as a treatment in the first trimester of pregnancy. Monitoring the safety of antimalarials and understanding their pharmacokinetics is particularly important in pregnancy with the altered maternal physiology and the risks to the developing foetus. As increasing numbers of countries embrace malaria elimination as a goal, the special needs of the vulnerable group of pregnant women and their infants should not be overlooked.","author":[{"dropping-particle":"","family":"Rogerson","given":"Stephen J.","non-dropping-particle":"","parse-names":false,"suffix":""}],"container-title":"Indian Journal of Medical Research","id":"ITEM-2","issued":{"date-parts":[["2017"]]},"title":"Management of malaria in pregnancy","type":"article"},"uris":["http://www.mendeley.com/documents/?uuid=4d6656ca-b9fc-4559-a4a5-b1bba0c6de72"]},{"id":"ITEM-3","itemData":{"DOI":"10.1016/S1473-3099(07)70021-X","ISSN":"14733099","PMID":"17251080","abstract":"We reviewed evidence of the clinical implications and burden of malaria in pregnancy. Most studies come from sub-Saharan Africa, where approximately 25 million pregnant women are at risk of Plasmodium falciparum infection every year, and one in four women have evidence of placental infection at the time of delivery. P falciparum infections during pregnancy in Africa rarely result in fever and therefore remain undetected and untreated. Meta-analyses of intervention trials suggest that successful prevention of these infections reduces the risk of severe maternal anaemia by 38%, low birthweight by 43%, and perinatal mortality by 27% among paucigravidae. Low birthweight associated with malaria in pregnancy is estimated to result in 100 000 infant deaths in Africa each year. Although paucigravidae are most affected by malaria, the consequences for infants born to multigravid women in Africa may be greater than previously appreciated. This is because HIV increases the risk of malaria and its adverse effects, particularly in multigravidae, and recent observational studies show that placental infection almost doubles the risk of malaria infection and morbidity in infants born to multigravidae. Outside Africa, malaria infection rates in pregnant women are much lower but are more likely to cause severe disease, preterm births, and fetal loss. Plasmodium vivax is common in Asia and the Americas and, unlike P falciparum, does not cytoadhere in the placenta, yet, is associated with maternal anaemia and low birthweight. The effect of infection in the first trimester, and the longer term effects of malaria beyond infancy, are largely unknown and may be substantial. Better estimates are also needed of the effects of malaria in pregnancy outside Africa, and on maternal morbidity and mortality in Africa. Global risk maps will allow better estimation of potential impact of successful control of malaria in pregnancy. © 2007 Elsevier Ltd. All rights reserved.","author":[{"dropping-particle":"","family":"Desai","given":"Meghna","non-dropping-particle":"","parse-names":false,"suffix":""},{"dropping-particle":"","family":"Kuile","given":"Feiko O.","non-dropping-particle":"ter","parse-names":false,"suffix":""},{"dropping-particle":"","family":"Nosten","given":"François","non-dropping-particle":"","parse-names":false,"suffix":""},{"dropping-particle":"","family":"McGready","given":"Rose","non-dropping-particle":"","parse-names":false,"suffix":""},{"dropping-particle":"","family":"Asamoa","given":"Kwame","non-dropping-particle":"","parse-names":false,"suffix":""},{"dropping-particle":"","family":"Brabin","given":"Bernard","non-dropping-particle":"","parse-names":false,"suffix":""},{"dropping-particle":"","family":"Newman","given":"Robert D.","non-dropping-particle":"","parse-names":false,"suffix":""}],"container-title":"Lancet Infectious Diseases","id":"ITEM-3","issue":"2","issued":{"date-parts":[["2007","2"]]},"page":"93-104","publisher":"Lancet Infect Dis","title":"Epidemiology and burden of malaria in pregnancy","type":"article","volume":"7"},"uris":["http://www.mendeley.com/documents/?uuid=00e7c705-7551-33da-8043-a8cd2a1502b2"]}],"mendeley":{"formattedCitation":"[41,47,48]","plainTextFormattedCitation":"[41,47,48]","previouslyFormattedCitation":"[41,47,48]"},"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[41,47,48]</w:t>
      </w:r>
      <w:r w:rsidR="00146963" w:rsidRPr="00C0372B">
        <w:rPr>
          <w:rFonts w:cstheme="minorHAnsi"/>
        </w:rPr>
        <w:fldChar w:fldCharType="end"/>
      </w:r>
      <w:r w:rsidRPr="00455A3C">
        <w:rPr>
          <w:rFonts w:cstheme="minorHAnsi"/>
        </w:rPr>
        <w:t xml:space="preserve">, and this is likely especially true in regions with high </w:t>
      </w:r>
      <w:r w:rsidR="0003429E" w:rsidRPr="00455A3C">
        <w:rPr>
          <w:rFonts w:cstheme="minorHAnsi"/>
        </w:rPr>
        <w:t>transmission intensity</w:t>
      </w:r>
      <w:r w:rsidRPr="00455A3C">
        <w:rPr>
          <w:rFonts w:cstheme="minorHAnsi"/>
        </w:rPr>
        <w:t>. We assume th</w:t>
      </w:r>
      <w:r w:rsidR="000A7D7F" w:rsidRPr="00455A3C">
        <w:rPr>
          <w:rFonts w:cstheme="minorHAnsi"/>
        </w:rPr>
        <w:t>at malaria infection during a first or second pregnancy increases the risk of a low birth weight</w:t>
      </w:r>
      <w:r w:rsidRPr="00455A3C">
        <w:rPr>
          <w:rFonts w:cstheme="minorHAnsi"/>
        </w:rPr>
        <w:t xml:space="preserve"> </w:t>
      </w:r>
      <w:r w:rsidR="000A7D7F" w:rsidRPr="00455A3C">
        <w:rPr>
          <w:rFonts w:cstheme="minorHAnsi"/>
        </w:rPr>
        <w:t>(</w:t>
      </w:r>
      <w:r w:rsidRPr="00455A3C">
        <w:rPr>
          <w:rFonts w:cstheme="minorHAnsi"/>
        </w:rPr>
        <w:t>LBW</w:t>
      </w:r>
      <w:r w:rsidR="000A7D7F" w:rsidRPr="00455A3C">
        <w:rPr>
          <w:rFonts w:cstheme="minorHAnsi"/>
        </w:rPr>
        <w:t>)</w:t>
      </w:r>
      <w:r w:rsidRPr="00455A3C">
        <w:rPr>
          <w:rFonts w:cstheme="minorHAnsi"/>
        </w:rPr>
        <w:t xml:space="preserve"> infant </w:t>
      </w:r>
      <w:r w:rsidR="000A7D7F" w:rsidRPr="00455A3C">
        <w:rPr>
          <w:rFonts w:cstheme="minorHAnsi"/>
        </w:rPr>
        <w:t>by</w:t>
      </w:r>
      <w:r w:rsidRPr="00455A3C">
        <w:rPr>
          <w:rFonts w:cstheme="minorHAnsi"/>
        </w:rPr>
        <w:t xml:space="preserve"> 0.12. This value comes from an estimate that there is around twice the risk of an LBW infant if the mother is infected during pregnancy (values from the literature range from around 1.5 to 3</w:t>
      </w:r>
      <w:r w:rsidR="00146963" w:rsidRPr="00455A3C">
        <w:rPr>
          <w:rFonts w:cstheme="minorHAnsi"/>
        </w:rPr>
        <w:t xml:space="preserve"> </w:t>
      </w:r>
      <w:r w:rsidR="00146963" w:rsidRPr="00C0372B">
        <w:rPr>
          <w:rFonts w:cstheme="minorHAnsi"/>
        </w:rPr>
        <w:fldChar w:fldCharType="begin" w:fldLock="1"/>
      </w:r>
      <w:r w:rsidR="00C72B9D">
        <w:rPr>
          <w:rFonts w:cstheme="minorHAnsi"/>
        </w:rPr>
        <w:instrText>ADDIN CSL_CITATION {"citationItems":[{"id":"ITEM-1","itemData":{"DOI":"10.1093/aje/154.5.459","ISSN":"00029262","PMID":"11532788","abstract":"Malaria during pregnancy reduces birth weight, and low birth weight is a major determinant of infant mortality. The authors estimated the impact of malaria during pregnancy on infant mortality in a Karen population living in Thailand. Between 1993 and 1996, a cohort of 1,495 mothers and their infants was followed weekly from admission of the mother to antenatal clinics until the first birthday of the infant. Both falciparum malaria and vivax malaria during pregnancy were associated with low birth weight but did not shorten gestation. Febrile illness in the week before delivery was associated with premature birth. Preterm and full-term low birth weight and fever in the week before delivery were associated with neonatal mortality. Maternal fevers close to term were also associated with the deaths of infants aged between 1 and 3 months, whereas no risk factors could be identified for deaths that occurred later in infancy. Thus, malaria during pregnancy increased neonatal mortality by lowering birth weight, whereas fever in the week before birth had a further independent effect in addition to inducing premature birth. The prevention of malaria in pregnancy and, thus, of malaria-attributable low birth weight should increase the survival of young babies.","author":[{"dropping-particle":"","family":"Luxemburger","given":"Christine","non-dropping-particle":"","parse-names":false,"suffix":""},{"dropping-particle":"","family":"McGready","given":"Rose","non-dropping-particle":"","parse-names":false,"suffix":""},{"dropping-particle":"","family":"Kham","given":"Am","non-dropping-particle":"","parse-names":false,"suffix":""},{"dropping-particle":"","family":"Morison","given":"Linda","non-dropping-particle":"","parse-names":false,"suffix":""},{"dropping-particle":"","family":"Cho","given":"Thein","non-dropping-particle":"","parse-names":false,"suffix":""},{"dropping-particle":"","family":"Chongsuphajaisiddhi","given":"Tan","non-dropping-particle":"","parse-names":false,"suffix":""},{"dropping-particle":"","family":"White","given":"Nicholas J.","non-dropping-particle":"","parse-names":false,"suffix":""},{"dropping-particle":"","family":"Nosten","given":"François","non-dropping-particle":"","parse-names":false,"suffix":""}],"container-title":"American Journal of Epidemiology","id":"ITEM-1","issued":{"date-parts":[["2001"]]},"title":"Effects of malaria during pregnancy on infant mortality in an area of low malaria transmission","type":"article-journal"},"uris":["http://www.mendeley.com/documents/?uuid=498d633e-c28c-4ed8-bb10-c23fb085ce22"]},{"id":"ITEM-2","itemData":{"DOI":"10.4269/ajtmh.2001.64.28","ISSN":"00029637","PMID":"11425175","abstract":"Pregnant women in malarious areas may experience a variety of adverse consequences from malaria infection including maternal anemia, placental accumulation of parasites, low birth weight (LBW) from prematurity and intrauterine growth retardation (IUGR), fetal parasite exposure and congenital infection, and infant mortality (IM) linked to preterm-LBW and IUGR-LBW. We reviewed studies between 1985 and 2000 and summarized the malaria population attributable risk (PAR) that accounts for both the prevalence of the risk factors in the population and the magnitude of the associated risk for anemia, LBW, and IM. Consequences from anemia and human immunodeficiency virus infection in these studies were also considered. Population attributable risks were substantial: malaria was associated with anemia (PAR range = 3-15%), LBW (8-14%), preterm-LBW (8-36%), IUGR-LBW (13-70%), and IM (3-8%). Human immunodeficiency virus was associated with anemia (PAR range = 12-14%), LBW (11-38%), and direct transmission in 20-40% of newborns, with direct mortality consequences. Maternal anemia was associated with LBW (PAR range = 7-18%), and fetal anemia was associated with increased IM (PAR not available). We estimate that each year 75,000 to 200,000 infant deaths are associated with malaria infection in pregnancy. The failure to apply known effective antimalarial interventions through antenatal programs continues to contribute substantially to infant deaths globally.","author":[{"dropping-particle":"","family":"Steketee","given":"R. W.","non-dropping-particle":"","parse-names":false,"suffix":""},{"dropping-particle":"","family":"Nahlen","given":"B. L.","non-dropping-particle":"","parse-names":false,"suffix":""},{"dropping-particle":"","family":"Parise","given":"M. E.","non-dropping-particle":"","parse-names":false,"suffix":""},{"dropping-particle":"","family":"Menendez","given":"C.","non-dropping-particle":"","parse-names":false,"suffix":""}],"container-title":"American Journal of Tropical Medicine and Hygiene","id":"ITEM-2","issued":{"date-parts":[["2001"]]},"title":"The burden of malaria in pregnancy in malaria-endemic areas","type":"paper-conference"},"uris":["http://www.mendeley.com/documents/?uuid=11541260-c39a-448f-a1e0-7e4fca351540"]},{"id":"ITEM-3","itemData":{"DOI":"10.1186/1475-2875-11-71","ISSN":"1475-2875","abstract":"A prospective study aiming at assessing the effect of adding a third dose sulphadoxine-pyrimethamine (SP) to the standard two-dose intermittent preventive treatment for pregnant women was carried out in Hounde, Burkina Faso, between March 2006 and July 2008. Pregnant women were identified as earlier as possible during pregnancy through a network of home visitors, referred to the health facilities for inclusion and followed up until delivery.","author":[{"dropping-particle":"","family":"Valea","given":"Innocent","non-dropping-particle":"","parse-names":false,"suffix":""},{"dropping-particle":"","family":"Tinto","given":"Halidou","non-dropping-particle":"","parse-names":false,"suffix":""},{"dropping-particle":"","family":"Drabo","given":"Maxime K","non-dropping-particle":"","parse-names":false,"suffix":""},{"dropping-particle":"","family":"Huybregts","given":"Lieven","non-dropping-particle":"","parse-names":false,"suffix":""},{"dropping-particle":"","family":"Sorgho","given":"Hermann","non-dropping-particle":"","parse-names":false,"suffix":""},{"dropping-particle":"","family":"Ouedraogo","given":"Jean-Bosco","non-dropping-particle":"","parse-names":false,"suffix":""},{"dropping-particle":"","family":"Guiguemde","given":"Robert T","non-dropping-particle":"","parse-names":false,"suffix":""},{"dropping-particle":"","family":"Geertruyden","given":"Jean Pierre","non-dropping-particle":"van","parse-names":false,"suffix":""},{"dropping-particle":"","family":"Kolsteren","given":"Patrick","non-dropping-particle":"","parse-names":false,"suffix":""},{"dropping-particle":"","family":"D'Alessandro","given":"Umberto","non-dropping-particle":"","parse-names":false,"suffix":""},{"dropping-particle":"","family":"Group","given":"the FSP/MISAME study","non-dropping-particle":"","parse-names":false,"suffix":""}],"container-title":"Malaria Journal","id":"ITEM-3","issue":"1","issued":{"date-parts":[["2012"]]},"page":"71","title":"An analysis of timing and frequency of malaria infection during pregnancy in relation to the risk of low birth weight, anaemia and perinatal mortality in Burkina Faso","type":"article-journal","volume":"11"},"uris":["http://www.mendeley.com/documents/?uuid=03c81e23-32f0-4d23-8c52-a6931c784618","http://www.mendeley.com/documents/?uuid=e4ad9fab-5bee-48f0-b1c3-8dfb9b658905"]},{"id":"ITEM-4","itemData":{"DOI":"10.4269/ajtmh.2001.64.36","ISSN":"0002-9637","author":[{"dropping-particle":"","family":"Guyatt","given":"HL","non-dropping-particle":"","parse-names":false,"suffix":""},{"dropping-particle":"","family":"Snow","given":"RW","non-dropping-particle":"","parse-names":false,"suffix":""}],"container-title":"The American Journal of Tropical Medicine and Hygiene","id":"ITEM-4","issue":"1_suppl","issued":{"date-parts":[["2001","1"]]},"page":"36-44","title":"The epidemiology and burden of Plasmodium falciparum-related anemia among pregnant women in sub-Saharan Africa","type":"article-journal","volume":"64"},"uris":["http://www.mendeley.com/documents/?uuid=6d437f74-1fac-4f93-ae16-111c3201ee24","http://www.mendeley.com/documents/?uuid=e6aec5a3-3c3a-4594-94e7-b6a90e22313e"]},{"id":"ITEM-5","itemData":{"DOI":"10.1016/j.trstmh.2010.01.013","ISSN":"00359203","PMID":"20207387","abstract":"Plasmodium falciparum infection during pregnancy causes maternal anemia and low birth weight (LBW), but the effect of frequency and timing of infection on the severity of these adverse effects is unknown. We conducted a cohort study recruiting 2462 pregnant women in Malawi. Microscopy was used to diagnose malaria at enrollment, follow-up and delivery. Birth weight and maternal hemoglobin were measured at delivery. The association between timing and frequency of infection and LBW and maternal anemia was analyzed using a binomial regression model. Compared with uninfected women, (i) the risk of LBW increased with the number of malaria episodes [one episode: prevalence ratio (PR) 1.62 (95% CI 1.07-2.46); two episodes: PR 2.41 (95% CI 1.39-4.18)]; (ii) the risk for maternal anemia increased with the number of malaria episodes [one episode: PR 1.15 (95% CI 0.86-1.54); two episodes: PR 1.82 (95% CI 1.28-2.62)]; and (iii) the risk of LBW was higher with infection in the second (PR 1.71; 95% CI 1.06-2.74) than third trimester or at delivery (PR 1.55; 95% CI 0.88-2.75). The timing and frequency of P. falciparum infection during pregnancy affected the risk of LBW but only frequency of infection had an effect on the risk of maternal anemia. Identification of gestational periods when malaria causes most adverse outcomes will facilitate effective targeting of interventions. © 2010 Royal Society of Tropical Medicine and Hygiene.","author":[{"dropping-particle":"","family":"Kalilani","given":"Linda","non-dropping-particle":"","parse-names":false,"suffix":""},{"dropping-particle":"","family":"Mofolo","given":"Innocent","non-dropping-particle":"","parse-names":false,"suffix":""},{"dropping-particle":"","family":"Chaponda","given":"Marjorie","non-dropping-particle":"","parse-names":false,"suffix":""},{"dropping-particle":"","family":"Rogerson","given":"Stephen J.","non-dropping-particle":"","parse-names":false,"suffix":""},{"dropping-particle":"","family":"Meshnick","given":"Steven R.","non-dropping-particle":"","parse-names":false,"suffix":""}],"container-title":"Transactions of the Royal Society of Tropical Medicine and Hygiene","id":"ITEM-5","issued":{"date-parts":[["2010"]]},"title":"The effect of timing and frequency of Plasmodium falciparum infection during pregnancy on the risk of low birth weight and maternal anemia","type":"article-journal"},"uris":["http://www.mendeley.com/documents/?uuid=c23f1998-e61b-402c-bb17-4c0aa9e0a373"]},{"id":"ITEM-6","itemData":{"DOI":"10.1016/S1473-3099(07)70021-X","ISSN":"14733099","PMID":"17251080","abstract":"We reviewed evidence of the clinical implications and burden of malaria in pregnancy. Most studies come from sub-Saharan Africa, where approximately 25 million pregnant women are at risk of Plasmodium falciparum infection every year, and one in four women have evidence of placental infection at the time of delivery. P falciparum infections during pregnancy in Africa rarely result in fever and therefore remain undetected and untreated. Meta-analyses of intervention trials suggest that successful prevention of these infections reduces the risk of severe maternal anaemia by 38%, low birthweight by 43%, and perinatal mortality by 27% among paucigravidae. Low birthweight associated with malaria in pregnancy is estimated to result in 100 000 infant deaths in Africa each year. Although paucigravidae are most affected by malaria, the consequences for infants born to multigravid women in Africa may be greater than previously appreciated. This is because HIV increases the risk of malaria and its adverse effects, particularly in multigravidae, and recent observational studies show that placental infection almost doubles the risk of malaria infection and morbidity in infants born to multigravidae. Outside Africa, malaria infection rates in pregnant women are much lower but are more likely to cause severe disease, preterm births, and fetal loss. Plasmodium vivax is common in Asia and the Americas and, unlike P falciparum, does not cytoadhere in the placenta, yet, is associated with maternal anaemia and low birthweight. The effect of infection in the first trimester, and the longer term effects of malaria beyond infancy, are largely unknown and may be substantial. Better estimates are also needed of the effects of malaria in pregnancy outside Africa, and on maternal morbidity and mortality in Africa. Global risk maps will allow better estimation of potential impact of successful control of malaria in pregnancy. © 2007 Elsevier Ltd. All rights reserved.","author":[{"dropping-particle":"","family":"Desai","given":"Meghna","non-dropping-particle":"","parse-names":false,"suffix":""},{"dropping-particle":"","family":"Kuile","given":"Feiko O.","non-dropping-particle":"ter","parse-names":false,"suffix":""},{"dropping-particle":"","family":"Nosten","given":"François","non-dropping-particle":"","parse-names":false,"suffix":""},{"dropping-particle":"","family":"McGready","given":"Rose","non-dropping-particle":"","parse-names":false,"suffix":""},{"dropping-particle":"","family":"Asamoa","given":"Kwame","non-dropping-particle":"","parse-names":false,"suffix":""},{"dropping-particle":"","family":"Brabin","given":"Bernard","non-dropping-particle":"","parse-names":false,"suffix":""},{"dropping-particle":"","family":"Newman","given":"Robert D.","non-dropping-particle":"","parse-names":false,"suffix":""}],"container-title":"Lancet Infectious Diseases","id":"ITEM-6","issue":"2","issued":{"date-parts":[["2007","2"]]},"page":"93-104","publisher":"Lancet Infect Dis","title":"Epidemiology and burden of malaria in pregnancy","type":"article","volume":"7"},"uris":["http://www.mendeley.com/documents/?uuid=00e7c705-7551-33da-8043-a8cd2a1502b2"]}],"mendeley":{"formattedCitation":"[38,41,42,49–51]","plainTextFormattedCitation":"[38,41,42,49–51]","previouslyFormattedCitation":"[38,41,42,49–51]"},"properties":{"noteIndex":0},"schema":"https://github.com/citation-style-language/schema/raw/master/csl-citation.json"}</w:instrText>
      </w:r>
      <w:r w:rsidR="00146963" w:rsidRPr="00C0372B">
        <w:rPr>
          <w:rFonts w:cstheme="minorHAnsi"/>
        </w:rPr>
        <w:fldChar w:fldCharType="separate"/>
      </w:r>
      <w:r w:rsidR="00D540A2" w:rsidRPr="00D540A2">
        <w:rPr>
          <w:rFonts w:cstheme="minorHAnsi"/>
          <w:noProof/>
        </w:rPr>
        <w:t>[38,41,42,49–51]</w:t>
      </w:r>
      <w:r w:rsidR="00146963" w:rsidRPr="00C0372B">
        <w:rPr>
          <w:rFonts w:cstheme="minorHAnsi"/>
        </w:rPr>
        <w:fldChar w:fldCharType="end"/>
      </w:r>
      <w:r w:rsidRPr="00455A3C">
        <w:rPr>
          <w:rFonts w:cstheme="minorHAnsi"/>
        </w:rPr>
        <w:t>) and the estimate that the probability of an LBW infant if there is no malaria infection is around 0.12</w:t>
      </w:r>
      <w:r w:rsidR="007176D6" w:rsidRPr="00455A3C">
        <w:rPr>
          <w:rFonts w:cstheme="minorHAnsi"/>
        </w:rPr>
        <w:t xml:space="preserve"> </w:t>
      </w:r>
      <w:r w:rsidR="007176D6" w:rsidRPr="00C0372B">
        <w:rPr>
          <w:rFonts w:cstheme="minorHAnsi"/>
        </w:rPr>
        <w:fldChar w:fldCharType="begin" w:fldLock="1"/>
      </w:r>
      <w:r w:rsidR="00C72B9D">
        <w:rPr>
          <w:rFonts w:cstheme="minorHAnsi"/>
        </w:rPr>
        <w:instrText>ADDIN CSL_CITATION {"citationItems":[{"id":"ITEM-1","itemData":{"DOI":"10.1186/1475-2875-11-71","ISSN":"1475-2875","abstract":"A prospective study aiming at assessing the effect of adding a third dose sulphadoxine-pyrimethamine (SP) to the standard two-dose intermittent preventive treatment for pregnant women was carried out in Hounde, Burkina Faso, between March 2006 and July 2008. Pregnant women were identified as earlier as possible during pregnancy through a network of home visitors, referred to the health facilities for inclusion and followed up until delivery.","author":[{"dropping-particle":"","family":"Valea","given":"Innocent","non-dropping-particle":"","parse-names":false,"suffix":""},{"dropping-particle":"","family":"Tinto","given":"Halidou","non-dropping-particle":"","parse-names":false,"suffix":""},{"dropping-particle":"","family":"Drabo","given":"Maxime K","non-dropping-particle":"","parse-names":false,"suffix":""},{"dropping-particle":"","family":"Huybregts","given":"Lieven","non-dropping-particle":"","parse-names":false,"suffix":""},{"dropping-particle":"","family":"Sorgho","given":"Hermann","non-dropping-particle":"","parse-names":false,"suffix":""},{"dropping-particle":"","family":"Ouedraogo","given":"Jean-Bosco","non-dropping-particle":"","parse-names":false,"suffix":""},{"dropping-particle":"","family":"Guiguemde","given":"Robert T","non-dropping-particle":"","parse-names":false,"suffix":""},{"dropping-particle":"","family":"Geertruyden","given":"Jean Pierre","non-dropping-particle":"van","parse-names":false,"suffix":""},{"dropping-particle":"","family":"Kolsteren","given":"Patrick","non-dropping-particle":"","parse-names":false,"suffix":""},{"dropping-particle":"","family":"D'Alessandro","given":"Umberto","non-dropping-particle":"","parse-names":false,"suffix":""},{"dropping-particle":"","family":"Group","given":"the FSP/MISAME study","non-dropping-particle":"","parse-names":false,"suffix":""}],"container-title":"Malaria Journal","id":"ITEM-1","issue":"1","issued":{"date-parts":[["2012"]]},"page":"71","title":"An analysis of timing and frequency of malaria infection during pregnancy in relation to the risk of low birth weight, anaemia and perinatal mortality in Burkina Faso","type":"article-journal","volume":"11"},"uris":["http://www.mendeley.com/documents/?uuid=e4ad9fab-5bee-48f0-b1c3-8dfb9b658905","http://www.mendeley.com/documents/?uuid=03c81e23-32f0-4d23-8c52-a6931c784618"]}],"mendeley":{"formattedCitation":"[51]","plainTextFormattedCitation":"[51]","previouslyFormattedCitation":"[51]"},"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[51]</w:t>
      </w:r>
      <w:r w:rsidR="007176D6" w:rsidRPr="00C0372B">
        <w:rPr>
          <w:rFonts w:cstheme="minorHAnsi"/>
        </w:rPr>
        <w:fldChar w:fldCharType="end"/>
      </w:r>
      <w:r w:rsidRPr="00455A3C">
        <w:rPr>
          <w:rFonts w:cstheme="minorHAnsi"/>
        </w:rPr>
        <w:t>. The risk of death in infants with low birth weights is estimated to be 3.2 times higher than infants of normal weight</w:t>
      </w:r>
      <w:r w:rsidR="007176D6" w:rsidRPr="00455A3C">
        <w:rPr>
          <w:rFonts w:cstheme="minorHAnsi"/>
        </w:rPr>
        <w:t xml:space="preserve"> </w:t>
      </w:r>
      <w:r w:rsidR="007176D6" w:rsidRPr="00C0372B">
        <w:rPr>
          <w:rFonts w:cstheme="minorHAnsi"/>
        </w:rPr>
        <w:fldChar w:fldCharType="begin" w:fldLock="1"/>
      </w:r>
      <w:r w:rsidR="00C72B9D">
        <w:rPr>
          <w:rFonts w:cstheme="minorHAnsi"/>
        </w:rPr>
        <w:instrText>ADDIN CSL_CITATION {"citationItems":[{"id":"ITEM-1","itemData":{"DOI":"10.1093/aje/154.5.459","ISSN":"00029262","PMID":"11532788","abstract":"Malaria during pregnancy reduces birth weight, and low birth weight is a major determinant of infant mortality. The authors estimated the impact of malaria during pregnancy on infant mortality in a Karen population living in Thailand. Between 1993 and 1996, a cohort of 1,495 mothers and their infants was followed weekly from admission of the mother to antenatal clinics until the first birthday of the infant. Both falciparum malaria and vivax malaria during pregnancy were associated with low birth weight but did not shorten gestation. Febrile illness in the week before delivery was associated with premature birth. Preterm and full-term low birth weight and fever in the week before delivery were associated with neonatal mortality. Maternal fevers close to term were also associated with the deaths of infants aged between 1 and 3 months, whereas no risk factors could be identified for deaths that occurred later in infancy. Thus, malaria during pregnancy increased neonatal mortality by lowering birth weight, whereas fever in the week before birth had a further independent effect in addition to inducing premature birth. The prevention of malaria in pregnancy and, thus, of malaria-attributable low birth weight should increase the survival of young babies.","author":[{"dropping-particle":"","family":"Luxemburger","given":"Christine","non-dropping-particle":"","parse-names":false,"suffix":""},{"dropping-particle":"","family":"McGready","given":"Rose","non-dropping-particle":"","parse-names":false,"suffix":""},{"dropping-particle":"","family":"Kham","given":"Am","non-dropping-particle":"","parse-names":false,"suffix":""},{"dropping-particle":"","family":"Morison","given":"Linda","non-dropping-particle":"","parse-names":false,"suffix":""},{"dropping-particle":"","family":"Cho","given":"Thein","non-dropping-particle":"","parse-names":false,"suffix":""},{"dropping-particle":"","family":"Chongsuphajaisiddhi","given":"Tan","non-dropping-particle":"","parse-names":false,"suffix":""},{"dropping-particle":"","family":"White","given":"Nicholas J.","non-dropping-particle":"","parse-names":false,"suffix":""},{"dropping-particle":"","family":"Nosten","given":"François","non-dropping-particle":"","parse-names":false,"suffix":""}],"container-title":"American Journal of Epidemiology","id":"ITEM-1","issued":{"date-parts":[["2001"]]},"title":"Effects of malaria during pregnancy on infant mortality in an area of low malaria transmission","type":"article-journal"},"uris":["http://www.mendeley.com/documents/?uuid=498d633e-c28c-4ed8-bb10-c23fb085ce22"]}],"mendeley":{"formattedCitation":"[49]","plainTextFormattedCitation":"[49]","previouslyFormattedCitation":"[49]"},"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[49]</w:t>
      </w:r>
      <w:r w:rsidR="007176D6" w:rsidRPr="00C0372B">
        <w:rPr>
          <w:rFonts w:cstheme="minorHAnsi"/>
        </w:rPr>
        <w:fldChar w:fldCharType="end"/>
      </w:r>
      <w:r w:rsidR="00E50EA2" w:rsidRPr="00455A3C">
        <w:rPr>
          <w:rFonts w:cstheme="minorHAnsi"/>
        </w:rPr>
        <w:t>. A</w:t>
      </w:r>
      <w:r w:rsidRPr="00455A3C">
        <w:rPr>
          <w:rFonts w:cstheme="minorHAnsi"/>
        </w:rPr>
        <w:t xml:space="preserve"> similar value as was reported in </w:t>
      </w:r>
      <w:r w:rsidR="007176D6" w:rsidRPr="00C0372B">
        <w:rPr>
          <w:rFonts w:cstheme="minorHAnsi"/>
        </w:rPr>
        <w:fldChar w:fldCharType="begin" w:fldLock="1"/>
      </w:r>
      <w:r w:rsidR="00C72B9D">
        <w:rPr>
          <w:rFonts w:cstheme="minorHAnsi"/>
        </w:rPr>
        <w:instrText>ADDIN CSL_CITATION {"citationItems":[{"id":"ITEM-1","itemData":{"DOI":"10.4269/ajtmh.2001.64.36","ISSN":"0002-9637","author":[{"dropping-particle":"","family":"Guyatt","given":"HL","non-dropping-particle":"","parse-names":false,"suffix":""},{"dropping-particle":"","family":"Snow","given":"RW","non-dropping-particle":"","parse-names":false,"suffix":""}],"container-title":"The American Journal of Tropical Medicine and Hygiene","id":"ITEM-1","issue":"1_suppl","issued":{"date-parts":[["2001","1"]]},"page":"36-44","title":"The epidemiology and burden of Plasmodium falciparum-related anemia among pregnant women in sub-Saharan Africa","type":"article-journal","volume":"64"},"uris":["http://www.mendeley.com/documents/?uuid=6d437f74-1fac-4f93-ae16-111c3201ee24","http://www.mendeley.com/documents/?uuid=e6aec5a3-3c3a-4594-94e7-b6a90e22313e"]}],"mendeley":{"formattedCitation":"[42]","plainTextFormattedCitation":"[42]","previouslyFormattedCitation":"[42]"},"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[42]</w:t>
      </w:r>
      <w:r w:rsidR="007176D6" w:rsidRPr="00C0372B">
        <w:rPr>
          <w:rFonts w:cstheme="minorHAnsi"/>
        </w:rPr>
        <w:fldChar w:fldCharType="end"/>
      </w:r>
      <w:r w:rsidRPr="00455A3C">
        <w:rPr>
          <w:rFonts w:cstheme="minorHAnsi"/>
        </w:rPr>
        <w:t>, though</w:t>
      </w:r>
      <w:r w:rsidR="007176D6" w:rsidRPr="00455A3C">
        <w:rPr>
          <w:rFonts w:cstheme="minorHAnsi"/>
        </w:rPr>
        <w:t xml:space="preserve"> </w:t>
      </w:r>
      <w:r w:rsidR="007176D6" w:rsidRPr="00C0372B">
        <w:rPr>
          <w:rFonts w:cstheme="minorHAnsi"/>
        </w:rPr>
        <w:fldChar w:fldCharType="begin" w:fldLock="1"/>
      </w:r>
      <w:r w:rsidR="00C72B9D">
        <w:rPr>
          <w:rFonts w:cstheme="minorHAnsi"/>
        </w:rPr>
        <w:instrText>ADDIN CSL_CITATION {"citationItems":[{"id":"ITEM-1","itemData":{"DOI":"10.1093/infdis/jiq049","ISSN":"0022-1899","abstract":"Background. There is some consensus that malaria in pregnancy may negatively affect infant's mortality and malaria morbidity, but there is less evidence concerning the factors involved.Methods. A total of 1030 Mozambican pregnant women were enrolled in a randomized, placebo-controlled trial of intermittent preventive treatment with sulfadoxine-pyrimethamine, and their infants were followed up throughout infancy. Overall mortality and malaria morbidity rates were recorded. The association of maternal and fetal risk factors with infant mortality and malaria morbidity was assessed.Results. There were 58 infant deaths among 997 live-born infants. The risk of dying during infancy was increased among infants born to women with acute placental infection (odds ratio [OR], 5.08 [95% confidence interval (CI), 1.77–14.53)], parasitemia in cord blood (OR, 19.31 [95% CI, 4.44–84.02]), low birth weight (OR, 2.82 [95% CI, 1.27–6.28]) or prematurity (OR, 3.19 [95% CI, 1.14–8.95]). Infants born to women who had clinical malaria during pregnancy (OR, 1.96 [95% CI, 1.13–3.41]) or acute placental infection (OR, 4.63 [95% CI, 2.10–10.24]) had an increased risk of clinical malaria during infancy.Conclusions. Malaria infection at the end of pregnancy and maternal clinical malaria negatively impact survival and malaria morbidity in infancy. Effective clinical management and prevention of malaria in pregnancy may improve infant's health and survival.","author":[{"dropping-particle":"","family":"Bardají","given":"Azucena","non-dropping-particle":"","parse-names":false,"suffix":""},{"dropping-particle":"","family":"Sigauque","given":"Betuel","non-dropping-particle":"","parse-names":false,"suffix":""},{"dropping-particle":"","family":"Sanz","given":"Sergi","non-dropping-particle":"","parse-names":false,"suffix":""},{"dropping-particle":"","family":"Maixenchs","given":"María","non-dropping-particle":"","parse-names":false,"suffix":""},{"dropping-particle":"","family":"Ordi","given":"Jaume","non-dropping-particle":"","parse-names":false,"suffix":""},{"dropping-particle":"","family":"Aponte","given":"John J","non-dropping-particle":"","parse-names":false,"suffix":""},{"dropping-particle":"","family":"Mabunda","given":"Samuel","non-dropping-particle":"","parse-names":false,"suffix":""},{"dropping-particle":"","family":"Alonso","given":"Pedro L","non-dropping-particle":"","parse-names":false,"suffix":""},{"dropping-particle":"","family":"Menéndez","given":"Clara","non-dropping-particle":"","parse-names":false,"suffix":""}],"container-title":"The Journal of Infectious Diseases","id":"ITEM-1","issue":"5","issued":{"date-parts":[["2011","3"]]},"page":"691-699","title":"Impact of Malaria at the End of Pregnancy on Infant Mortality and Morbidity","type":"article-journal","volume":"203"},"uris":["http://www.mendeley.com/documents/?uuid=acb49ea0-f11f-40a8-90f0-7318b7a7def9","http://www.mendeley.com/documents/?uuid=3f129d28-0821-4905-81ae-bb9a7c4cab3f"]}],"mendeley":{"formattedCitation":"[52]","plainTextFormattedCitation":"[52]","previouslyFormattedCitation":"[52]"},"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[52]</w:t>
      </w:r>
      <w:r w:rsidR="007176D6" w:rsidRPr="00C0372B">
        <w:rPr>
          <w:rFonts w:cstheme="minorHAnsi"/>
        </w:rPr>
        <w:fldChar w:fldCharType="end"/>
      </w:r>
      <w:r w:rsidRPr="00455A3C">
        <w:rPr>
          <w:rFonts w:cstheme="minorHAnsi"/>
        </w:rPr>
        <w:t xml:space="preserve"> saw a 4 times higher risk and</w:t>
      </w:r>
      <w:r w:rsidR="007176D6" w:rsidRPr="00455A3C">
        <w:rPr>
          <w:rFonts w:cstheme="minorHAnsi"/>
        </w:rPr>
        <w:t xml:space="preserve"> </w:t>
      </w:r>
      <w:r w:rsidR="007176D6" w:rsidRPr="00C0372B">
        <w:rPr>
          <w:rFonts w:cstheme="minorHAnsi"/>
        </w:rPr>
        <w:fldChar w:fldCharType="begin" w:fldLock="1"/>
      </w:r>
      <w:r w:rsidR="00C72B9D">
        <w:rPr>
          <w:rFonts w:cstheme="minorHAnsi"/>
        </w:rPr>
        <w:instrText>ADDIN CSL_CITATION {"citationItems":[{"id":"ITEM-1","itemData":{"DOI":"10.1371/journal.pone.0009438","ISSN":"19326203","PMID":"20195472","abstract":"Background: In the global context of a reduction of under-five mortality, neonatal mortality is an increasingly relevant component of this mortality. Malaria in pregnancy may affect neonatal survival, though no strong evidence exists to support this association. Methods: In the context of a randomised, placebo-controlled trial of intermittent preventive treatment (IPTp) with sulphadoxine-pyrimethamine (SP) in 1030 Mozambican pregnant women, 997 newborns were followed up until 12 months of age. There were 500 live borns to women who received placebo and 497 to those who received SP. Findings: There were 58 infant deaths; 60.4% occurred in children born to women who received placebo and 39.6% to women who received IPTp (p = 0.136). There were 25 neonatal deaths; 72% occurred in the placebo group and 28% in the IPTp group (p = 0.041). Of the 20 deaths that occurred in the first week of life, 75% were babies born to women in the placebo group and 25% to those in the IPTp group (p = 0.039). IPTp reduced neonatal mortality by 61.3% (95% CI 7.4%, 83.8%); p = 0.024]. Conclusions: Malaria prevention with SP in pregnancy can reduce neonatal mortality. Mechanisms associated with increased malaria infection at the end of pregnancy may explain the excess mortality in the malaria less protected group. Alternatively, SP may have reduced the risk of neonatal infections. These findings are of relevance to promote the implementation of IPTp with SP, and provide insights into the understanding of the pathophysiological mechanisms through which maternal malaria affects fetal and neonatal health. Trial Registration: ClinicalTrials.gov NCT00209781. © 2010 Menéndez et al.","author":[{"dropping-particle":"","family":"Menéndez","given":"Clara","non-dropping-particle":"","parse-names":false,"suffix":""},{"dropping-particle":"","family":"Bardají","given":"Azucena","non-dropping-particle":"","parse-names":false,"suffix":""},{"dropping-particle":"","family":"Sigauque","given":"Betuel","non-dropping-particle":"","parse-names":false,"suffix":""},{"dropping-particle":"","family":"Sanz","given":"Sergi","non-dropping-particle":"","parse-names":false,"suffix":""},{"dropping-particle":"","family":"Aponte","given":"John J.","non-dropping-particle":"","parse-names":false,"suffix":""},{"dropping-particle":"","family":"Mabunda","given":"Samuel","non-dropping-particle":"","parse-names":false,"suffix":""},{"dropping-particle":"","family":"Alonso","given":"Pedro L.","non-dropping-particle":"","parse-names":false,"suffix":""}],"container-title":"PLoS ONE","id":"ITEM-1","issued":{"date-parts":[["2010"]]},"title":"Malaria prevention with IPTp during pregnancy reduces neonatal mortality","type":"article-journal"},"uris":["http://www.mendeley.com/documents/?uuid=eb1ee4a4-ccb0-4b77-ba84-e69a89cd5dfa"]}],"mendeley":{"formattedCitation":"[53]","plainTextFormattedCitation":"[53]","previouslyFormattedCitation":"[53]"},"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[53]</w:t>
      </w:r>
      <w:r w:rsidR="007176D6" w:rsidRPr="00C0372B">
        <w:rPr>
          <w:rFonts w:cstheme="minorHAnsi"/>
        </w:rPr>
        <w:fldChar w:fldCharType="end"/>
      </w:r>
      <w:r w:rsidRPr="00455A3C">
        <w:rPr>
          <w:rFonts w:cstheme="minorHAnsi"/>
        </w:rPr>
        <w:t xml:space="preserve"> reported a hazard ratio of 10.16 for death in LBW infants. We assumed that the probability of malaria-attributable death in a mLBW infant was 0.148, calculated using the low-birth-weight prevalence in a population</w:t>
      </w:r>
      <w:r w:rsidR="007176D6" w:rsidRPr="00455A3C">
        <w:rPr>
          <w:rFonts w:cstheme="minorHAnsi"/>
        </w:rPr>
        <w:t xml:space="preserve"> </w:t>
      </w:r>
      <w:r w:rsidR="007176D6" w:rsidRPr="00C0372B">
        <w:rPr>
          <w:rFonts w:cstheme="minorHAnsi"/>
        </w:rPr>
        <w:fldChar w:fldCharType="begin" w:fldLock="1"/>
      </w:r>
      <w:r w:rsidR="00C72B9D">
        <w:rPr>
          <w:rFonts w:cstheme="minorHAnsi"/>
        </w:rPr>
        <w:instrText>ADDIN CSL_CITATION {"citationItems":[{"id":"ITEM-1","itemData":{"DOI":"10.1136/bmjopen-2017-020410","ISSN":"20446055","PMID":"30158218","abstract":"Objectives The present study aimed to estimate the prevalence of low birth weight (LBW), and to investigate the association between maternal body weight measured in terms of body mass index (BMI) and birth weight in selected countries in Africa. Setting Urban and rural household in Burkina Faso, Ghana, Malawi, Senegal and Uganda. Participants Mothers (n=11 418) aged between 15 and 49 years with a history of childbirth in the last 5 years. Results The prevalence of LBW in Burkina Faso, Ghana, Malawi, Senegal and Uganda was, respectively, 13.4%, 10.2%, 12.1%, 15.7% and 10%. Compared with women who are of normal weight, underweight mothers had a higher likelihood of giving birth to LBW babies in all countries except Ghana. However, the association between maternal BMI and birth weight was found to be statistically significant for Senegal only (OR=1.961 (95% CI 1.259 to 3.055)). Conclusion Underweight mothers in Senegal share a greater risk of having LBW babies compared with their normal-weight counterparts. Programmes targeting to address infant mortality should focus on promoting nutritional status among women of childbearing age. Longitudinal studies are required to better elucidate the causal nature of the relationship between maternal underweight and LBW.","author":[{"dropping-particle":"","family":"He","given":"Zhifei","non-dropping-particle":"","parse-names":false,"suffix":""},{"dropping-particle":"","family":"Bishwajit","given":"Ghose","non-dropping-particle":"","parse-names":false,"suffix":""},{"dropping-particle":"","family":"Yaya","given":"Sanni","non-dropping-particle":"","parse-names":false,"suffix":""},{"dropping-particle":"","family":"Cheng","given":"Zhaohui","non-dropping-particle":"","parse-names":false,"suffix":""},{"dropping-particle":"","family":"Zou","given":"Dongsheng","non-dropping-particle":"","parse-names":false,"suffix":""},{"dropping-particle":"","family":"Zhou","given":"Yan","non-dropping-particle":"","parse-names":false,"suffix":""}],"container-title":"BMJ Open","id":"ITEM-1","issued":{"date-parts":[["2018"]]},"title":"Prevalence of low birth weight and its association with maternal body weight status in selected countries in Africa: A cross-sectional study","type":"article-journal"},"uris":["http://www.mendeley.com/documents/?uuid=d4cb09fa-9902-4d07-9811-580f84491bc7"]}],"mendeley":{"formattedCitation":"[54]","plainTextFormattedCitation":"[54]","previouslyFormattedCitation":"[54]"},"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[54]</w:t>
      </w:r>
      <w:r w:rsidR="007176D6" w:rsidRPr="00C0372B">
        <w:rPr>
          <w:rFonts w:cstheme="minorHAnsi"/>
        </w:rPr>
        <w:fldChar w:fldCharType="end"/>
      </w:r>
      <w:r w:rsidRPr="00455A3C">
        <w:rPr>
          <w:rFonts w:cstheme="minorHAnsi"/>
        </w:rPr>
        <w:t>, the estimated infant death rate for that population</w:t>
      </w:r>
      <w:r w:rsidR="00BB5B55" w:rsidRPr="00455A3C">
        <w:rPr>
          <w:rFonts w:cstheme="minorHAnsi"/>
        </w:rPr>
        <w:t xml:space="preserve"> </w:t>
      </w:r>
      <w:r w:rsidR="00BB5B55" w:rsidRPr="00C0372B">
        <w:rPr>
          <w:rFonts w:cstheme="minorHAnsi"/>
        </w:rPr>
        <w:fldChar w:fldCharType="begin" w:fldLock="1"/>
      </w:r>
      <w:r w:rsidR="00C72B9D">
        <w:rPr>
          <w:rFonts w:cstheme="minorHAnsi"/>
        </w:rPr>
        <w:instrText>ADDIN CSL_CITATION {"citationItems":[{"id":"ITEM-1","itemData":{"URL":"https://www.cia.gov/the-world-factbook/countries/burkina-faso/#people-and-society","author":[{"dropping-particle":"","family":"Central Intelligence Agency","given":"","non-dropping-particle":"","parse-names":false,"suffix":""}],"container-title":"World Factbook","id":"ITEM-1","issued":{"date-parts":[["2017"]]},"title":"Burkina Faso","type":"webpage"},"uris":["http://www.mendeley.com/documents/?uuid=45069f61-878a-4e78-a29d-825c98cc6ac3"]}],"mendeley":{"formattedCitation":"[55]","plainTextFormattedCitation":"[55]","previouslyFormattedCitation":"[55]"},"properties":{"noteIndex":0},"schema":"https://github.com/citation-style-language/schema/raw/master/csl-citation.json"}</w:instrText>
      </w:r>
      <w:r w:rsidR="00BB5B55" w:rsidRPr="00C0372B">
        <w:rPr>
          <w:rFonts w:cstheme="minorHAnsi"/>
        </w:rPr>
        <w:fldChar w:fldCharType="separate"/>
      </w:r>
      <w:r w:rsidR="00D540A2" w:rsidRPr="00D540A2">
        <w:rPr>
          <w:rFonts w:cstheme="minorHAnsi"/>
          <w:noProof/>
        </w:rPr>
        <w:t>[55]</w:t>
      </w:r>
      <w:r w:rsidR="00BB5B55" w:rsidRPr="00C0372B">
        <w:rPr>
          <w:rFonts w:cstheme="minorHAnsi"/>
        </w:rPr>
        <w:fldChar w:fldCharType="end"/>
      </w:r>
      <w:r w:rsidRPr="00455A3C">
        <w:rPr>
          <w:rFonts w:cstheme="minorHAnsi"/>
        </w:rPr>
        <w:t xml:space="preserve">, and the relative risk of death in low-birth-weight infants. </w:t>
      </w:r>
    </w:p>
    <w:p w14:paraId="08F0D833" w14:textId="77777777" w:rsidR="00C449D4" w:rsidRPr="00455A3C" w:rsidRDefault="00C449D4" w:rsidP="005354EA">
      <w:pPr>
        <w:spacing w:after="0" w:line="276" w:lineRule="auto"/>
        <w:contextualSpacing/>
        <w:rPr>
          <w:rFonts w:cstheme="minorHAnsi"/>
        </w:rPr>
      </w:pPr>
    </w:p>
    <w:p w14:paraId="1A4E5515" w14:textId="09B4DA18" w:rsidR="00CB49B7" w:rsidRPr="00455A3C" w:rsidRDefault="00A11DB0" w:rsidP="005354EA">
      <w:pPr>
        <w:spacing w:after="0" w:line="276" w:lineRule="auto"/>
        <w:contextualSpacing/>
        <w:rPr>
          <w:rFonts w:cstheme="minorHAnsi"/>
          <w:u w:val="single"/>
        </w:rPr>
      </w:pPr>
      <w:r w:rsidRPr="00455A3C">
        <w:rPr>
          <w:rFonts w:cstheme="minorHAnsi"/>
        </w:rPr>
        <w:t xml:space="preserve">An individual who receives IPTp during pregnancy is </w:t>
      </w:r>
      <w:r w:rsidR="0052216C" w:rsidRPr="00455A3C">
        <w:rPr>
          <w:rFonts w:cstheme="minorHAnsi"/>
        </w:rPr>
        <w:t>expected</w:t>
      </w:r>
      <w:r w:rsidRPr="00455A3C">
        <w:rPr>
          <w:rFonts w:cstheme="minorHAnsi"/>
        </w:rPr>
        <w:t xml:space="preserve"> to have a reduced risk of delivering a mLBW infant relative to an unprotected mother, with the effect size dependent on the number of IPTp doses. IPTp may reduce the probability of mLBW by preventing individuals from becoming infected with malaria and</w:t>
      </w:r>
      <w:r w:rsidR="00435842" w:rsidRPr="00455A3C">
        <w:rPr>
          <w:rFonts w:cstheme="minorHAnsi"/>
        </w:rPr>
        <w:t>/or</w:t>
      </w:r>
      <w:r w:rsidRPr="00455A3C">
        <w:rPr>
          <w:rFonts w:cstheme="minorHAnsi"/>
        </w:rPr>
        <w:t xml:space="preserve"> by ending an infection before infant growth has been substantially affected. </w:t>
      </w:r>
      <w:r w:rsidR="0052216C" w:rsidRPr="00455A3C">
        <w:rPr>
          <w:rFonts w:cstheme="minorHAnsi"/>
        </w:rPr>
        <w:t>Based on the rates of placental parasitemia in Burkina Faso among primigravidae and secundigravidae who received 0, 1, 2, or 3 doses of IPTp during pregnancy</w:t>
      </w:r>
      <w:r w:rsidR="007176D6" w:rsidRPr="00455A3C">
        <w:rPr>
          <w:rFonts w:cstheme="minorHAnsi"/>
        </w:rPr>
        <w:t xml:space="preserve"> </w:t>
      </w:r>
      <w:r w:rsidR="007176D6" w:rsidRPr="00C0372B">
        <w:rPr>
          <w:rFonts w:cstheme="minorHAnsi"/>
        </w:rPr>
        <w:fldChar w:fldCharType="begin" w:fldLock="1"/>
      </w:r>
      <w:r w:rsidR="00C72B9D">
        <w:rPr>
          <w:rFonts w:cstheme="minorHAnsi"/>
        </w:rPr>
        <w:instrText>ADDIN CSL_CITATION {"citationItems":[{"id":"ITEM-1","itemData":{"DOI":"10.4269/ajtmh.2006.75.205","ISSN":"00029637","PMID":"16896120","abstract":"The World Health Organization recommends that pregnant women in malaria-endemic areas receive ≥ 2 doses of intermittent preventive treatment with sulfadoxine-pyrimethamine (IPTp/SP) in the second and third trimesters of pregnancy to prevent maternal anemia, placental parasitemia, and low birth weight (LBW). In 2001, a program evaluation in Koupela District, Burkina Faso demonstrated that despite widespread use of chloroquine chemoprophylaxis, the burden of malaria during pregnancy remained high. In 2003, the Burkina Faso Ministry of Health piloted a program of IPTp/SP (three doses) and accelerated distribution of insecticide-treated nets (ITN) to pregnant women in Koupela District. In 2004, a follow-up program evaluation was conducted. Coverage with ≥ 1 doses of IPTp/SP was high among women attending antenatal clinics (ANCs) (96.2%) and delivery units (DUs) (93.5%); ITN ownership was moderately high (ANC = 53.9%, DU = 61.6%). In multivariate analysis, ≥ 1 dose of IPTp/SP was associated with a significant reduction in the prevalence of peripheral parasitemia at ANCs (risk ratio [RR] = 0.49, P = 0.008), ≥ 2 doses of IPTp/SP were associated with a reduction in the prevalence of placental parasitemia (RR = 0.56, P = 0.02), and three doses of IPTp/SP were associated with a reduced risk of LBW (RR = 0.51, P = 0.04). The proportions of women at ANCs with peripheral parasitemia and anemia were significantly lower in 2004 than in 2001 (RR = 0.53, P = 0.001 and RR = 0.78, P = 0.003, respectively). The proportions of women at DUs with peripheral and placental parasitemia were also significantly lower in 2004 than in 2001 (RR = 0.66, P &lt; 0.0001 and RR = 0.71, P = 0.0002, respectively). These data suggest that a package of IPTp/SP and ITNs is effective in reducing the burden of malaria during pregnancy in Burkina Faso. Copyright © 2006 by The American Society of Tropical Medicine and Hygiene.","author":[{"dropping-particle":"","family":"Sirima","given":"Sodiomon B.","non-dropping-particle":"","parse-names":false,"suffix":""},{"dropping-particle":"","family":"Cotte","given":"Annett H.","non-dropping-particle":"","parse-names":false,"suffix":""},{"dropping-particle":"","family":"Konaté","given":"Amadou","non-dropping-particle":"","parse-names":false,"suffix":""},{"dropping-particle":"","family":"Moran","given":"Allisyn C.","non-dropping-particle":"","parse-names":false,"suffix":""},{"dropping-particle":"","family":"Asamoa","given":"Kwame","non-dropping-particle":"","parse-names":false,"suffix":""},{"dropping-particle":"","family":"Bougouma","given":"Edith C.","non-dropping-particle":"","parse-names":false,"suffix":""},{"dropping-particle":"","family":"Diarra","given":"Amidou","non-dropping-particle":"","parse-names":false,"suffix":""},{"dropping-particle":"","family":"Ouédraogo","given":"Alphonse","non-dropping-particle":"","parse-names":false,"suffix":""},{"dropping-particle":"","family":"Parise","given":"Monica E.","non-dropping-particle":"","parse-names":false,"suffix":""},{"dropping-particle":"","family":"Newman","given":"Robert D.","non-dropping-particle":"","parse-names":false,"suffix":""}],"container-title":"American Journal of Tropical Medicine and Hygiene","id":"ITEM-1","issued":{"date-parts":[["2006"]]},"title":"Malaria prevention during pregnancy: Assessing the disease burden one year after implementing a program of intermittent preventive treatment in Koupéla District, Burkina Faso","type":"article-journal"},"uris":["http://www.mendeley.com/documents/?uuid=7ddf7a4f-fd08-4a32-9f5d-3d15042b68e9"]}],"mendeley":{"formattedCitation":"[47]","plainTextFormattedCitation":"[47]","previouslyFormattedCitation":"[47]"},"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[47]</w:t>
      </w:r>
      <w:r w:rsidR="007176D6" w:rsidRPr="00C0372B">
        <w:rPr>
          <w:rFonts w:cstheme="minorHAnsi"/>
        </w:rPr>
        <w:fldChar w:fldCharType="end"/>
      </w:r>
      <w:r w:rsidR="0052216C" w:rsidRPr="00455A3C">
        <w:rPr>
          <w:rFonts w:cstheme="minorHAnsi"/>
        </w:rPr>
        <w:t xml:space="preserve"> we assumed the risk of placental parasitemia with 1, 2, and 3 doses of IPTp, relative to no IPTp, to be 0.74, 0.45, and 0.36, respectively. </w:t>
      </w:r>
      <w:r w:rsidRPr="00455A3C">
        <w:rPr>
          <w:rFonts w:cstheme="minorHAnsi"/>
        </w:rPr>
        <w:t xml:space="preserve">Even individuals with placental parasitemia who take IPTp may have some reduced risk of mLBW due to the more rapid clearance, </w:t>
      </w:r>
      <w:r w:rsidR="0081386D" w:rsidRPr="00455A3C">
        <w:rPr>
          <w:rFonts w:cstheme="minorHAnsi"/>
        </w:rPr>
        <w:t>al</w:t>
      </w:r>
      <w:r w:rsidRPr="00455A3C">
        <w:rPr>
          <w:rFonts w:cstheme="minorHAnsi"/>
        </w:rPr>
        <w:t>though the value of this parameter is unknown. Combining the estimates form</w:t>
      </w:r>
      <w:r w:rsidR="007176D6" w:rsidRPr="00455A3C">
        <w:rPr>
          <w:rFonts w:cstheme="minorHAnsi"/>
        </w:rPr>
        <w:t xml:space="preserve"> </w:t>
      </w:r>
      <w:r w:rsidR="007176D6" w:rsidRPr="00C0372B">
        <w:rPr>
          <w:rFonts w:cstheme="minorHAnsi"/>
        </w:rPr>
        <w:fldChar w:fldCharType="begin" w:fldLock="1"/>
      </w:r>
      <w:r w:rsidR="00C72B9D">
        <w:rPr>
          <w:rFonts w:cstheme="minorHAnsi"/>
        </w:rPr>
        <w:instrText>ADDIN CSL_CITATION {"citationItems":[{"id":"ITEM-1","itemData":{"DOI":"10.4269/ajtmh.2006.75.205","ISSN":"00029637","PMID":"16896120","abstract":"The World Health Organization recommends that pregnant women in malaria-endemic areas receive ≥ 2 doses of intermittent preventive treatment with sulfadoxine-pyrimethamine (IPTp/SP) in the second and third trimesters of pregnancy to prevent maternal anemia, placental parasitemia, and low birth weight (LBW). In 2001, a program evaluation in Koupela District, Burkina Faso demonstrated that despite widespread use of chloroquine chemoprophylaxis, the burden of malaria during pregnancy remained high. In 2003, the Burkina Faso Ministry of Health piloted a program of IPTp/SP (three doses) and accelerated distribution of insecticide-treated nets (ITN) to pregnant women in Koupela District. In 2004, a follow-up program evaluation was conducted. Coverage with ≥ 1 doses of IPTp/SP was high among women attending antenatal clinics (ANCs) (96.2%) and delivery units (DUs) (93.5%); ITN ownership was moderately high (ANC = 53.9%, DU = 61.6%). In multivariate analysis, ≥ 1 dose of IPTp/SP was associated with a significant reduction in the prevalence of peripheral parasitemia at ANCs (risk ratio [RR] = 0.49, P = 0.008), ≥ 2 doses of IPTp/SP were associated with a reduction in the prevalence of placental parasitemia (RR = 0.56, P = 0.02), and three doses of IPTp/SP were associated with a reduced risk of LBW (RR = 0.51, P = 0.04). The proportions of women at ANCs with peripheral parasitemia and anemia were significantly lower in 2004 than in 2001 (RR = 0.53, P = 0.001 and RR = 0.78, P = 0.003, respectively). The proportions of women at DUs with peripheral and placental parasitemia were also significantly lower in 2004 than in 2001 (RR = 0.66, P &lt; 0.0001 and RR = 0.71, P = 0.0002, respectively). These data suggest that a package of IPTp/SP and ITNs is effective in reducing the burden of malaria during pregnancy in Burkina Faso. Copyright © 2006 by The American Society of Tropical Medicine and Hygiene.","author":[{"dropping-particle":"","family":"Sirima","given":"Sodiomon B.","non-dropping-particle":"","parse-names":false,"suffix":""},{"dropping-particle":"","family":"Cotte","given":"Annett H.","non-dropping-particle":"","parse-names":false,"suffix":""},{"dropping-particle":"","family":"Konaté","given":"Amadou","non-dropping-particle":"","parse-names":false,"suffix":""},{"dropping-particle":"","family":"Moran","given":"Allisyn C.","non-dropping-particle":"","parse-names":false,"suffix":""},{"dropping-particle":"","family":"Asamoa","given":"Kwame","non-dropping-particle":"","parse-names":false,"suffix":""},{"dropping-particle":"","family":"Bougouma","given":"Edith C.","non-dropping-particle":"","parse-names":false,"suffix":""},{"dropping-particle":"","family":"Diarra","given":"Amidou","non-dropping-particle":"","parse-names":false,"suffix":""},{"dropping-particle":"","family":"Ouédraogo","given":"Alphonse","non-dropping-particle":"","parse-names":false,"suffix":""},{"dropping-particle":"","family":"Parise","given":"Monica E.","non-dropping-particle":"","parse-names":false,"suffix":""},{"dropping-particle":"","family":"Newman","given":"Robert D.","non-dropping-particle":"","parse-names":false,"suffix":""}],"container-title":"American Journal of Tropical Medicine and Hygiene","id":"ITEM-1","issued":{"date-parts":[["2006"]]},"title":"Malaria prevention during pregnancy: Assessing the disease burden one year after implementing a program of intermittent preventive treatment in Koupéla District, Burkina Faso","type":"article-journal"},"uris":["http://www.mendeley.com/documents/?uuid=7ddf7a4f-fd08-4a32-9f5d-3d15042b68e9"]}],"mendeley":{"formattedCitation":"[47]","plainTextFormattedCitation":"[47]","previouslyFormattedCitation":"[47]"},"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[47]</w:t>
      </w:r>
      <w:r w:rsidR="007176D6" w:rsidRPr="00C0372B">
        <w:rPr>
          <w:rFonts w:cstheme="minorHAnsi"/>
        </w:rPr>
        <w:fldChar w:fldCharType="end"/>
      </w:r>
      <w:r w:rsidRPr="00455A3C">
        <w:rPr>
          <w:rFonts w:cstheme="minorHAnsi"/>
        </w:rPr>
        <w:t xml:space="preserve"> with the reduced risk from shortened infections, we estimate the risk of mLBW among malaria-exposed individuals with 1, 2, or 3 doses of IPTp relative to malaria-exposed individuals who did not receive IPTp as 0.6</w:t>
      </w:r>
      <w:r w:rsidR="0052216C" w:rsidRPr="00455A3C">
        <w:rPr>
          <w:rFonts w:cstheme="minorHAnsi"/>
        </w:rPr>
        <w:t>7</w:t>
      </w:r>
      <w:r w:rsidRPr="00455A3C">
        <w:rPr>
          <w:rFonts w:cstheme="minorHAnsi"/>
        </w:rPr>
        <w:t>, 0.4</w:t>
      </w:r>
      <w:r w:rsidR="0052216C" w:rsidRPr="00455A3C">
        <w:rPr>
          <w:rFonts w:cstheme="minorHAnsi"/>
        </w:rPr>
        <w:t>1</w:t>
      </w:r>
      <w:r w:rsidRPr="00455A3C">
        <w:rPr>
          <w:rFonts w:cstheme="minorHAnsi"/>
        </w:rPr>
        <w:t>, and 0.32, respectively. For comparison, the relative risk of LBW for 2 versus ≥3 IPTp doses was examined in a 2013 meta-analysis by</w:t>
      </w:r>
      <w:r w:rsidR="007176D6" w:rsidRPr="00455A3C">
        <w:rPr>
          <w:rFonts w:cstheme="minorHAnsi"/>
        </w:rPr>
        <w:t xml:space="preserve"> </w:t>
      </w:r>
      <w:r w:rsidR="007176D6" w:rsidRPr="00C0372B">
        <w:rPr>
          <w:rFonts w:cstheme="minorHAnsi"/>
        </w:rPr>
        <w:fldChar w:fldCharType="begin" w:fldLock="1"/>
      </w:r>
      <w:r w:rsidR="00C72B9D">
        <w:rPr>
          <w:rFonts w:cstheme="minorHAnsi"/>
        </w:rPr>
        <w:instrText>ADDIN CSL_CITATION {"citationItems":[{"id":"ITEM-1","itemData":{"DOI":"10.1001/jama.2012.216231","ISSN":"0098-7484","abstract":"Intermittent preventive therapy with sulfadoxine-pyrimethamine to control malaria during pregnancy is used in 37 countries in sub-Saharan Africa, and 31 of those countries use the standard 2-dose regimen. However, 2 doses may not provide protection during the last 4 to 10 weeks of pregnancy, a pivotal period for fetal weight gain.To perform a systematic review and meta-analysis of trials to determine whether regimens containing 3 or more doses of sulfadoxine-pyrimethamine for intermittent preventive therapy during pregnancy are associated with a higher birth weight or lower risk of low birth weight (LBW) (&amp;lt;2500 g) than standard 2-dose regimens.ISI Web of Knowledge, EMBASE, SCOPUS, PubMed, LILACS, the Malaria in Pregnancy Library, Cochrane CENTRAL, and trial registries from their inception to December 2012, without language restriction. Eligible studies included randomized and quasi-randomized trials of intermittent preventive therapy during pregnancy with sulfadoxine-pyrimethamine monotherapy.Data were independently abstracted by 2 investigators. Relative risk (RR), mean differences, and 95% CIs were calculated with random-effects models.Of 241 screened studies, 7 trials of 6281 pregnancies were included. The median birth weight in the 2-dose group was 2870 g (range, 2722-3239 g) and on average 56 g higher (95% CI, 29-83 g; I2 = 0%) in the ≥3-dose group. Three or more doses were associated with fewer LBW births (RR, 0.80; 95% CI, 0.69-0.94; I 2 = 0%), with a median LBW risk per 1000 women in the 2-dose group (assumed control group risk) of 167 per 1000 vs 134 per 1000 in the ≥3-dose group (absolute risk reduction, 33 per 1000 [95% CI, 10-52]; number needed to treat = 31). The association was consistent across a wide range of sulfadoxine-pyrimethamine resistance (0% to 96% dihydropteroate-synthase K540E mutations). There was no evidence of small-study bias. The ≥3-dose group had less placental malaria (RR, 0.51; 95% CI, 0.38-0.68; I 2 = 0%, in 6 trials, 63 vs 32 per 1000; absolute risk reduction, 31 per 1000 [95% CI, 20-39]). In primigravid plus secundigravid women, the risk of moderate to severe maternal anemia was lower in the ≥3-dose group (RR, 0.60; 95% CI, 0.36-0.99; I2 = 20%; in 6 trials, 36 vs 22 per 1000; absolute risk reduction, 14 per 1000 [95% CI, 0.4-23]). There were no differences in rates of serious adverse events.Among pregnant women in sub-Saharan Africa, intermittent preventive therapy with 3 or more doses of sulfadoxine-pyrimethamine…","author":[{"dropping-particle":"","family":"Kayentao","given":"Kassoum","non-dropping-particle":"","parse-names":false,"suffix":""},{"dropping-particle":"","family":"Garner","given":"Paul","non-dropping-particle":"","parse-names":false,"suffix":""},{"dropping-particle":"","family":"Maria van Eijk","given":"Anne","non-dropping-particle":"","parse-names":false,"suffix":""},{"dropping-particle":"","family":"Naidoo","given":"Inbarani","non-dropping-particle":"","parse-names":false,"suffix":""},{"dropping-particle":"","family":"Roper","given":"Cally","non-dropping-particle":"","parse-names":false,"suffix":""},{"dropping-particle":"","family":"Mulokozi","given":"Abdunoor","non-dropping-particle":"","parse-names":false,"suffix":""},{"dropping-particle":"","family":"MacArthur","given":"John R","non-dropping-particle":"","parse-names":false,"suffix":""},{"dropping-particle":"","family":"Luntamo","given":"Mari","non-dropping-particle":"","parse-names":false,"suffix":""},{"dropping-particle":"","family":"Ashorn","given":"Per","non-dropping-particle":"","parse-names":false,"suffix":""},{"dropping-particle":"","family":"Doumbo","given":"Ogobara K","non-dropping-particle":"","parse-names":false,"suffix":""},{"dropping-particle":"","family":"Kuile","given":"Feiko O","non-dropping-particle":"ter","parse-names":false,"suffix":""}],"container-title":"JAMA","id":"ITEM-1","issue":"6","issued":{"date-parts":[["2013","2"]]},"page":"594-604","title":"Intermittent Preventive Therapy for Malaria During Pregnancy Using 2 vs 3 or More Doses of Sulfadoxine-Pyrimethamine and Risk of Low Birth Weight in Africa: Systematic Review and Meta-analysis","type":"article-journal","volume":"309"},"uris":["http://www.mendeley.com/documents/?uuid=872f1869-1ddd-44db-b730-09de61dc8c3a","http://www.mendeley.com/documents/?uuid=15748e16-cb9a-4a23-9b10-4270671e4cbe"]}],"mendeley":{"formattedCitation":"[56]","plainTextFormattedCitation":"[56]","previouslyFormattedCitation":"[56]"},"properties":{"noteIndex":0},"schema":"https://github.com/citation-style-language/schema/raw/master/csl-citation.json"}</w:instrText>
      </w:r>
      <w:r w:rsidR="007176D6" w:rsidRPr="00C0372B">
        <w:rPr>
          <w:rFonts w:cstheme="minorHAnsi"/>
        </w:rPr>
        <w:fldChar w:fldCharType="separate"/>
      </w:r>
      <w:r w:rsidR="00D540A2" w:rsidRPr="00D540A2">
        <w:rPr>
          <w:rFonts w:cstheme="minorHAnsi"/>
          <w:noProof/>
        </w:rPr>
        <w:t>[56]</w:t>
      </w:r>
      <w:r w:rsidR="007176D6" w:rsidRPr="00C0372B">
        <w:rPr>
          <w:rFonts w:cstheme="minorHAnsi"/>
        </w:rPr>
        <w:fldChar w:fldCharType="end"/>
      </w:r>
      <w:r w:rsidRPr="00455A3C">
        <w:rPr>
          <w:rFonts w:cstheme="minorHAnsi"/>
        </w:rPr>
        <w:t>, where the risk of LBW give</w:t>
      </w:r>
      <w:r w:rsidR="0052216C" w:rsidRPr="00455A3C">
        <w:rPr>
          <w:rFonts w:cstheme="minorHAnsi"/>
        </w:rPr>
        <w:t>n</w:t>
      </w:r>
      <w:r w:rsidRPr="00455A3C">
        <w:rPr>
          <w:rFonts w:cstheme="minorHAnsi"/>
        </w:rPr>
        <w:t xml:space="preserve"> three or more IPTp doses was estimated to be 80% of that with two IPTp doses. This value seems reasonably consistent with the 0.4</w:t>
      </w:r>
      <w:r w:rsidR="0052216C" w:rsidRPr="00455A3C">
        <w:rPr>
          <w:rFonts w:cstheme="minorHAnsi"/>
        </w:rPr>
        <w:t>1</w:t>
      </w:r>
      <w:r w:rsidRPr="00455A3C">
        <w:rPr>
          <w:rFonts w:cstheme="minorHAnsi"/>
        </w:rPr>
        <w:t xml:space="preserve"> versus 0.32 risks used here given that studies included in the meta-analysis were conducted in holoendemic or hyperendemic regions, so many of the individuals were likely exposed to malaria during pregnancy.</w:t>
      </w:r>
      <w:r w:rsidR="0052216C" w:rsidRPr="00455A3C">
        <w:rPr>
          <w:rFonts w:cstheme="minorHAnsi"/>
        </w:rPr>
        <w:t xml:space="preserve"> However, we note that there is high uncertainty associated with these estimates.</w:t>
      </w:r>
    </w:p>
    <w:p w14:paraId="54514B6A" w14:textId="77777777" w:rsidR="007239B9" w:rsidRPr="00455A3C" w:rsidRDefault="007239B9" w:rsidP="005354EA">
      <w:pPr>
        <w:pStyle w:val="Heading1"/>
        <w:spacing w:before="0" w:line="276" w:lineRule="auto"/>
        <w:contextualSpacing/>
        <w:rPr>
          <w:rFonts w:asciiTheme="minorHAnsi" w:hAnsiTheme="minorHAnsi" w:cstheme="minorHAnsi"/>
          <w:color w:val="auto"/>
          <w:sz w:val="22"/>
          <w:szCs w:val="22"/>
          <w:u w:val="single"/>
        </w:rPr>
      </w:pPr>
    </w:p>
    <w:p w14:paraId="042DE6A3" w14:textId="7D6C1432" w:rsidR="00734CE4" w:rsidRPr="00455A3C" w:rsidRDefault="00004214" w:rsidP="005354EA">
      <w:pPr>
        <w:pStyle w:val="Heading1"/>
        <w:spacing w:before="0" w:line="276" w:lineRule="auto"/>
        <w:contextualSpacing/>
        <w:rPr>
          <w:rFonts w:asciiTheme="minorHAnsi" w:hAnsiTheme="minorHAnsi" w:cstheme="minorHAnsi"/>
          <w:color w:val="auto"/>
          <w:sz w:val="22"/>
          <w:szCs w:val="22"/>
          <w:u w:val="single"/>
        </w:rPr>
      </w:pPr>
      <w:bookmarkStart w:id="25" w:name="_Toc77757596"/>
      <w:r w:rsidRPr="00455A3C">
        <w:rPr>
          <w:rFonts w:asciiTheme="minorHAnsi" w:hAnsiTheme="minorHAnsi" w:cstheme="minorHAnsi"/>
          <w:color w:val="auto"/>
          <w:sz w:val="22"/>
          <w:szCs w:val="22"/>
          <w:u w:val="single"/>
        </w:rPr>
        <w:t>Intervention s</w:t>
      </w:r>
      <w:r w:rsidR="00734CE4" w:rsidRPr="00455A3C">
        <w:rPr>
          <w:rFonts w:asciiTheme="minorHAnsi" w:hAnsiTheme="minorHAnsi" w:cstheme="minorHAnsi"/>
          <w:color w:val="auto"/>
          <w:sz w:val="22"/>
          <w:szCs w:val="22"/>
          <w:u w:val="single"/>
        </w:rPr>
        <w:t>cenarios</w:t>
      </w:r>
      <w:r w:rsidR="00A40374" w:rsidRPr="00455A3C">
        <w:rPr>
          <w:rFonts w:asciiTheme="minorHAnsi" w:hAnsiTheme="minorHAnsi" w:cstheme="minorHAnsi"/>
          <w:color w:val="auto"/>
          <w:sz w:val="22"/>
          <w:szCs w:val="22"/>
          <w:u w:val="single"/>
        </w:rPr>
        <w:t xml:space="preserve"> and predictions</w:t>
      </w:r>
      <w:bookmarkEnd w:id="25"/>
      <w:r w:rsidR="00A40374" w:rsidRPr="00455A3C">
        <w:rPr>
          <w:rFonts w:asciiTheme="minorHAnsi" w:hAnsiTheme="minorHAnsi" w:cstheme="minorHAnsi"/>
          <w:color w:val="auto"/>
          <w:sz w:val="22"/>
          <w:szCs w:val="22"/>
          <w:u w:val="single"/>
        </w:rPr>
        <w:t xml:space="preserve"> </w:t>
      </w:r>
      <w:r w:rsidR="00734CE4" w:rsidRPr="00455A3C">
        <w:rPr>
          <w:rFonts w:asciiTheme="minorHAnsi" w:hAnsiTheme="minorHAnsi" w:cstheme="minorHAnsi"/>
          <w:color w:val="auto"/>
          <w:sz w:val="22"/>
          <w:szCs w:val="22"/>
          <w:u w:val="single"/>
        </w:rPr>
        <w:t xml:space="preserve"> </w:t>
      </w:r>
    </w:p>
    <w:p w14:paraId="453440B7" w14:textId="3D826799" w:rsidR="00004214" w:rsidRPr="00455A3C" w:rsidRDefault="00004214" w:rsidP="005354EA">
      <w:pPr>
        <w:spacing w:after="0" w:line="276" w:lineRule="auto"/>
        <w:contextualSpacing/>
        <w:rPr>
          <w:rFonts w:cstheme="minorHAnsi"/>
        </w:rPr>
      </w:pPr>
      <w:r w:rsidRPr="00455A3C">
        <w:rPr>
          <w:rFonts w:cstheme="minorHAnsi"/>
        </w:rPr>
        <w:t>Visualization and tables of LGA-level inputs</w:t>
      </w:r>
      <w:r w:rsidR="00A40374" w:rsidRPr="00455A3C">
        <w:rPr>
          <w:rFonts w:cstheme="minorHAnsi"/>
        </w:rPr>
        <w:t xml:space="preserve"> and predictions at the state and national level</w:t>
      </w:r>
      <w:r w:rsidRPr="00455A3C">
        <w:rPr>
          <w:rFonts w:cstheme="minorHAnsi"/>
        </w:rPr>
        <w:t xml:space="preserve"> for </w:t>
      </w:r>
      <w:r w:rsidR="00A40374" w:rsidRPr="00455A3C">
        <w:rPr>
          <w:rFonts w:cstheme="minorHAnsi"/>
        </w:rPr>
        <w:t xml:space="preserve">individual </w:t>
      </w:r>
      <w:r w:rsidRPr="00455A3C">
        <w:rPr>
          <w:rFonts w:cstheme="minorHAnsi"/>
        </w:rPr>
        <w:t>intervention scenarios can be accessed through this shiny app</w:t>
      </w:r>
      <w:r w:rsidR="00F84C4B" w:rsidRPr="00455A3C">
        <w:rPr>
          <w:rFonts w:cstheme="minorHAnsi"/>
        </w:rPr>
        <w:t>.</w:t>
      </w:r>
      <w:r w:rsidRPr="00455A3C">
        <w:rPr>
          <w:rFonts w:cstheme="minorHAnsi"/>
        </w:rPr>
        <w:t xml:space="preserve">  </w:t>
      </w:r>
    </w:p>
    <w:p w14:paraId="4ECD3A70" w14:textId="182294F8" w:rsidR="006D7F3D" w:rsidRPr="00455A3C" w:rsidRDefault="006D7F3D" w:rsidP="005354EA">
      <w:pPr>
        <w:spacing w:line="276" w:lineRule="auto"/>
        <w:rPr>
          <w:rFonts w:cstheme="minorHAnsi"/>
        </w:rPr>
      </w:pPr>
    </w:p>
    <w:p w14:paraId="01B9BE32" w14:textId="1D3B8EDD" w:rsidR="0067492B" w:rsidRPr="00455A3C" w:rsidRDefault="0067492B" w:rsidP="00C0372B">
      <w:pPr>
        <w:pStyle w:val="Heading2"/>
        <w:rPr>
          <w:rFonts w:cstheme="minorHAnsi"/>
        </w:rPr>
      </w:pPr>
      <w:bookmarkStart w:id="26" w:name="_Toc77757597"/>
      <w:r w:rsidRPr="00C0372B">
        <w:rPr>
          <w:rFonts w:asciiTheme="minorHAnsi" w:hAnsiTheme="minorHAnsi" w:cstheme="minorHAnsi"/>
          <w:sz w:val="22"/>
          <w:szCs w:val="22"/>
        </w:rPr>
        <w:t xml:space="preserve">Case management </w:t>
      </w:r>
      <w:r w:rsidR="000A37A4">
        <w:rPr>
          <w:rFonts w:asciiTheme="minorHAnsi" w:hAnsiTheme="minorHAnsi" w:cstheme="minorHAnsi"/>
          <w:sz w:val="22"/>
          <w:szCs w:val="22"/>
        </w:rPr>
        <w:t xml:space="preserve">(CM) </w:t>
      </w:r>
      <w:r w:rsidRPr="00C0372B">
        <w:rPr>
          <w:rFonts w:asciiTheme="minorHAnsi" w:hAnsiTheme="minorHAnsi" w:cstheme="minorHAnsi"/>
          <w:sz w:val="22"/>
          <w:szCs w:val="22"/>
        </w:rPr>
        <w:t>coverage in intervention scenarios</w:t>
      </w:r>
      <w:bookmarkEnd w:id="26"/>
      <w:r w:rsidRPr="00C0372B">
        <w:rPr>
          <w:rFonts w:asciiTheme="minorHAnsi" w:hAnsiTheme="minorHAnsi" w:cstheme="minorHAnsi"/>
          <w:sz w:val="22"/>
          <w:szCs w:val="22"/>
        </w:rPr>
        <w:t xml:space="preserve"> </w:t>
      </w:r>
    </w:p>
    <w:p w14:paraId="299F131E" w14:textId="77777777" w:rsidR="009E0EBA" w:rsidRDefault="00EC4C3D" w:rsidP="005354EA">
      <w:pPr>
        <w:spacing w:line="276" w:lineRule="auto"/>
        <w:rPr>
          <w:rFonts w:cstheme="minorHAnsi"/>
        </w:rPr>
      </w:pPr>
      <w:r>
        <w:rPr>
          <w:rFonts w:cstheme="minorHAnsi"/>
        </w:rPr>
        <w:t xml:space="preserve">Increases in </w:t>
      </w:r>
      <w:r w:rsidR="000A37A4">
        <w:rPr>
          <w:rFonts w:cstheme="minorHAnsi"/>
        </w:rPr>
        <w:t>CM</w:t>
      </w:r>
      <w:r>
        <w:rPr>
          <w:rFonts w:cstheme="minorHAnsi"/>
        </w:rPr>
        <w:t xml:space="preserve"> coverages</w:t>
      </w:r>
      <w:r w:rsidR="00B7519A">
        <w:rPr>
          <w:rFonts w:cstheme="minorHAnsi"/>
        </w:rPr>
        <w:t xml:space="preserve"> per LGA</w:t>
      </w:r>
      <w:r>
        <w:rPr>
          <w:rFonts w:cstheme="minorHAnsi"/>
        </w:rPr>
        <w:t xml:space="preserve"> in Scenarios 2, 3 and 4 using </w:t>
      </w:r>
      <w:r w:rsidR="00B972A5">
        <w:rPr>
          <w:rFonts w:cstheme="minorHAnsi"/>
        </w:rPr>
        <w:t xml:space="preserve">a </w:t>
      </w:r>
      <w:r>
        <w:rPr>
          <w:rFonts w:cstheme="minorHAnsi"/>
        </w:rPr>
        <w:t xml:space="preserve">beta regression model </w:t>
      </w:r>
      <w:r w:rsidR="00676885" w:rsidRPr="00455A3C">
        <w:rPr>
          <w:rFonts w:cstheme="minorHAnsi"/>
        </w:rPr>
        <w:t xml:space="preserve">fitted to archetype-level 2013, 2015, and 2018 DHS/MIS data. </w:t>
      </w:r>
      <w:r>
        <w:rPr>
          <w:rFonts w:cstheme="minorHAnsi"/>
        </w:rPr>
        <w:t xml:space="preserve">Predicted average yearly change </w:t>
      </w:r>
      <w:r w:rsidR="000A37A4">
        <w:rPr>
          <w:rFonts w:cstheme="minorHAnsi"/>
        </w:rPr>
        <w:t>in coverages</w:t>
      </w:r>
      <w:r>
        <w:rPr>
          <w:rFonts w:cstheme="minorHAnsi"/>
        </w:rPr>
        <w:t xml:space="preserve"> from 2013 to 2018 were computed by archetype. In Soba archetype where the average yearly change </w:t>
      </w:r>
      <w:r w:rsidR="000A37A4">
        <w:rPr>
          <w:rFonts w:cstheme="minorHAnsi"/>
        </w:rPr>
        <w:t xml:space="preserve">in CM </w:t>
      </w:r>
      <w:r>
        <w:rPr>
          <w:rFonts w:cstheme="minorHAnsi"/>
        </w:rPr>
        <w:t xml:space="preserve">was negative, the value from </w:t>
      </w:r>
      <w:r w:rsidR="000A37A4">
        <w:rPr>
          <w:rFonts w:cstheme="minorHAnsi"/>
        </w:rPr>
        <w:t xml:space="preserve">the Isoko archetype, which had the smallest positive average yearly change was substituted. </w:t>
      </w:r>
      <w:r w:rsidR="00B7519A">
        <w:rPr>
          <w:rFonts w:cstheme="minorHAnsi"/>
        </w:rPr>
        <w:t xml:space="preserve">CM coverage values for each LGA were additively scaled using their archetype values according to the scenario coverage trajectory and ceiling. </w:t>
      </w:r>
    </w:p>
    <w:p w14:paraId="21B7EF36" w14:textId="2279462E" w:rsidR="0067492B" w:rsidRPr="00455A3C" w:rsidRDefault="00B7519A" w:rsidP="005354EA">
      <w:pPr>
        <w:spacing w:line="276" w:lineRule="auto"/>
        <w:rPr>
          <w:rFonts w:cstheme="minorHAnsi"/>
        </w:rPr>
      </w:pPr>
      <w:r>
        <w:rPr>
          <w:rFonts w:cstheme="minorHAnsi"/>
        </w:rPr>
        <w:t>For Scenario 2,</w:t>
      </w:r>
      <w:r w:rsidR="009E0EBA">
        <w:rPr>
          <w:rFonts w:cstheme="minorHAnsi"/>
        </w:rPr>
        <w:t xml:space="preserve"> which had </w:t>
      </w:r>
      <w:r w:rsidR="00B972A5">
        <w:rPr>
          <w:rFonts w:cstheme="minorHAnsi"/>
        </w:rPr>
        <w:t>an 80% target,</w:t>
      </w:r>
      <w:r>
        <w:rPr>
          <w:rFonts w:cstheme="minorHAnsi"/>
        </w:rPr>
        <w:t xml:space="preserve"> a minimum yearly increas</w:t>
      </w:r>
      <w:r w:rsidR="00B972A5">
        <w:rPr>
          <w:rFonts w:cstheme="minorHAnsi"/>
        </w:rPr>
        <w:t xml:space="preserve">e value needed to reach the </w:t>
      </w:r>
      <w:r>
        <w:rPr>
          <w:rFonts w:cstheme="minorHAnsi"/>
        </w:rPr>
        <w:t xml:space="preserve">target by 2030 was computed </w:t>
      </w:r>
      <w:r w:rsidR="00B972A5">
        <w:rPr>
          <w:rFonts w:cstheme="minorHAnsi"/>
        </w:rPr>
        <w:t xml:space="preserve">per LGA </w:t>
      </w:r>
      <w:r>
        <w:rPr>
          <w:rFonts w:cstheme="minorHAnsi"/>
        </w:rPr>
        <w:t xml:space="preserve">accounting for the </w:t>
      </w:r>
      <w:r w:rsidR="00B972A5">
        <w:rPr>
          <w:rFonts w:cstheme="minorHAnsi"/>
        </w:rPr>
        <w:t>coverage starting values and the average yearly increase values from the beta model. For Scenario 3 and 4</w:t>
      </w:r>
      <w:r w:rsidR="009E0EBA">
        <w:rPr>
          <w:rFonts w:cstheme="minorHAnsi"/>
        </w:rPr>
        <w:t xml:space="preserve"> where coverages were expected to increase at the same rate as historical values, the beta model mean yearly increase values and their multiples was directly added to the starting CM coverages by LGA. </w:t>
      </w:r>
      <w:r w:rsidR="00B972A5">
        <w:rPr>
          <w:rFonts w:cstheme="minorHAnsi"/>
        </w:rPr>
        <w:t xml:space="preserve"> </w:t>
      </w:r>
      <w:r w:rsidR="00676885" w:rsidRPr="00455A3C">
        <w:rPr>
          <w:rFonts w:cstheme="minorHAnsi"/>
        </w:rPr>
        <w:t>Figu</w:t>
      </w:r>
      <w:r w:rsidR="000A37A4">
        <w:rPr>
          <w:rFonts w:cstheme="minorHAnsi"/>
        </w:rPr>
        <w:t>re S11 shows the beta regression model fit to individual archetype data</w:t>
      </w:r>
      <w:r w:rsidR="00676885" w:rsidRPr="00455A3C">
        <w:rPr>
          <w:rFonts w:cstheme="minorHAnsi"/>
        </w:rPr>
        <w:t>.</w:t>
      </w:r>
    </w:p>
    <w:p w14:paraId="3484F0A6" w14:textId="39D60036" w:rsidR="00AF6BDA" w:rsidRPr="00455A3C" w:rsidRDefault="00842B21" w:rsidP="005354EA">
      <w:pPr>
        <w:spacing w:line="276" w:lineRule="auto"/>
        <w:rPr>
          <w:rFonts w:cstheme="minorHAnsi"/>
        </w:rPr>
      </w:pPr>
      <w:r>
        <w:rPr>
          <w:rFonts w:cstheme="minorHAnsi"/>
          <w:noProof/>
        </w:rPr>
        <w:lastRenderedPageBreak/>
        <w:drawing>
          <wp:inline distT="0" distB="0" distL="0" distR="0" wp14:anchorId="61D2E23E" wp14:editId="157E0233">
            <wp:extent cx="5943600" cy="57543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_S11_CM_coverage_model_equations.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5754370"/>
                    </a:xfrm>
                    <a:prstGeom prst="rect">
                      <a:avLst/>
                    </a:prstGeom>
                  </pic:spPr>
                </pic:pic>
              </a:graphicData>
            </a:graphic>
          </wp:inline>
        </w:drawing>
      </w:r>
    </w:p>
    <w:p w14:paraId="765A6E28" w14:textId="5B351671" w:rsidR="00A60270" w:rsidRPr="00627ECF" w:rsidRDefault="00A60270" w:rsidP="00A60270">
      <w:pPr>
        <w:spacing w:line="276" w:lineRule="auto"/>
        <w:rPr>
          <w:rFonts w:ascii="Times New Roman" w:hAnsi="Times New Roman" w:cs="Times New Roman"/>
          <w:sz w:val="18"/>
          <w:szCs w:val="18"/>
        </w:rPr>
      </w:pPr>
      <w:r w:rsidRPr="00627ECF">
        <w:rPr>
          <w:rFonts w:ascii="Times New Roman" w:hAnsi="Times New Roman" w:cs="Times New Roman"/>
          <w:sz w:val="18"/>
          <w:szCs w:val="18"/>
        </w:rPr>
        <w:t>Figure S1</w:t>
      </w:r>
      <w:r w:rsidR="001D0296" w:rsidRPr="00627ECF">
        <w:rPr>
          <w:rFonts w:ascii="Times New Roman" w:hAnsi="Times New Roman" w:cs="Times New Roman"/>
          <w:sz w:val="18"/>
          <w:szCs w:val="18"/>
        </w:rPr>
        <w:t>1</w:t>
      </w:r>
      <w:r w:rsidRPr="00627ECF">
        <w:rPr>
          <w:rFonts w:ascii="Times New Roman" w:hAnsi="Times New Roman" w:cs="Times New Roman"/>
          <w:sz w:val="18"/>
          <w:szCs w:val="18"/>
        </w:rPr>
        <w:t xml:space="preserve"> Archetype level </w:t>
      </w:r>
      <w:r w:rsidR="00A54305" w:rsidRPr="00627ECF">
        <w:rPr>
          <w:rFonts w:ascii="Times New Roman" w:hAnsi="Times New Roman" w:cs="Times New Roman"/>
          <w:sz w:val="18"/>
          <w:szCs w:val="18"/>
        </w:rPr>
        <w:t>scatterplot highlighting</w:t>
      </w:r>
      <w:r w:rsidRPr="00627ECF">
        <w:rPr>
          <w:rFonts w:ascii="Times New Roman" w:hAnsi="Times New Roman" w:cs="Times New Roman"/>
          <w:sz w:val="18"/>
          <w:szCs w:val="18"/>
        </w:rPr>
        <w:t xml:space="preserve"> </w:t>
      </w:r>
      <w:r w:rsidR="00A54305">
        <w:rPr>
          <w:rFonts w:ascii="Times New Roman" w:hAnsi="Times New Roman" w:cs="Times New Roman"/>
          <w:sz w:val="18"/>
          <w:szCs w:val="18"/>
        </w:rPr>
        <w:t>beta-</w:t>
      </w:r>
      <w:r w:rsidR="009E0EBA">
        <w:rPr>
          <w:rFonts w:ascii="Times New Roman" w:hAnsi="Times New Roman" w:cs="Times New Roman"/>
          <w:sz w:val="18"/>
          <w:szCs w:val="18"/>
        </w:rPr>
        <w:t xml:space="preserve">regression </w:t>
      </w:r>
      <w:r w:rsidR="00B7519A">
        <w:rPr>
          <w:rFonts w:ascii="Times New Roman" w:hAnsi="Times New Roman" w:cs="Times New Roman"/>
          <w:sz w:val="18"/>
          <w:szCs w:val="18"/>
        </w:rPr>
        <w:t xml:space="preserve">model equations used to compute predicted </w:t>
      </w:r>
      <w:r w:rsidR="009E0EBA">
        <w:rPr>
          <w:rFonts w:ascii="Times New Roman" w:hAnsi="Times New Roman" w:cs="Times New Roman"/>
          <w:sz w:val="18"/>
          <w:szCs w:val="18"/>
        </w:rPr>
        <w:t>average yearly change CM coverages per</w:t>
      </w:r>
      <w:r w:rsidR="001D0296" w:rsidRPr="00627ECF">
        <w:rPr>
          <w:rFonts w:ascii="Times New Roman" w:hAnsi="Times New Roman" w:cs="Times New Roman"/>
          <w:sz w:val="18"/>
          <w:szCs w:val="18"/>
        </w:rPr>
        <w:t xml:space="preserve"> archetype. Annual case management is the proportion of children with fever in the two weeks period prior to the survey that received an ACT. </w:t>
      </w:r>
    </w:p>
    <w:p w14:paraId="4F782542" w14:textId="7DAB4AEA" w:rsidR="00651C5C" w:rsidRPr="00455A3C" w:rsidRDefault="00651C5C" w:rsidP="005354EA">
      <w:pPr>
        <w:spacing w:line="276" w:lineRule="auto"/>
        <w:rPr>
          <w:rFonts w:cstheme="minorHAnsi"/>
        </w:rPr>
      </w:pPr>
    </w:p>
    <w:p w14:paraId="584BF079" w14:textId="7612AC46" w:rsidR="006D7F3D" w:rsidRPr="00455A3C" w:rsidRDefault="006D7F3D" w:rsidP="005354EA">
      <w:pPr>
        <w:pStyle w:val="Heading1"/>
        <w:spacing w:line="276" w:lineRule="auto"/>
        <w:rPr>
          <w:rFonts w:asciiTheme="minorHAnsi" w:hAnsiTheme="minorHAnsi" w:cstheme="minorHAnsi"/>
          <w:color w:val="000000" w:themeColor="text1"/>
          <w:sz w:val="22"/>
          <w:szCs w:val="22"/>
          <w:u w:val="single"/>
        </w:rPr>
      </w:pPr>
      <w:bookmarkStart w:id="27" w:name="_Toc77757598"/>
      <w:r w:rsidRPr="00455A3C">
        <w:rPr>
          <w:rFonts w:asciiTheme="minorHAnsi" w:hAnsiTheme="minorHAnsi" w:cstheme="minorHAnsi"/>
          <w:color w:val="000000" w:themeColor="text1"/>
          <w:sz w:val="22"/>
          <w:szCs w:val="22"/>
          <w:u w:val="single"/>
        </w:rPr>
        <w:t>Validation</w:t>
      </w:r>
      <w:bookmarkEnd w:id="27"/>
      <w:r w:rsidRPr="00455A3C">
        <w:rPr>
          <w:rFonts w:asciiTheme="minorHAnsi" w:hAnsiTheme="minorHAnsi" w:cstheme="minorHAnsi"/>
          <w:color w:val="000000" w:themeColor="text1"/>
          <w:sz w:val="22"/>
          <w:szCs w:val="22"/>
          <w:u w:val="single"/>
        </w:rPr>
        <w:t xml:space="preserve"> </w:t>
      </w:r>
    </w:p>
    <w:p w14:paraId="1D1CD793" w14:textId="77777777" w:rsidR="00E51F12" w:rsidRPr="00455A3C" w:rsidRDefault="00E51F12" w:rsidP="005354EA">
      <w:pPr>
        <w:spacing w:after="0" w:line="276" w:lineRule="auto"/>
        <w:contextualSpacing/>
        <w:rPr>
          <w:rFonts w:cstheme="minorHAnsi"/>
        </w:rPr>
      </w:pPr>
    </w:p>
    <w:p w14:paraId="45608816" w14:textId="325FBAE0" w:rsidR="00E51F12" w:rsidRPr="00455A3C" w:rsidRDefault="00E51F12" w:rsidP="005354EA">
      <w:pPr>
        <w:spacing w:after="0" w:line="276" w:lineRule="auto"/>
        <w:contextualSpacing/>
        <w:rPr>
          <w:rFonts w:cstheme="minorHAnsi"/>
          <w:iCs/>
        </w:rPr>
      </w:pPr>
      <w:r w:rsidRPr="00455A3C">
        <w:rPr>
          <w:rFonts w:cstheme="minorHAnsi"/>
        </w:rPr>
        <w:t>Simulated incidence (treated uncomplicated cases and treated cases) was validated by comparison with state-level health facility data from 2014 – 2018</w:t>
      </w:r>
      <w:r w:rsidR="00ED5FE7" w:rsidRPr="00455A3C">
        <w:rPr>
          <w:rFonts w:cstheme="minorHAnsi"/>
        </w:rPr>
        <w:t xml:space="preserve"> via the Rapid Impact Assessment project</w:t>
      </w:r>
      <w:r w:rsidRPr="00455A3C">
        <w:rPr>
          <w:rFonts w:cstheme="minorHAnsi"/>
        </w:rPr>
        <w:t xml:space="preserve">. Comparisons were made using a cross-correlation function (CCF). The CCF at the time lag zero is a measure of the contemporaneous correlation or the linear relationship between the two timeseries. Since the health facility data was constructed from a subset of </w:t>
      </w:r>
      <w:r w:rsidR="00B65929">
        <w:rPr>
          <w:rFonts w:cstheme="minorHAnsi"/>
        </w:rPr>
        <w:t xml:space="preserve">public </w:t>
      </w:r>
      <w:r w:rsidRPr="00455A3C">
        <w:rPr>
          <w:rFonts w:cstheme="minorHAnsi"/>
        </w:rPr>
        <w:t xml:space="preserve">facilities in Nigeria, incidence values computed for </w:t>
      </w:r>
      <w:r w:rsidRPr="00455A3C">
        <w:rPr>
          <w:rFonts w:cstheme="minorHAnsi"/>
        </w:rPr>
        <w:lastRenderedPageBreak/>
        <w:t xml:space="preserve">years 2014 to 2018 was lower than simulated values by at least three orders of magnitude and had to be rescaled to enable visual comparison of trends. Visual comparisons and the CCF estimates at different time lags are presented in Figures </w:t>
      </w:r>
      <w:r w:rsidR="00BF239D" w:rsidRPr="00455A3C">
        <w:rPr>
          <w:rFonts w:cstheme="minorHAnsi"/>
        </w:rPr>
        <w:t>S</w:t>
      </w:r>
      <w:r w:rsidRPr="00455A3C">
        <w:rPr>
          <w:rFonts w:cstheme="minorHAnsi"/>
        </w:rPr>
        <w:t>1</w:t>
      </w:r>
      <w:r w:rsidR="00676885" w:rsidRPr="00455A3C">
        <w:rPr>
          <w:rFonts w:cstheme="minorHAnsi"/>
        </w:rPr>
        <w:t>2</w:t>
      </w:r>
      <w:r w:rsidRPr="00455A3C">
        <w:rPr>
          <w:rFonts w:cstheme="minorHAnsi"/>
        </w:rPr>
        <w:t xml:space="preserve"> – </w:t>
      </w:r>
      <w:r w:rsidR="00BF239D" w:rsidRPr="00455A3C">
        <w:rPr>
          <w:rFonts w:cstheme="minorHAnsi"/>
        </w:rPr>
        <w:t>S</w:t>
      </w:r>
      <w:r w:rsidRPr="00455A3C">
        <w:rPr>
          <w:rFonts w:cstheme="minorHAnsi"/>
        </w:rPr>
        <w:t>2</w:t>
      </w:r>
      <w:r w:rsidR="00A60270" w:rsidRPr="00455A3C">
        <w:rPr>
          <w:rFonts w:cstheme="minorHAnsi"/>
        </w:rPr>
        <w:t>1</w:t>
      </w:r>
      <w:r w:rsidRPr="00455A3C">
        <w:rPr>
          <w:rFonts w:cstheme="minorHAnsi"/>
        </w:rPr>
        <w:t>.</w:t>
      </w:r>
      <w:r w:rsidR="00F50498">
        <w:rPr>
          <w:rFonts w:cstheme="minorHAnsi"/>
        </w:rPr>
        <w:t xml:space="preserve"> </w:t>
      </w:r>
    </w:p>
    <w:p w14:paraId="18AB5220" w14:textId="13A5CADC" w:rsidR="00004214" w:rsidRPr="00455A3C" w:rsidRDefault="00496375" w:rsidP="005354EA">
      <w:pPr>
        <w:spacing w:line="276" w:lineRule="auto"/>
        <w:rPr>
          <w:rFonts w:cstheme="minorHAnsi"/>
        </w:rPr>
      </w:pPr>
      <w:r w:rsidRPr="00455A3C">
        <w:rPr>
          <w:rFonts w:cstheme="minorHAnsi"/>
        </w:rPr>
        <w:br w:type="page"/>
      </w:r>
    </w:p>
    <w:p w14:paraId="2ABD99F3" w14:textId="39A9D321" w:rsidR="00496375" w:rsidRPr="00455A3C" w:rsidRDefault="00E2305E" w:rsidP="005354EA">
      <w:pPr>
        <w:pStyle w:val="Heading2"/>
        <w:spacing w:line="276" w:lineRule="auto"/>
        <w:rPr>
          <w:rFonts w:asciiTheme="minorHAnsi" w:hAnsiTheme="minorHAnsi" w:cstheme="minorHAnsi"/>
          <w:sz w:val="22"/>
          <w:szCs w:val="22"/>
        </w:rPr>
      </w:pPr>
      <w:bookmarkStart w:id="28" w:name="_Toc77757599"/>
      <w:r w:rsidRPr="00455A3C">
        <w:rPr>
          <w:rFonts w:asciiTheme="minorHAnsi" w:hAnsiTheme="minorHAnsi" w:cstheme="minorHAnsi"/>
          <w:sz w:val="22"/>
          <w:szCs w:val="22"/>
        </w:rPr>
        <w:lastRenderedPageBreak/>
        <w:t>Incidence comparison</w:t>
      </w:r>
      <w:r w:rsidR="006D7EB6" w:rsidRPr="00455A3C">
        <w:rPr>
          <w:rFonts w:asciiTheme="minorHAnsi" w:hAnsiTheme="minorHAnsi" w:cstheme="minorHAnsi"/>
          <w:sz w:val="22"/>
          <w:szCs w:val="22"/>
        </w:rPr>
        <w:t xml:space="preserve"> plots </w:t>
      </w:r>
      <w:r w:rsidRPr="00455A3C">
        <w:rPr>
          <w:rFonts w:asciiTheme="minorHAnsi" w:hAnsiTheme="minorHAnsi" w:cstheme="minorHAnsi"/>
          <w:sz w:val="22"/>
          <w:szCs w:val="22"/>
        </w:rPr>
        <w:t xml:space="preserve">and cross-correlation plots </w:t>
      </w:r>
      <w:r w:rsidR="006D7EB6" w:rsidRPr="00455A3C">
        <w:rPr>
          <w:rFonts w:asciiTheme="minorHAnsi" w:hAnsiTheme="minorHAnsi" w:cstheme="minorHAnsi"/>
          <w:sz w:val="22"/>
          <w:szCs w:val="22"/>
        </w:rPr>
        <w:t>by state</w:t>
      </w:r>
      <w:bookmarkEnd w:id="28"/>
      <w:r w:rsidR="006D7EB6" w:rsidRPr="00455A3C">
        <w:rPr>
          <w:rFonts w:asciiTheme="minorHAnsi" w:hAnsiTheme="minorHAnsi" w:cstheme="minorHAnsi"/>
          <w:sz w:val="22"/>
          <w:szCs w:val="22"/>
        </w:rPr>
        <w:t xml:space="preserve"> </w:t>
      </w:r>
    </w:p>
    <w:p w14:paraId="43155B26" w14:textId="7251792C" w:rsidR="000F6829" w:rsidRPr="00455A3C" w:rsidRDefault="00767605" w:rsidP="005354EA">
      <w:pPr>
        <w:spacing w:line="276" w:lineRule="auto"/>
        <w:rPr>
          <w:rFonts w:cstheme="minorHAnsi"/>
        </w:rPr>
      </w:pPr>
      <w:r>
        <w:rPr>
          <w:rFonts w:cstheme="minorHAnsi"/>
          <w:noProof/>
        </w:rPr>
        <w:drawing>
          <wp:inline distT="0" distB="0" distL="0" distR="0" wp14:anchorId="3AA27729" wp14:editId="0D57EB52">
            <wp:extent cx="5943600" cy="6934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12_incidence_comparison_2014.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6934200"/>
                    </a:xfrm>
                    <a:prstGeom prst="rect">
                      <a:avLst/>
                    </a:prstGeom>
                  </pic:spPr>
                </pic:pic>
              </a:graphicData>
            </a:graphic>
          </wp:inline>
        </w:drawing>
      </w:r>
    </w:p>
    <w:p w14:paraId="469B25D1" w14:textId="7E5050F0" w:rsidR="00E2305E" w:rsidRPr="002A47DC" w:rsidRDefault="00E2305E" w:rsidP="005354EA">
      <w:pPr>
        <w:spacing w:line="276" w:lineRule="auto"/>
        <w:rPr>
          <w:rFonts w:ascii="Calibri" w:hAnsi="Calibri" w:cs="Calibri"/>
        </w:rPr>
      </w:pPr>
      <w:r w:rsidRPr="002A47DC">
        <w:rPr>
          <w:rFonts w:ascii="Calibri" w:hAnsi="Calibri" w:cs="Calibri"/>
        </w:rPr>
        <w:t xml:space="preserve">Figure </w:t>
      </w:r>
      <w:r w:rsidR="00BF239D" w:rsidRPr="002A47DC">
        <w:rPr>
          <w:rFonts w:ascii="Calibri" w:hAnsi="Calibri" w:cs="Calibri"/>
        </w:rPr>
        <w:t>S</w:t>
      </w:r>
      <w:r w:rsidRPr="002A47DC">
        <w:rPr>
          <w:rFonts w:ascii="Calibri" w:hAnsi="Calibri" w:cs="Calibri"/>
        </w:rPr>
        <w:t>1</w:t>
      </w:r>
      <w:r w:rsidR="00A60270" w:rsidRPr="002A47DC">
        <w:rPr>
          <w:rFonts w:ascii="Calibri" w:hAnsi="Calibri" w:cs="Calibri"/>
        </w:rPr>
        <w:t>2</w:t>
      </w:r>
      <w:r w:rsidRPr="002A47DC">
        <w:rPr>
          <w:rFonts w:ascii="Calibri" w:hAnsi="Calibri" w:cs="Calibri"/>
        </w:rPr>
        <w:t>:</w:t>
      </w:r>
      <w:r w:rsidR="001123DF" w:rsidRPr="002A47DC">
        <w:rPr>
          <w:rFonts w:ascii="Calibri" w:hAnsi="Calibri" w:cs="Calibri"/>
        </w:rPr>
        <w:t xml:space="preserve"> </w:t>
      </w:r>
      <w:r w:rsidR="00397750" w:rsidRPr="002A47DC">
        <w:rPr>
          <w:rFonts w:ascii="Calibri" w:hAnsi="Calibri" w:cs="Calibri"/>
        </w:rPr>
        <w:t>M</w:t>
      </w:r>
      <w:r w:rsidR="001123DF" w:rsidRPr="002A47DC">
        <w:rPr>
          <w:rFonts w:ascii="Calibri" w:hAnsi="Calibri" w:cs="Calibri"/>
        </w:rPr>
        <w:t>alaria seasonality in routine health facility data and simulation for 37 Nigerian states</w:t>
      </w:r>
      <w:r w:rsidR="00397750" w:rsidRPr="002A47DC">
        <w:rPr>
          <w:rFonts w:ascii="Calibri" w:hAnsi="Calibri" w:cs="Calibri"/>
        </w:rPr>
        <w:t xml:space="preserve"> in 2014</w:t>
      </w:r>
      <w:r w:rsidR="001123DF" w:rsidRPr="002A47DC">
        <w:rPr>
          <w:rFonts w:ascii="Calibri" w:hAnsi="Calibri" w:cs="Calibri"/>
        </w:rPr>
        <w:t>. Incidence values in the health facility data were scaled by the median relative difference between the simulation and RIA data by state.</w:t>
      </w:r>
      <w:r w:rsidR="00767605" w:rsidRPr="002A47DC">
        <w:rPr>
          <w:rFonts w:ascii="Calibri" w:hAnsi="Calibri" w:cs="Calibri"/>
        </w:rPr>
        <w:t xml:space="preserve"> Vertical purple horizontal lines are 95% confidence intervals for the RIA data. Vertical blue lines are the ranges of the simulations from 5 seed runs. </w:t>
      </w:r>
    </w:p>
    <w:p w14:paraId="7140C398" w14:textId="0DF0FB1F" w:rsidR="00A34A30" w:rsidRPr="00455A3C" w:rsidRDefault="00455E51" w:rsidP="005354EA">
      <w:pPr>
        <w:spacing w:line="276" w:lineRule="auto"/>
        <w:rPr>
          <w:rFonts w:cstheme="minorHAnsi"/>
        </w:rPr>
      </w:pPr>
      <w:r w:rsidRPr="00C0372B">
        <w:rPr>
          <w:rFonts w:cstheme="minorHAnsi"/>
          <w:noProof/>
        </w:rPr>
        <w:lastRenderedPageBreak/>
        <w:drawing>
          <wp:inline distT="0" distB="0" distL="0" distR="0" wp14:anchorId="3B6EAC30" wp14:editId="7417BB09">
            <wp:extent cx="5943600" cy="75272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12_incidence_ccf_2014.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7527290"/>
                    </a:xfrm>
                    <a:prstGeom prst="rect">
                      <a:avLst/>
                    </a:prstGeom>
                  </pic:spPr>
                </pic:pic>
              </a:graphicData>
            </a:graphic>
          </wp:inline>
        </w:drawing>
      </w:r>
    </w:p>
    <w:p w14:paraId="4B3F443E" w14:textId="36ABD360" w:rsidR="00496375" w:rsidRPr="00455A3C" w:rsidRDefault="00496375" w:rsidP="005354EA">
      <w:pPr>
        <w:spacing w:line="276" w:lineRule="auto"/>
        <w:rPr>
          <w:rFonts w:cstheme="minorHAnsi"/>
        </w:rPr>
      </w:pPr>
      <w:r w:rsidRPr="00455A3C">
        <w:rPr>
          <w:rFonts w:cstheme="minorHAnsi"/>
        </w:rPr>
        <w:t xml:space="preserve">Figure </w:t>
      </w:r>
      <w:r w:rsidR="00BF239D" w:rsidRPr="00455A3C">
        <w:rPr>
          <w:rFonts w:cstheme="minorHAnsi"/>
        </w:rPr>
        <w:t>S</w:t>
      </w:r>
      <w:r w:rsidRPr="00455A3C">
        <w:rPr>
          <w:rFonts w:cstheme="minorHAnsi"/>
        </w:rPr>
        <w:t>1</w:t>
      </w:r>
      <w:r w:rsidR="00A60270" w:rsidRPr="00455A3C">
        <w:rPr>
          <w:rFonts w:cstheme="minorHAnsi"/>
        </w:rPr>
        <w:t>3</w:t>
      </w:r>
      <w:r w:rsidRPr="00455A3C">
        <w:rPr>
          <w:rFonts w:cstheme="minorHAnsi"/>
        </w:rPr>
        <w:t>:</w:t>
      </w:r>
      <w:r w:rsidR="00CE5A55" w:rsidRPr="00455A3C">
        <w:rPr>
          <w:rFonts w:cstheme="minorHAnsi"/>
          <w:iCs/>
        </w:rPr>
        <w:t xml:space="preserve"> Comparison of DHIS2 and simulation seasonality trends in 2014 with a cross-correlation function (CCF). CCF at the time lag zero is a measure of the contemporaneous correlation or the linear relationship between the two time series.</w:t>
      </w:r>
    </w:p>
    <w:p w14:paraId="182F55FD" w14:textId="2AB567D7" w:rsidR="00496375" w:rsidRPr="00455A3C" w:rsidRDefault="00496375" w:rsidP="005354EA">
      <w:pPr>
        <w:spacing w:line="276" w:lineRule="auto"/>
        <w:rPr>
          <w:rFonts w:cstheme="minorHAnsi"/>
        </w:rPr>
      </w:pPr>
    </w:p>
    <w:p w14:paraId="6B94A5BB" w14:textId="326AF4CD" w:rsidR="00496375" w:rsidRPr="00455A3C" w:rsidRDefault="00FB48E6" w:rsidP="005354EA">
      <w:pPr>
        <w:spacing w:line="276" w:lineRule="auto"/>
        <w:rPr>
          <w:rFonts w:cstheme="minorHAnsi"/>
        </w:rPr>
      </w:pPr>
      <w:r>
        <w:rPr>
          <w:rFonts w:cstheme="minorHAnsi"/>
          <w:noProof/>
        </w:rPr>
        <w:drawing>
          <wp:inline distT="0" distB="0" distL="0" distR="0" wp14:anchorId="4C3E3902" wp14:editId="71E40C55">
            <wp:extent cx="5943600" cy="672973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e 14_incidence_comparison_2014.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6729730"/>
                    </a:xfrm>
                    <a:prstGeom prst="rect">
                      <a:avLst/>
                    </a:prstGeom>
                  </pic:spPr>
                </pic:pic>
              </a:graphicData>
            </a:graphic>
          </wp:inline>
        </w:drawing>
      </w:r>
    </w:p>
    <w:p w14:paraId="38F0A4DA" w14:textId="77777777" w:rsidR="00FB48E6" w:rsidRPr="002A47DC" w:rsidRDefault="002641E6" w:rsidP="00FB48E6">
      <w:pPr>
        <w:spacing w:line="276" w:lineRule="auto"/>
        <w:rPr>
          <w:rFonts w:ascii="Calibri" w:hAnsi="Calibri" w:cs="Calibri"/>
        </w:rPr>
      </w:pPr>
      <w:r w:rsidRPr="00455A3C">
        <w:rPr>
          <w:rFonts w:cstheme="minorHAnsi"/>
        </w:rPr>
        <w:t xml:space="preserve">Figure </w:t>
      </w:r>
      <w:r w:rsidR="00BF239D" w:rsidRPr="00455A3C">
        <w:rPr>
          <w:rFonts w:cstheme="minorHAnsi"/>
        </w:rPr>
        <w:t>S</w:t>
      </w:r>
      <w:r w:rsidRPr="00455A3C">
        <w:rPr>
          <w:rFonts w:cstheme="minorHAnsi"/>
        </w:rPr>
        <w:t>1</w:t>
      </w:r>
      <w:r w:rsidR="00A60270" w:rsidRPr="00455A3C">
        <w:rPr>
          <w:rFonts w:cstheme="minorHAnsi"/>
        </w:rPr>
        <w:t>4</w:t>
      </w:r>
      <w:r w:rsidRPr="00455A3C">
        <w:rPr>
          <w:rFonts w:cstheme="minorHAnsi"/>
        </w:rPr>
        <w:t xml:space="preserve">: </w:t>
      </w:r>
      <w:r w:rsidR="00397750" w:rsidRPr="00455A3C">
        <w:rPr>
          <w:rFonts w:cstheme="minorHAnsi"/>
        </w:rPr>
        <w:t>M</w:t>
      </w:r>
      <w:r w:rsidRPr="00455A3C">
        <w:rPr>
          <w:rFonts w:cstheme="minorHAnsi"/>
        </w:rPr>
        <w:t>alaria seasonality in routine health facility data and simulation for 37 Nigerian states</w:t>
      </w:r>
      <w:r w:rsidR="00E959B3" w:rsidRPr="00455A3C">
        <w:rPr>
          <w:rFonts w:cstheme="minorHAnsi"/>
        </w:rPr>
        <w:t xml:space="preserve"> in 2015</w:t>
      </w:r>
      <w:r w:rsidRPr="00455A3C">
        <w:rPr>
          <w:rFonts w:cstheme="minorHAnsi"/>
        </w:rPr>
        <w:t>. Incidence values in the health facility data were scaled by the median relative difference between the simulation and RIA data by state.</w:t>
      </w:r>
      <w:r w:rsidR="00FB48E6">
        <w:rPr>
          <w:rFonts w:cstheme="minorHAnsi"/>
        </w:rPr>
        <w:t xml:space="preserve"> </w:t>
      </w:r>
      <w:r w:rsidR="00FB48E6" w:rsidRPr="002A47DC">
        <w:rPr>
          <w:rFonts w:ascii="Calibri" w:hAnsi="Calibri" w:cs="Calibri"/>
        </w:rPr>
        <w:t xml:space="preserve">Vertical purple horizontal lines are 95% confidence intervals for the RIA data. Vertical blue lines are the ranges of the simulations from 5 seed runs. </w:t>
      </w:r>
    </w:p>
    <w:p w14:paraId="34508FA9" w14:textId="6FB52440" w:rsidR="002641E6" w:rsidRPr="00455A3C" w:rsidRDefault="002641E6" w:rsidP="005354EA">
      <w:pPr>
        <w:spacing w:line="276" w:lineRule="auto"/>
        <w:rPr>
          <w:rFonts w:cstheme="minorHAnsi"/>
        </w:rPr>
      </w:pPr>
    </w:p>
    <w:p w14:paraId="4F562717" w14:textId="4641814F" w:rsidR="009B173E" w:rsidRPr="00455A3C" w:rsidRDefault="0026252B" w:rsidP="005354EA">
      <w:pPr>
        <w:spacing w:line="276" w:lineRule="auto"/>
        <w:rPr>
          <w:rFonts w:cstheme="minorHAnsi"/>
        </w:rPr>
      </w:pPr>
      <w:r w:rsidRPr="00C0372B">
        <w:rPr>
          <w:rFonts w:cstheme="minorHAnsi"/>
          <w:noProof/>
        </w:rPr>
        <w:lastRenderedPageBreak/>
        <w:drawing>
          <wp:inline distT="0" distB="0" distL="0" distR="0" wp14:anchorId="4ABB0553" wp14:editId="4B91FBD9">
            <wp:extent cx="5943600" cy="7524115"/>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_14_incidence_ccf_2015.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7524115"/>
                    </a:xfrm>
                    <a:prstGeom prst="rect">
                      <a:avLst/>
                    </a:prstGeom>
                  </pic:spPr>
                </pic:pic>
              </a:graphicData>
            </a:graphic>
          </wp:inline>
        </w:drawing>
      </w:r>
    </w:p>
    <w:p w14:paraId="0A9EC1B8" w14:textId="2EBA97FE" w:rsidR="00496375" w:rsidRPr="00B55404" w:rsidRDefault="00496375" w:rsidP="005354EA">
      <w:pPr>
        <w:spacing w:line="276" w:lineRule="auto"/>
        <w:rPr>
          <w:rFonts w:ascii="Times New Roman" w:hAnsi="Times New Roman" w:cs="Times New Roman"/>
          <w:sz w:val="18"/>
          <w:szCs w:val="18"/>
        </w:rPr>
      </w:pPr>
      <w:r w:rsidRPr="00B55404">
        <w:rPr>
          <w:rFonts w:ascii="Times New Roman" w:hAnsi="Times New Roman" w:cs="Times New Roman"/>
          <w:sz w:val="18"/>
          <w:szCs w:val="18"/>
        </w:rPr>
        <w:t xml:space="preserve">Figure </w:t>
      </w:r>
      <w:r w:rsidR="009E48C0" w:rsidRPr="00B55404">
        <w:rPr>
          <w:rFonts w:ascii="Times New Roman" w:hAnsi="Times New Roman" w:cs="Times New Roman"/>
          <w:sz w:val="18"/>
          <w:szCs w:val="18"/>
        </w:rPr>
        <w:t>S</w:t>
      </w:r>
      <w:r w:rsidRPr="00B55404">
        <w:rPr>
          <w:rFonts w:ascii="Times New Roman" w:hAnsi="Times New Roman" w:cs="Times New Roman"/>
          <w:sz w:val="18"/>
          <w:szCs w:val="18"/>
        </w:rPr>
        <w:t>1</w:t>
      </w:r>
      <w:r w:rsidR="00A60270" w:rsidRPr="00B55404">
        <w:rPr>
          <w:rFonts w:ascii="Times New Roman" w:hAnsi="Times New Roman" w:cs="Times New Roman"/>
          <w:sz w:val="18"/>
          <w:szCs w:val="18"/>
        </w:rPr>
        <w:t>5</w:t>
      </w:r>
      <w:r w:rsidRPr="00B55404">
        <w:rPr>
          <w:rFonts w:ascii="Times New Roman" w:hAnsi="Times New Roman" w:cs="Times New Roman"/>
          <w:sz w:val="18"/>
          <w:szCs w:val="18"/>
        </w:rPr>
        <w:t>:</w:t>
      </w:r>
      <w:r w:rsidR="009B173E" w:rsidRPr="00B55404">
        <w:rPr>
          <w:rFonts w:ascii="Times New Roman" w:hAnsi="Times New Roman" w:cs="Times New Roman"/>
          <w:sz w:val="18"/>
          <w:szCs w:val="18"/>
        </w:rPr>
        <w:t xml:space="preserve"> </w:t>
      </w:r>
      <w:r w:rsidR="009B173E" w:rsidRPr="00B55404">
        <w:rPr>
          <w:rFonts w:ascii="Times New Roman" w:hAnsi="Times New Roman" w:cs="Times New Roman"/>
          <w:iCs/>
          <w:sz w:val="18"/>
          <w:szCs w:val="18"/>
        </w:rPr>
        <w:t>Comparison of DHIS2 and simulation seasonality trends in 2015 with a cross-correlation function (CCF). CCF at the time lag zero is a measure of the contemporaneous correlation or the linear relationship between the two time series.</w:t>
      </w:r>
    </w:p>
    <w:p w14:paraId="2E93C93C" w14:textId="7352273E" w:rsidR="00496375" w:rsidRPr="00455A3C" w:rsidRDefault="00B33722" w:rsidP="005354EA">
      <w:pPr>
        <w:spacing w:line="276" w:lineRule="auto"/>
        <w:rPr>
          <w:rFonts w:cstheme="minorHAnsi"/>
        </w:rPr>
      </w:pPr>
      <w:r>
        <w:rPr>
          <w:rFonts w:cstheme="minorHAnsi"/>
          <w:noProof/>
        </w:rPr>
        <w:lastRenderedPageBreak/>
        <w:drawing>
          <wp:inline distT="0" distB="0" distL="0" distR="0" wp14:anchorId="31B86192" wp14:editId="7C504B2E">
            <wp:extent cx="5943600" cy="69240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 16_incidence_comparison_2016.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6924040"/>
                    </a:xfrm>
                    <a:prstGeom prst="rect">
                      <a:avLst/>
                    </a:prstGeom>
                  </pic:spPr>
                </pic:pic>
              </a:graphicData>
            </a:graphic>
          </wp:inline>
        </w:drawing>
      </w:r>
    </w:p>
    <w:p w14:paraId="6BEAEFC0" w14:textId="7D52538F" w:rsidR="00E959B3" w:rsidRPr="00455A3C" w:rsidRDefault="00397750" w:rsidP="005354EA">
      <w:pPr>
        <w:spacing w:line="276" w:lineRule="auto"/>
        <w:rPr>
          <w:rFonts w:cstheme="minorHAnsi"/>
        </w:rPr>
      </w:pPr>
      <w:r w:rsidRPr="00455A3C">
        <w:rPr>
          <w:rFonts w:cstheme="minorHAnsi"/>
        </w:rPr>
        <w:t xml:space="preserve">Figure </w:t>
      </w:r>
      <w:r w:rsidR="009E48C0" w:rsidRPr="00455A3C">
        <w:rPr>
          <w:rFonts w:cstheme="minorHAnsi"/>
        </w:rPr>
        <w:t>S</w:t>
      </w:r>
      <w:r w:rsidRPr="00455A3C">
        <w:rPr>
          <w:rFonts w:cstheme="minorHAnsi"/>
        </w:rPr>
        <w:t>1</w:t>
      </w:r>
      <w:r w:rsidR="00A60270" w:rsidRPr="00455A3C">
        <w:rPr>
          <w:rFonts w:cstheme="minorHAnsi"/>
        </w:rPr>
        <w:t>6</w:t>
      </w:r>
      <w:r w:rsidRPr="00455A3C">
        <w:rPr>
          <w:rFonts w:cstheme="minorHAnsi"/>
        </w:rPr>
        <w:t>:</w:t>
      </w:r>
      <w:r w:rsidR="00E959B3" w:rsidRPr="00455A3C">
        <w:rPr>
          <w:rFonts w:cstheme="minorHAnsi"/>
        </w:rPr>
        <w:t xml:space="preserve"> Malaria seasonality in routine health facility data and simulation for 37 Nigerian states in 2016. Incidence values in the health facility data were scaled by the median relative difference between the simulation and RIA data by state.</w:t>
      </w:r>
      <w:r w:rsidR="00583153">
        <w:rPr>
          <w:rFonts w:cstheme="minorHAnsi"/>
        </w:rPr>
        <w:t xml:space="preserve"> </w:t>
      </w:r>
      <w:r w:rsidR="00583153" w:rsidRPr="002A47DC">
        <w:rPr>
          <w:rFonts w:ascii="Calibri" w:hAnsi="Calibri" w:cs="Calibri"/>
        </w:rPr>
        <w:t>Vertical purple horizontal lines are 95% confidence intervals for the RIA data. Vertical blue lines are the ranges of the simulations from 5 seed runs.</w:t>
      </w:r>
    </w:p>
    <w:p w14:paraId="0DD68D1B" w14:textId="77777777" w:rsidR="00397750" w:rsidRPr="00455A3C" w:rsidRDefault="00397750" w:rsidP="005354EA">
      <w:pPr>
        <w:spacing w:line="276" w:lineRule="auto"/>
        <w:rPr>
          <w:rFonts w:cstheme="minorHAnsi"/>
        </w:rPr>
      </w:pPr>
    </w:p>
    <w:p w14:paraId="7A4938F4" w14:textId="2DAB49C4" w:rsidR="00274F72" w:rsidRPr="00455A3C" w:rsidRDefault="00274F72" w:rsidP="005354EA">
      <w:pPr>
        <w:spacing w:line="276" w:lineRule="auto"/>
        <w:rPr>
          <w:rFonts w:cstheme="minorHAnsi"/>
        </w:rPr>
      </w:pPr>
      <w:r w:rsidRPr="00C0372B">
        <w:rPr>
          <w:rFonts w:cstheme="minorHAnsi"/>
          <w:noProof/>
        </w:rPr>
        <w:lastRenderedPageBreak/>
        <w:drawing>
          <wp:inline distT="0" distB="0" distL="0" distR="0" wp14:anchorId="4BDBF842" wp14:editId="438A9F07">
            <wp:extent cx="5943600" cy="7524115"/>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ure 16_incidence_ccf_2016.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7524115"/>
                    </a:xfrm>
                    <a:prstGeom prst="rect">
                      <a:avLst/>
                    </a:prstGeom>
                  </pic:spPr>
                </pic:pic>
              </a:graphicData>
            </a:graphic>
          </wp:inline>
        </w:drawing>
      </w:r>
    </w:p>
    <w:p w14:paraId="04AF5A69" w14:textId="771499B7" w:rsidR="005171EE" w:rsidRPr="00455A3C" w:rsidRDefault="005171EE" w:rsidP="005354EA">
      <w:pPr>
        <w:spacing w:line="276" w:lineRule="auto"/>
        <w:rPr>
          <w:rFonts w:cstheme="minorHAnsi"/>
        </w:rPr>
      </w:pPr>
      <w:r w:rsidRPr="00455A3C">
        <w:rPr>
          <w:rFonts w:cstheme="minorHAnsi"/>
        </w:rPr>
        <w:t xml:space="preserve">Figure </w:t>
      </w:r>
      <w:r w:rsidR="009E48C0" w:rsidRPr="00455A3C">
        <w:rPr>
          <w:rFonts w:cstheme="minorHAnsi"/>
        </w:rPr>
        <w:t>S</w:t>
      </w:r>
      <w:r w:rsidRPr="00455A3C">
        <w:rPr>
          <w:rFonts w:cstheme="minorHAnsi"/>
        </w:rPr>
        <w:t>1</w:t>
      </w:r>
      <w:r w:rsidR="00A60270" w:rsidRPr="00455A3C">
        <w:rPr>
          <w:rFonts w:cstheme="minorHAnsi"/>
        </w:rPr>
        <w:t>7</w:t>
      </w:r>
      <w:r w:rsidRPr="00455A3C">
        <w:rPr>
          <w:rFonts w:cstheme="minorHAnsi"/>
        </w:rPr>
        <w:t xml:space="preserve">: </w:t>
      </w:r>
      <w:r w:rsidRPr="00455A3C">
        <w:rPr>
          <w:rFonts w:cstheme="minorHAnsi"/>
          <w:iCs/>
        </w:rPr>
        <w:t>Comparison of DHIS2 and simulation seaso</w:t>
      </w:r>
      <w:r w:rsidR="0097086A" w:rsidRPr="00455A3C">
        <w:rPr>
          <w:rFonts w:cstheme="minorHAnsi"/>
          <w:iCs/>
        </w:rPr>
        <w:t>nality trends in 2016</w:t>
      </w:r>
      <w:r w:rsidRPr="00455A3C">
        <w:rPr>
          <w:rFonts w:cstheme="minorHAnsi"/>
          <w:iCs/>
        </w:rPr>
        <w:t xml:space="preserve"> with a cross-correlation function (CCF). CCF at the time lag zero is a measure of the contemporaneous correlation or the linear relationship between the two time series.</w:t>
      </w:r>
    </w:p>
    <w:p w14:paraId="57D682AB" w14:textId="4C5C3FFC" w:rsidR="00E2305E" w:rsidRPr="00455A3C" w:rsidRDefault="00726936" w:rsidP="005354EA">
      <w:pPr>
        <w:spacing w:line="276" w:lineRule="auto"/>
        <w:rPr>
          <w:rFonts w:cstheme="minorHAnsi"/>
        </w:rPr>
      </w:pPr>
      <w:r>
        <w:rPr>
          <w:rFonts w:cstheme="minorHAnsi"/>
          <w:noProof/>
        </w:rPr>
        <w:lastRenderedPageBreak/>
        <w:drawing>
          <wp:inline distT="0" distB="0" distL="0" distR="0" wp14:anchorId="0A0F95D2" wp14:editId="0EB89ADC">
            <wp:extent cx="5943600" cy="692404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 18_incidence_comparison_2017.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6924040"/>
                    </a:xfrm>
                    <a:prstGeom prst="rect">
                      <a:avLst/>
                    </a:prstGeom>
                  </pic:spPr>
                </pic:pic>
              </a:graphicData>
            </a:graphic>
          </wp:inline>
        </w:drawing>
      </w:r>
    </w:p>
    <w:p w14:paraId="557E0EAB" w14:textId="5D1A2885" w:rsidR="00E959B3" w:rsidRPr="00455A3C" w:rsidRDefault="00E959B3" w:rsidP="005354EA">
      <w:pPr>
        <w:spacing w:line="276" w:lineRule="auto"/>
        <w:rPr>
          <w:rFonts w:cstheme="minorHAnsi"/>
        </w:rPr>
      </w:pPr>
      <w:r w:rsidRPr="00455A3C">
        <w:rPr>
          <w:rFonts w:cstheme="minorHAnsi"/>
        </w:rPr>
        <w:t xml:space="preserve">Figure </w:t>
      </w:r>
      <w:r w:rsidR="009E48C0" w:rsidRPr="00455A3C">
        <w:rPr>
          <w:rFonts w:cstheme="minorHAnsi"/>
        </w:rPr>
        <w:t>S</w:t>
      </w:r>
      <w:r w:rsidRPr="00455A3C">
        <w:rPr>
          <w:rFonts w:cstheme="minorHAnsi"/>
        </w:rPr>
        <w:t>1</w:t>
      </w:r>
      <w:r w:rsidR="00A60270" w:rsidRPr="00455A3C">
        <w:rPr>
          <w:rFonts w:cstheme="minorHAnsi"/>
        </w:rPr>
        <w:t>8</w:t>
      </w:r>
      <w:r w:rsidRPr="00455A3C">
        <w:rPr>
          <w:rFonts w:cstheme="minorHAnsi"/>
        </w:rPr>
        <w:t>: Malaria seasonality in routine health facility data and simulation for 37 Nigerian states in 2017. Incidence values in the health facility data were scaled by the median relative difference between the simulation and RIA data by state.</w:t>
      </w:r>
      <w:r w:rsidR="00340E82">
        <w:rPr>
          <w:rFonts w:cstheme="minorHAnsi"/>
        </w:rPr>
        <w:t xml:space="preserve"> </w:t>
      </w:r>
      <w:r w:rsidR="00340E82" w:rsidRPr="002A47DC">
        <w:rPr>
          <w:rFonts w:ascii="Calibri" w:hAnsi="Calibri" w:cs="Calibri"/>
        </w:rPr>
        <w:t>Vertical purple horizontal lines are 95% confidence intervals for the RIA data. Vertical blue lines are the ranges of the simulations from 5 seed runs.</w:t>
      </w:r>
    </w:p>
    <w:p w14:paraId="5B80A9F5" w14:textId="5B90CCA3" w:rsidR="00E959B3" w:rsidRPr="00455A3C" w:rsidRDefault="00E959B3" w:rsidP="005354EA">
      <w:pPr>
        <w:spacing w:line="276" w:lineRule="auto"/>
        <w:rPr>
          <w:rFonts w:cstheme="minorHAnsi"/>
        </w:rPr>
      </w:pPr>
    </w:p>
    <w:p w14:paraId="7654615B" w14:textId="08D5A7E6" w:rsidR="00BA2CB2" w:rsidRPr="00455A3C" w:rsidRDefault="002A6F5B" w:rsidP="005354EA">
      <w:pPr>
        <w:spacing w:line="276" w:lineRule="auto"/>
        <w:rPr>
          <w:rFonts w:cstheme="minorHAnsi"/>
        </w:rPr>
      </w:pPr>
      <w:r w:rsidRPr="00C0372B">
        <w:rPr>
          <w:rFonts w:cstheme="minorHAnsi"/>
          <w:noProof/>
        </w:rPr>
        <w:lastRenderedPageBreak/>
        <w:drawing>
          <wp:inline distT="0" distB="0" distL="0" distR="0" wp14:anchorId="61176A0B" wp14:editId="4EC4597B">
            <wp:extent cx="5943600" cy="7524115"/>
            <wp:effectExtent l="0" t="0" r="0"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ure 18_incidence_ccf_2017.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7524115"/>
                    </a:xfrm>
                    <a:prstGeom prst="rect">
                      <a:avLst/>
                    </a:prstGeom>
                  </pic:spPr>
                </pic:pic>
              </a:graphicData>
            </a:graphic>
          </wp:inline>
        </w:drawing>
      </w:r>
    </w:p>
    <w:p w14:paraId="3924EAD9" w14:textId="779202D1" w:rsidR="00496375" w:rsidRPr="00455A3C" w:rsidRDefault="00496375" w:rsidP="005354EA">
      <w:pPr>
        <w:spacing w:line="276" w:lineRule="auto"/>
        <w:rPr>
          <w:rFonts w:cstheme="minorHAnsi"/>
        </w:rPr>
      </w:pPr>
      <w:r w:rsidRPr="00455A3C">
        <w:rPr>
          <w:rFonts w:cstheme="minorHAnsi"/>
        </w:rPr>
        <w:t xml:space="preserve">Figure </w:t>
      </w:r>
      <w:r w:rsidR="009E48C0" w:rsidRPr="00455A3C">
        <w:rPr>
          <w:rFonts w:cstheme="minorHAnsi"/>
        </w:rPr>
        <w:t>S</w:t>
      </w:r>
      <w:r w:rsidRPr="00455A3C">
        <w:rPr>
          <w:rFonts w:cstheme="minorHAnsi"/>
        </w:rPr>
        <w:t>1</w:t>
      </w:r>
      <w:r w:rsidR="00A60270" w:rsidRPr="00455A3C">
        <w:rPr>
          <w:rFonts w:cstheme="minorHAnsi"/>
        </w:rPr>
        <w:t>9</w:t>
      </w:r>
      <w:r w:rsidRPr="00455A3C">
        <w:rPr>
          <w:rFonts w:cstheme="minorHAnsi"/>
        </w:rPr>
        <w:t xml:space="preserve">: </w:t>
      </w:r>
      <w:r w:rsidR="00F002A2" w:rsidRPr="00455A3C">
        <w:rPr>
          <w:rFonts w:cstheme="minorHAnsi"/>
          <w:iCs/>
        </w:rPr>
        <w:t>Comparison of DHIS2 and simulation seasonality trends in 2017 with a cross-correlation function (CCF). CCF at the time lag zero is a measure of the contemporaneous correlation or the linear relationship between the two time series.</w:t>
      </w:r>
    </w:p>
    <w:p w14:paraId="202CED0A" w14:textId="252422A2" w:rsidR="00496375" w:rsidRPr="00455A3C" w:rsidRDefault="009666F9" w:rsidP="005354EA">
      <w:pPr>
        <w:spacing w:line="276" w:lineRule="auto"/>
        <w:rPr>
          <w:rFonts w:cstheme="minorHAnsi"/>
        </w:rPr>
      </w:pPr>
      <w:r>
        <w:rPr>
          <w:rFonts w:cstheme="minorHAnsi"/>
          <w:noProof/>
        </w:rPr>
        <w:lastRenderedPageBreak/>
        <w:drawing>
          <wp:inline distT="0" distB="0" distL="0" distR="0" wp14:anchorId="76515C91" wp14:editId="5D1F93D7">
            <wp:extent cx="5943600" cy="6931660"/>
            <wp:effectExtent l="0" t="0" r="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ure 20_incidence_comparison_2017.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6931660"/>
                    </a:xfrm>
                    <a:prstGeom prst="rect">
                      <a:avLst/>
                    </a:prstGeom>
                  </pic:spPr>
                </pic:pic>
              </a:graphicData>
            </a:graphic>
          </wp:inline>
        </w:drawing>
      </w:r>
    </w:p>
    <w:p w14:paraId="2B4AD571" w14:textId="70EB2D2F" w:rsidR="00627ECF" w:rsidRPr="00455A3C" w:rsidRDefault="00DB7F90" w:rsidP="00627ECF">
      <w:pPr>
        <w:spacing w:line="276" w:lineRule="auto"/>
        <w:rPr>
          <w:rFonts w:cstheme="minorHAnsi"/>
        </w:rPr>
      </w:pPr>
      <w:r w:rsidRPr="00455A3C">
        <w:rPr>
          <w:rFonts w:cstheme="minorHAnsi"/>
        </w:rPr>
        <w:t xml:space="preserve">Figure </w:t>
      </w:r>
      <w:r w:rsidR="009E48C0" w:rsidRPr="00455A3C">
        <w:rPr>
          <w:rFonts w:cstheme="minorHAnsi"/>
        </w:rPr>
        <w:t>S</w:t>
      </w:r>
      <w:r w:rsidR="00A60270" w:rsidRPr="00455A3C">
        <w:rPr>
          <w:rFonts w:cstheme="minorHAnsi"/>
        </w:rPr>
        <w:t>20</w:t>
      </w:r>
      <w:r w:rsidRPr="00455A3C">
        <w:rPr>
          <w:rFonts w:cstheme="minorHAnsi"/>
        </w:rPr>
        <w:t>: Malaria seasonality in routine health facility data and simulation for 37 Nigerian states in 2018. Incidence values in the health facility data were scaled by the median relative difference between the simulation and RIA data by state.</w:t>
      </w:r>
      <w:r w:rsidR="00627ECF" w:rsidRPr="00627ECF">
        <w:rPr>
          <w:rFonts w:ascii="Calibri" w:hAnsi="Calibri" w:cs="Calibri"/>
        </w:rPr>
        <w:t xml:space="preserve"> </w:t>
      </w:r>
      <w:r w:rsidR="00627ECF" w:rsidRPr="002A47DC">
        <w:rPr>
          <w:rFonts w:ascii="Calibri" w:hAnsi="Calibri" w:cs="Calibri"/>
        </w:rPr>
        <w:t>Vertical purple horizontal lines are 95% confidence intervals for the RIA data. Vertical blue lines are the ranges of the simulations from 5 seed runs.</w:t>
      </w:r>
    </w:p>
    <w:p w14:paraId="6C673760" w14:textId="63FF8F4E" w:rsidR="00DB7F90" w:rsidRPr="00455A3C" w:rsidRDefault="00DB7F90" w:rsidP="005354EA">
      <w:pPr>
        <w:spacing w:line="276" w:lineRule="auto"/>
        <w:rPr>
          <w:rFonts w:cstheme="minorHAnsi"/>
          <w:noProof/>
        </w:rPr>
      </w:pPr>
    </w:p>
    <w:p w14:paraId="22086F13" w14:textId="69927001" w:rsidR="0081310E" w:rsidRPr="00455A3C" w:rsidRDefault="0081310E" w:rsidP="005354EA">
      <w:pPr>
        <w:spacing w:line="276" w:lineRule="auto"/>
        <w:rPr>
          <w:rFonts w:cstheme="minorHAnsi"/>
        </w:rPr>
      </w:pPr>
    </w:p>
    <w:p w14:paraId="04EC1289" w14:textId="156F882C" w:rsidR="00BD0C4A" w:rsidRPr="00455A3C" w:rsidRDefault="00BD0C4A" w:rsidP="005354EA">
      <w:pPr>
        <w:spacing w:line="276" w:lineRule="auto"/>
        <w:rPr>
          <w:rFonts w:cstheme="minorHAnsi"/>
        </w:rPr>
      </w:pPr>
      <w:r w:rsidRPr="00C0372B">
        <w:rPr>
          <w:rFonts w:cstheme="minorHAnsi"/>
          <w:noProof/>
        </w:rPr>
        <w:drawing>
          <wp:inline distT="0" distB="0" distL="0" distR="0" wp14:anchorId="156BFE6E" wp14:editId="629521E6">
            <wp:extent cx="5943600" cy="7524115"/>
            <wp:effectExtent l="0" t="0" r="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Figure 20_incidence_ccf_2018.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7524115"/>
                    </a:xfrm>
                    <a:prstGeom prst="rect">
                      <a:avLst/>
                    </a:prstGeom>
                  </pic:spPr>
                </pic:pic>
              </a:graphicData>
            </a:graphic>
          </wp:inline>
        </w:drawing>
      </w:r>
    </w:p>
    <w:p w14:paraId="13BFC6D4" w14:textId="5B301070" w:rsidR="00BD0C4A" w:rsidRPr="00455A3C" w:rsidRDefault="00BD0C4A" w:rsidP="005354EA">
      <w:pPr>
        <w:spacing w:line="276" w:lineRule="auto"/>
        <w:rPr>
          <w:rFonts w:cstheme="minorHAnsi"/>
        </w:rPr>
      </w:pPr>
      <w:r w:rsidRPr="00455A3C">
        <w:rPr>
          <w:rFonts w:cstheme="minorHAnsi"/>
        </w:rPr>
        <w:lastRenderedPageBreak/>
        <w:t xml:space="preserve">Figure </w:t>
      </w:r>
      <w:r w:rsidR="009E48C0" w:rsidRPr="00455A3C">
        <w:rPr>
          <w:rFonts w:cstheme="minorHAnsi"/>
        </w:rPr>
        <w:t>S</w:t>
      </w:r>
      <w:r w:rsidRPr="00455A3C">
        <w:rPr>
          <w:rFonts w:cstheme="minorHAnsi"/>
        </w:rPr>
        <w:t>2</w:t>
      </w:r>
      <w:r w:rsidR="00A60270" w:rsidRPr="00455A3C">
        <w:rPr>
          <w:rFonts w:cstheme="minorHAnsi"/>
        </w:rPr>
        <w:t>1</w:t>
      </w:r>
      <w:r w:rsidRPr="00455A3C">
        <w:rPr>
          <w:rFonts w:cstheme="minorHAnsi"/>
        </w:rPr>
        <w:t xml:space="preserve">: </w:t>
      </w:r>
      <w:r w:rsidRPr="00455A3C">
        <w:rPr>
          <w:rFonts w:cstheme="minorHAnsi"/>
          <w:iCs/>
        </w:rPr>
        <w:t>Comparison of DHIS2 and simulation seasonality trends in 2018 with a cross-correlation function (CCF). CCF at the time lag zero is a measure of the contemporaneous correlation or the linear relationship between the two time series.</w:t>
      </w:r>
    </w:p>
    <w:p w14:paraId="2A27B1B0" w14:textId="4D80CFFA" w:rsidR="009F194C" w:rsidRPr="00455A3C" w:rsidRDefault="008F573B" w:rsidP="005354EA">
      <w:pPr>
        <w:spacing w:after="0" w:line="276" w:lineRule="auto"/>
        <w:contextualSpacing/>
        <w:rPr>
          <w:rFonts w:cstheme="minorHAnsi"/>
          <w:b/>
        </w:rPr>
      </w:pPr>
      <w:r w:rsidRPr="00455A3C">
        <w:rPr>
          <w:rFonts w:cstheme="minorHAnsi"/>
          <w:b/>
        </w:rPr>
        <w:t xml:space="preserve">References </w:t>
      </w:r>
    </w:p>
    <w:p w14:paraId="5B4F3F06" w14:textId="442CE151" w:rsidR="00C72B9D" w:rsidRPr="00C72B9D" w:rsidRDefault="008F573B" w:rsidP="00C72B9D">
      <w:pPr>
        <w:widowControl w:val="0"/>
        <w:autoSpaceDE w:val="0"/>
        <w:autoSpaceDN w:val="0"/>
        <w:adjustRightInd w:val="0"/>
        <w:spacing w:after="0" w:line="240" w:lineRule="auto"/>
        <w:rPr>
          <w:rFonts w:ascii="Calibri" w:hAnsi="Calibri" w:cs="Calibri"/>
          <w:noProof/>
          <w:szCs w:val="24"/>
        </w:rPr>
      </w:pPr>
      <w:r w:rsidRPr="00C0372B">
        <w:rPr>
          <w:rFonts w:cstheme="minorHAnsi"/>
        </w:rPr>
        <w:fldChar w:fldCharType="begin" w:fldLock="1"/>
      </w:r>
      <w:r w:rsidRPr="00455A3C">
        <w:rPr>
          <w:rFonts w:cstheme="minorHAnsi"/>
        </w:rPr>
        <w:instrText xml:space="preserve">ADDIN Mendeley Bibliography CSL_BIBLIOGRAPHY </w:instrText>
      </w:r>
      <w:r w:rsidRPr="00C0372B">
        <w:rPr>
          <w:rFonts w:cstheme="minorHAnsi"/>
        </w:rPr>
        <w:fldChar w:fldCharType="separate"/>
      </w:r>
      <w:r w:rsidR="00C72B9D" w:rsidRPr="00C72B9D">
        <w:rPr>
          <w:rFonts w:ascii="Calibri" w:hAnsi="Calibri" w:cs="Calibri"/>
          <w:noProof/>
          <w:szCs w:val="24"/>
        </w:rPr>
        <w:t>1. Kaufman L, Rousseeuw PJ. Clustering large data sets. In: Gelsema ES, Kanal LN, editors. Pattern Recognit Pract [Internet]. Elsevier; 1986 [cited 2020 Aug 14]. p. 425–37. Available from: https://linkinghub.elsevier.com/retrieve/pii/B978044487877950039X</w:t>
      </w:r>
    </w:p>
    <w:p w14:paraId="0A31BB00"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2. Kaufman L, Rousseeuw PJ. Finding Groups in Data [Internet]. Kaufman L, Rousseeuw PJ, editors. Find. Groups Data An Introd. to Clust. Anal. Hoboken, NJ, USA: John Wiley &amp; Sons, Inc.; 1990 [cited 2020 Aug 18]. Available from: http://doi.wiley.com/10.1002/9780470316801</w:t>
      </w:r>
    </w:p>
    <w:p w14:paraId="30DF9F1B"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3. Maechler M, Rousseeuw P, Struyf A, Hubert M, Hornik K. cluster: Cluster Analysis Basics and Extensions. 2019. </w:t>
      </w:r>
    </w:p>
    <w:p w14:paraId="0DE799D1"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4. Funk C, Nicholson SE, Landsfeld M, Klotter D, Peterson P, Harrison L. The Centennial Trends Greater Horn of Africa precipitation dataset. Sci Data [Internet]. Nature Publishing Groups; 2015 [cited 2020 Aug 14];2:1–17. Available from: www.nature.com/scientificdata</w:t>
      </w:r>
    </w:p>
    <w:p w14:paraId="09049396"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5. Weiss DJ, Bhatt S, Mappin B, Van Boeckel TP, Smith DL, Hay SI, et al. Air temperature suitability for Plasmodium falciparum malaria transmission in Africa 2000-2012: A high-resolution spatiotemporal prediction. Malar J [Internet]. BioMed Central Ltd.; 2014 [cited 2020 Jul 8];13. Available from: https://pubmed.ncbi.nlm.nih.gov/24886586/</w:t>
      </w:r>
    </w:p>
    <w:p w14:paraId="0F9E9EDD"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6. Sinka ME, Golding N, Massey NC, Wiebe A, Huang Z, Hay SI, et al. Modelling the relative abundance of the primary African vectors of malaria before and after the implementation of indoor, insecticide-based vector control. Malar J [Internet]. BioMed Central; 2016 [cited 2020 Aug 14];15:142. Available from: https://malariajournal.biomedcentral.com/articles/10.1186/s12936-016-1187-8</w:t>
      </w:r>
    </w:p>
    <w:p w14:paraId="53412EB2"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7. Hay SI, Snow RW. The Malaria Atlas Project: Developing global maps of malaria risk [Internet]. PLoS Med. Public Library of Science; 2006 [cited 2020 Aug 14]. p. 2204–8. Available from: https://www.ncbi.nlm.nih.gov/pmc/articles/PMC1762059/</w:t>
      </w:r>
    </w:p>
    <w:p w14:paraId="06A9352A"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8. Gething PW, Patil AP, Smith DL, Guerra CA, Elyazar IRF, Johnston GL, et al. A new world malaria map: Plasmodium falciparum endemicity in 2010. Malar J [Internet]. BioMed Central; 2011 [cited 2020 Aug 14];10:378. Available from: /pmc/articles/PMC3274487/?report=abstract</w:t>
      </w:r>
    </w:p>
    <w:p w14:paraId="24693F36" w14:textId="7A33F353"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9. Bertozzi-Villa A, Bever C, Koenker H, Weiss DJ, Vargas-Ruiz C, Nandi AK, et al. Maps and Metrics of Insecticide-Treated Net Coverage in Africa: Access, Use, and Nets-Per-Capita, 2000-2020. 2021.</w:t>
      </w:r>
      <w:r>
        <w:rPr>
          <w:rFonts w:ascii="Calibri" w:hAnsi="Calibri" w:cs="Calibri"/>
          <w:noProof/>
          <w:szCs w:val="24"/>
        </w:rPr>
        <w:t xml:space="preserve">Available from </w:t>
      </w:r>
      <w:r w:rsidRPr="00C72B9D">
        <w:rPr>
          <w:rFonts w:ascii="Calibri" w:hAnsi="Calibri" w:cs="Calibri"/>
          <w:noProof/>
          <w:szCs w:val="24"/>
        </w:rPr>
        <w:t xml:space="preserve">https://www.researchsquare.com/article/rs-199628/v1.pdf </w:t>
      </w:r>
    </w:p>
    <w:p w14:paraId="74AAC1DF"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10. World Health Organization. World Malaria Report 2017 [Internet]. Geneva; 2017. Available from: https://apps.who.int/iris/bitstream/handle/10665/259492/9789241565523-eng.pdf;jsessionid=881CFD80B32ED1AF3A9D299643719B21?sequence=1</w:t>
      </w:r>
    </w:p>
    <w:p w14:paraId="55DC7E3F"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11. Hancock PA, Hendriks CJM, Tangena JA, Gibson H, Hemingway J, Coleman M, et al. Mapping trends in insecticide resistance phenotypes in African malaria vectors. PLoS Biol [Internet]. Public Library of Science; 2020 [cited 2020 Oct 2];18:e3000633. Available from: https://doi.org/10.1371/journal.pbio.3000633</w:t>
      </w:r>
    </w:p>
    <w:p w14:paraId="06E42902"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12. Eckhoff P. Mathematical models of within-host and transmission dynamics to determine effects of malaria interventions in a variety of transmission settings. Am J Trop Med Hyg [Internet]. The American Society of Tropical Medicine and Hygiene; 2013 [cited 2020 Oct 2];88:817–27. Available from: /pmc/articles/PMC3752743/?report=abstract</w:t>
      </w:r>
    </w:p>
    <w:p w14:paraId="7A05D756"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13. Lengeler C. Insecticide-treated bed nets and curtains for preventing malaria. Cochrane Database Syst Rev [Internet]. Wiley; 2004 [cited 2020 Oct 2]; Available from: https://pubmed.ncbi.nlm.nih.gov/15106149/</w:t>
      </w:r>
    </w:p>
    <w:p w14:paraId="4D23057D"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14. Ngufor C, Tchicaya E, Koudou B, N’Fale S, Dabire R, Johnson P, et al. Combining organophosphate </w:t>
      </w:r>
      <w:r w:rsidRPr="00C72B9D">
        <w:rPr>
          <w:rFonts w:ascii="Calibri" w:hAnsi="Calibri" w:cs="Calibri"/>
          <w:noProof/>
          <w:szCs w:val="24"/>
        </w:rPr>
        <w:lastRenderedPageBreak/>
        <w:t>treated wall linings and long-lasting insecticidal nets for improved control of pyrethroid resistant Anopheles gambiae. PLoS One [Internet]. Public Library of Science; 2014 [cited 2021 Feb 18];9. Available from: https://pubmed.ncbi.nlm.nih.gov/24409286/</w:t>
      </w:r>
    </w:p>
    <w:p w14:paraId="53966101"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15. Badolo A, Guelbeogo WM, Tiono AB, Traoré A, Sagnon N, Sirima SB. Experimental hut evaluation of Fendona 6SC®-treated bednets and interceptor® long-lasting nets against Anopheles gambiae s.l. in Burkina Faso. J Vector Borne Dis. 2012; </w:t>
      </w:r>
    </w:p>
    <w:p w14:paraId="4B143FF9"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16. Toe KH, Müller P, Badolo A, Traore A, Sagnon N, Dabiré RK, et al. Do bednets including piperonyl butoxide offer additional protection against populations of Anopheles gambiae s.l. that are highly resistant to pyrethroids? An experimental hut evaluation in Burkina Fasov. Med Vet Entomol. 2018; </w:t>
      </w:r>
    </w:p>
    <w:p w14:paraId="62E720C7"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17. Bayili K, N’do S, Namountougou M, Sanou R, Ouattara A, Dabiré RK, et al. Evaluation of efficacy of Interceptor® G2, a long-lasting insecticide net coated with a mixture of chlorfenapyr and alpha-cypermethrin, against pyrethroid resistant Anopheles gambiae s.l. in Burkina Faso. Malar J. 2017; </w:t>
      </w:r>
    </w:p>
    <w:p w14:paraId="57E14CA8"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18. Churcher TS, Lissenden N, Griffin JT, Worrall E, Ranson H. The impact of pyrethroid resistance on the efficacy and effectiveness of bednets for malaria control in Africa. Elife. eLife Sciences Publications Ltd; 2016;5. </w:t>
      </w:r>
    </w:p>
    <w:p w14:paraId="7946A51D"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19. Tiono AB, Ouédraogo A, Ouattara D, Bougouma EC, Coulibaly S, Diarra A, et al. Efficacy of Olyset Duo, a bednet containing pyriproxyfen and permethrin, versus a permethrin-only net against clinical malaria in an area with highly pyrethroid-resistant vectors in rural Burkina Faso: a cluster-randomised controlled trial. Lancet. Lancet Publishing Group; 2018;392:569–80. </w:t>
      </w:r>
    </w:p>
    <w:p w14:paraId="263952CE"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20. Menéndez C, Bardají A, Sigauque B, Romagosa C, Sanz S, Serra-Casas E, et al. A randomized placebo-controlled trial of intermittent preventive treatment in pregnant women in the context of insecticide treated nets delivered through the antenatal clinic. PLoS One [Internet]. Public Library of Science; 2008 [cited 2020 Nov 24];3. Available from: /pmc/articles/PMC2277457/?report=abstract</w:t>
      </w:r>
    </w:p>
    <w:p w14:paraId="002A79B0"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21. World Health Organisation. WHO Policy recommendation on Intermittent Preventive Treatment during infancy with sulphadoxine-pyrimethamine (SP-IPTi) for Plasmodium falciparum malaria control in Africa [Internet]. World Heal. Organ. 2010. Available from: https://www.who.int/malaria/news/WHO_policy_recommendation_IPTi_032010.pdf?ua=1</w:t>
      </w:r>
    </w:p>
    <w:p w14:paraId="788B0809"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22. Esu EB, Oringanje C, Meremikwu MM. Intermittent preventive treatment for malaria in infants [Internet]. Cochrane Database Syst. Rev. John Wiley and Sons Ltd; 2019 [cited 2020 Dec 2]. Available from: /pmc/articles/PMC6887842/?report=abstract</w:t>
      </w:r>
    </w:p>
    <w:p w14:paraId="08C03CD5"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23. Modiano D, Sirima BS, Sawadogo A, Sanou I, Paré J, Konaté A, et al. Severe malaria in Burkina Faso: Influence of age and transmission level on clinical presentation. Am J Trop Med Hyg [Internet]. American Society of Tropical Medicine and Hygiene; 1998 [cited 2021 Jan 12];59:539–42. Available from: https://pubmed.ncbi.nlm.nih.gov/9790426/</w:t>
      </w:r>
    </w:p>
    <w:p w14:paraId="51EA671C"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24. Olliaro P. Mortality associated with severe Plasmodium falciparum malaria increases with age [Internet]. Clin. Infect. Dis. Clin Infect Dis; 2008 [cited 2021 Jan 12]. p. 158–60. Available from: https://pubmed.ncbi.nlm.nih.gov/18564928/</w:t>
      </w:r>
    </w:p>
    <w:p w14:paraId="28826BB3"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25. Dondorp AM, Fanello CI, Hendriksen ICE, Gomes E, Seni A, Chhaganlal KD, et al. Artesunate versus quinine in the treatment of severe falciparum malaria in African children (AQUAMAT): an open-label, randomised trial. Lancet. Elsevier; 2010;376:1647–57. </w:t>
      </w:r>
    </w:p>
    <w:p w14:paraId="2E6A734B"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26. Von Seidlein L, Olaosebikan R, Hendriksen ICE, Lee SJ, Adedoyin OT, Agbenyega T, et al. Predicting the clinical outcome of severe falciparum malaria in African children: Findings from a large randomized trial. Clin Infect Dis [Internet]. Clin Infect Dis; 2012 [cited 2021 Jan 7];54:1080–90. Available from: https://pubmed.ncbi.nlm.nih.gov/22412067/</w:t>
      </w:r>
    </w:p>
    <w:p w14:paraId="44D5BFBD"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27. Camponovo F, Bever CA, Galactionova K, Smith T, Penny MA. Incidence and admission rates for severe malaria and their impact on mortality in Africa. Malar J [Internet]. BioMed Central; 2017 [cited 2021 Jan 12];16:1–12. Available from: https://malariajournal.biomedcentral.com/articles/10.1186/s12936-016-1650-6</w:t>
      </w:r>
    </w:p>
    <w:p w14:paraId="5729980A"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lastRenderedPageBreak/>
        <w:t xml:space="preserve">28. Group† TA-QMS. A meta-analysis using individual patient data of trials comparing artemether with quinine in the treatment of severe falciparum malaria. Trans R Soc Trop Med Hyg. 2001;95:637–50. </w:t>
      </w:r>
    </w:p>
    <w:p w14:paraId="71BAA46D"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29. Thwing J, Eisele TP, Steketee RW. Protective efficacy of malaria case management for preventing malaria mortality in children: a systematic review for the Lives Saved Tool. BMC Public Health. 2011;11:S14. </w:t>
      </w:r>
    </w:p>
    <w:p w14:paraId="2042DFE9"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30. Greenberg AE, Ntumbanzondo M, Ntula N, Mawa L, Howell J, Davachi F. Hospital-based surveillance of malaria-related paediatric morbidity and mortality in Kinshasa, Zaire. Bull World Health Organ [Internet]. World Health Organization; 1989 [cited 2021 Jan 12];67:189–96. Available from: /pmc/articles/PMC2491235/?report=abstract</w:t>
      </w:r>
    </w:p>
    <w:p w14:paraId="4094C04A"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31. Zucker JR, Ruebush TK, Obonyo C, Otieno J, Campbell CC. The mortality consequences of the continued use of chloroquine in Africa: Experience in Siaya, Western Kenya. Am J Trop Med Hyg. 2003; </w:t>
      </w:r>
    </w:p>
    <w:p w14:paraId="25A1BE23"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32. Zucker JR, Lackritz EM, Ruebush TK, Hightower AW, Adungosi JE, Were JBO, et al. Childhood mortality during and after hospitalization in western Kenya: Effect of malaria treatment regimens. Am J Trop Med Hyg. 1996; </w:t>
      </w:r>
    </w:p>
    <w:p w14:paraId="490803BB"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33. Ross A, Maire N, Molineaux L, Smith T. An epidemiologic model of severe morbidity and mortality caused by Plasmodium falciparum. Am J Trop Med Hyg. 2006; </w:t>
      </w:r>
    </w:p>
    <w:p w14:paraId="5383ED8E"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34. Marsh K, Snow RW. Malaria transmission and morbidity. Parassitologia [Internet]. 1999 [cited 2021 Feb 16];41:241–6. Available from: https://europepmc.org/article/med/10697862</w:t>
      </w:r>
    </w:p>
    <w:p w14:paraId="073D4B83"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35. McCarthy KA, Wenger EA, Huynh GH, Eckhoff PA. Calibration of an intrahost malaria model and parameter ensemble evaluation of a pre-erythrocytic vaccine. Malar J [Internet]. BioMed Central Ltd.; 2015 [cited 2021 Feb 16];14:6. Available from: https://malariajournal.biomedcentral.com/articles/10.1186/1475-2875-14-6</w:t>
      </w:r>
    </w:p>
    <w:p w14:paraId="55869BC8"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36. Granja AC, Machungo F, Gomes A, Bergstrom S, Brabin B. Malaria related maternal mortality in Mozambique urban. Ann Trop Med Parasitol. 1998;92:257–63. </w:t>
      </w:r>
    </w:p>
    <w:p w14:paraId="28133487"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37. Schantz-Dunn J, Nour NM. Malaria and pregnancy: a global health perspective. Rev Obstet Gynecol. 2009; </w:t>
      </w:r>
    </w:p>
    <w:p w14:paraId="03D2F5F7"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38. Kalilani L, Mofolo I, Chaponda M, Rogerson SJ, Meshnick SR. The effect of timing and frequency of Plasmodium falciparum infection during pregnancy on the risk of low birth weight and maternal anemia. Trans R Soc Trop Med Hyg. 2010; </w:t>
      </w:r>
    </w:p>
    <w:p w14:paraId="4F32ACD1"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39. Huynh B-T, Fievet N, Gbaguidi G, Borgella S, Mévo BG, Massougbodji A, et al. Malaria associated symptoms in pregnant women followed-up in Benin. Malar J. 2011;10:72. </w:t>
      </w:r>
    </w:p>
    <w:p w14:paraId="661CAE95"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40. Brabin B. Malaria in pregnancy: current issues . African Heal  [Internet]. 1997 [cited 2021 Jan 12];19. Available from: https://pubmed.ncbi.nlm.nih.gov/12292301/</w:t>
      </w:r>
    </w:p>
    <w:p w14:paraId="7562701A"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41. Desai M, ter Kuile FO, Nosten F, McGready R, Asamoa K, Brabin B, et al. Epidemiology and burden of malaria in pregnancy [Internet]. Lancet Infect. Dis. Lancet Infect Dis; 2007 [cited 2021 Jan 12]. p. 93–104. Available from: https://pubmed.ncbi.nlm.nih.gov/17251080/</w:t>
      </w:r>
    </w:p>
    <w:p w14:paraId="5C739DD0"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42. Guyatt H, Snow R. The epidemiology and burden of Plasmodium falciparum-related anemia among pregnant women in sub-Saharan Africa. Am J Trop Med Hyg. 2001;64:36–44. </w:t>
      </w:r>
    </w:p>
    <w:p w14:paraId="5A7A24E1"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43. Shulman CE, Marshall T, Dorman EK, Bulmer JN, Cutts F, Peshu N, et al. Malaria in pregnancy: Adverse effects on haemoglobin levels and birthweight in primigravidae and multigravidae. Trop Med Int Heal [Internet]. Trop Med Int Health; 2001 [cited 2021 Jan 12];6:770–8. Available from: https://pubmed.ncbi.nlm.nih.gov/11679125/</w:t>
      </w:r>
    </w:p>
    <w:p w14:paraId="1AE5B04B"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44. Shulman CE, Dorman EK, Cutts F, Kawuondo K, Bulmer JN, Peshu N, et al. Intermittent sulphadoxine-pyrimethamine to prevent severe anaemia secondary to malaria in pregnancy: a randomised placebo-controlled trial. Lancet. 1999;353:632–6. </w:t>
      </w:r>
    </w:p>
    <w:p w14:paraId="78A8FDF1"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45. Asa OO, Onayade AA, Fatusi AO, Ijadunola KT, Abiona TC. Efficacy of Intermittent Preventive Treatment of Malaria with Sulphadoxine-pyrimethamine in Preventing Anaemia in Pregnancy among Nigerian Women. Matern Child Health J. 2008;12:692–8. </w:t>
      </w:r>
    </w:p>
    <w:p w14:paraId="0622F872"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lastRenderedPageBreak/>
        <w:t xml:space="preserve">46. Central Intelligence Agency. Nigeria. World Factb. 2021. </w:t>
      </w:r>
    </w:p>
    <w:p w14:paraId="06A1E47D"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47. Sirima SB, Cotte AH, Konaté A, Moran AC, Asamoa K, Bougouma EC, et al. Malaria prevention during pregnancy: Assessing the disease burden one year after implementing a program of intermittent preventive treatment in Koupéla District, Burkina Faso. Am J Trop Med Hyg. 2006; </w:t>
      </w:r>
    </w:p>
    <w:p w14:paraId="0BC7564C"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48. Rogerson SJ. Management of malaria in pregnancy. Indian J. Med. Res. 2017. </w:t>
      </w:r>
    </w:p>
    <w:p w14:paraId="79464EA3"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49. Luxemburger C, McGready R, Kham A, Morison L, Cho T, Chongsuphajaisiddhi T, et al. Effects of malaria during pregnancy on infant mortality in an area of low malaria transmission. Am J Epidemiol. 2001; </w:t>
      </w:r>
    </w:p>
    <w:p w14:paraId="1943C9CA"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50. Steketee RW, Nahlen BL, Parise ME, Menendez C. The burden of malaria in pregnancy in malaria-endemic areas. Am J Trop Med Hyg. 2001. </w:t>
      </w:r>
    </w:p>
    <w:p w14:paraId="58A1068D"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51. Valea I, Tinto H, Drabo MK, Huybregts L, Sorgho H, Ouedraogo J-B, et al. An analysis of timing and frequency of malaria infection during pregnancy in relation to the risk of low birth weight, anaemia and perinatal mortality in Burkina Faso. Malar J. 2012;11:71. </w:t>
      </w:r>
    </w:p>
    <w:p w14:paraId="34852398"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52. Bardají A, Sigauque B, Sanz S, Maixenchs M, Ordi J, Aponte JJ, et al. Impact of Malaria at the End of Pregnancy on Infant Mortality and Morbidity. J Infect Dis. 2011;203:691–9. </w:t>
      </w:r>
    </w:p>
    <w:p w14:paraId="72B345EC"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53. Menéndez C, Bardají A, Sigauque B, Sanz S, Aponte JJ, Mabunda S, et al. Malaria prevention with IPTp during pregnancy reduces neonatal mortality. PLoS One. 2010; </w:t>
      </w:r>
    </w:p>
    <w:p w14:paraId="628E686B"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 xml:space="preserve">54. He Z, Bishwajit G, Yaya S, Cheng Z, Zou D, Zhou Y. Prevalence of low birth weight and its association with maternal body weight status in selected countries in Africa: A cross-sectional study. BMJ Open. 2018; </w:t>
      </w:r>
    </w:p>
    <w:p w14:paraId="0C48AA1D" w14:textId="77777777" w:rsidR="00C72B9D" w:rsidRPr="00C72B9D" w:rsidRDefault="00C72B9D" w:rsidP="00C72B9D">
      <w:pPr>
        <w:widowControl w:val="0"/>
        <w:autoSpaceDE w:val="0"/>
        <w:autoSpaceDN w:val="0"/>
        <w:adjustRightInd w:val="0"/>
        <w:spacing w:after="0" w:line="240" w:lineRule="auto"/>
        <w:rPr>
          <w:rFonts w:ascii="Calibri" w:hAnsi="Calibri" w:cs="Calibri"/>
          <w:noProof/>
          <w:szCs w:val="24"/>
        </w:rPr>
      </w:pPr>
      <w:r w:rsidRPr="00C72B9D">
        <w:rPr>
          <w:rFonts w:ascii="Calibri" w:hAnsi="Calibri" w:cs="Calibri"/>
          <w:noProof/>
          <w:szCs w:val="24"/>
        </w:rPr>
        <w:t>55. Central Intelligence Agency. Burkina Faso [Internet]. World Factb. 2017. Available from: https://www.cia.gov/the-world-factbook/countries/burkina-faso/#people-and-society</w:t>
      </w:r>
    </w:p>
    <w:p w14:paraId="5AB2DAD3" w14:textId="77777777" w:rsidR="00C72B9D" w:rsidRPr="00C72B9D" w:rsidRDefault="00C72B9D" w:rsidP="00C72B9D">
      <w:pPr>
        <w:widowControl w:val="0"/>
        <w:autoSpaceDE w:val="0"/>
        <w:autoSpaceDN w:val="0"/>
        <w:adjustRightInd w:val="0"/>
        <w:spacing w:after="0" w:line="240" w:lineRule="auto"/>
        <w:rPr>
          <w:rFonts w:ascii="Calibri" w:hAnsi="Calibri" w:cs="Calibri"/>
          <w:noProof/>
        </w:rPr>
      </w:pPr>
      <w:r w:rsidRPr="00C72B9D">
        <w:rPr>
          <w:rFonts w:ascii="Calibri" w:hAnsi="Calibri" w:cs="Calibri"/>
          <w:noProof/>
          <w:szCs w:val="24"/>
        </w:rPr>
        <w:t xml:space="preserve">56. Kayentao K, Garner P, Maria van Eijk A, Naidoo I, Roper C, Mulokozi A, et al. Intermittent Preventive Therapy for Malaria During Pregnancy Using 2 vs 3 or More Doses of Sulfadoxine-Pyrimethamine and Risk of Low Birth Weight in Africa: Systematic Review and Meta-analysis. JAMA. 2013;309:594–604. </w:t>
      </w:r>
    </w:p>
    <w:p w14:paraId="00A9E61A" w14:textId="6E9A5211" w:rsidR="008F573B" w:rsidRPr="00455A3C" w:rsidRDefault="008F573B" w:rsidP="005354EA">
      <w:pPr>
        <w:spacing w:after="0" w:line="276" w:lineRule="auto"/>
        <w:contextualSpacing/>
        <w:rPr>
          <w:rFonts w:cstheme="minorHAnsi"/>
        </w:rPr>
      </w:pPr>
      <w:r w:rsidRPr="00C0372B">
        <w:rPr>
          <w:rFonts w:cstheme="minorHAnsi"/>
        </w:rPr>
        <w:fldChar w:fldCharType="end"/>
      </w:r>
    </w:p>
    <w:sectPr w:rsidR="008F573B" w:rsidRPr="00455A3C">
      <w:footerReference w:type="default" r:id="rId3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6" w:author="Jaline Gerardin" w:date="2021-04-14T21:41:00Z" w:initials="JG">
    <w:p w14:paraId="67FE1092" w14:textId="72E2D4EC" w:rsidR="00100ED8" w:rsidRDefault="00100ED8">
      <w:pPr>
        <w:pStyle w:val="CommentText"/>
      </w:pPr>
      <w:r>
        <w:rPr>
          <w:rStyle w:val="CommentReference"/>
        </w:rPr>
        <w:annotationRef/>
      </w:r>
      <w:r>
        <w:t>@Bea can you supply IPTi eligibility criteria for NGA?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7FE109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21DFFC" w16cex:dateUtc="2021-04-15T02: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7FE1092" w16cid:durableId="2421DFF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4241A" w14:textId="77777777" w:rsidR="00702931" w:rsidRDefault="00702931" w:rsidP="0066235F">
      <w:pPr>
        <w:spacing w:after="0" w:line="240" w:lineRule="auto"/>
      </w:pPr>
      <w:r>
        <w:separator/>
      </w:r>
    </w:p>
  </w:endnote>
  <w:endnote w:type="continuationSeparator" w:id="0">
    <w:p w14:paraId="321F20B7" w14:textId="77777777" w:rsidR="00702931" w:rsidRDefault="00702931" w:rsidP="006623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2335166"/>
      <w:docPartObj>
        <w:docPartGallery w:val="Page Numbers (Bottom of Page)"/>
        <w:docPartUnique/>
      </w:docPartObj>
    </w:sdtPr>
    <w:sdtEndPr>
      <w:rPr>
        <w:noProof/>
      </w:rPr>
    </w:sdtEndPr>
    <w:sdtContent>
      <w:p w14:paraId="3F582FF9" w14:textId="2B2B15F2" w:rsidR="00100ED8" w:rsidRDefault="00100ED8">
        <w:pPr>
          <w:pStyle w:val="Footer"/>
          <w:jc w:val="right"/>
        </w:pPr>
        <w:r>
          <w:fldChar w:fldCharType="begin"/>
        </w:r>
        <w:r>
          <w:instrText xml:space="preserve"> PAGE   \* MERGEFORMAT </w:instrText>
        </w:r>
        <w:r>
          <w:fldChar w:fldCharType="separate"/>
        </w:r>
        <w:r w:rsidR="00842B21">
          <w:rPr>
            <w:noProof/>
          </w:rPr>
          <w:t>5</w:t>
        </w:r>
        <w:r>
          <w:rPr>
            <w:noProof/>
          </w:rPr>
          <w:fldChar w:fldCharType="end"/>
        </w:r>
      </w:p>
    </w:sdtContent>
  </w:sdt>
  <w:p w14:paraId="0643F09E" w14:textId="77777777" w:rsidR="00100ED8" w:rsidRDefault="00100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9EA9AF" w14:textId="77777777" w:rsidR="00702931" w:rsidRDefault="00702931" w:rsidP="0066235F">
      <w:pPr>
        <w:spacing w:after="0" w:line="240" w:lineRule="auto"/>
      </w:pPr>
      <w:r>
        <w:separator/>
      </w:r>
    </w:p>
  </w:footnote>
  <w:footnote w:type="continuationSeparator" w:id="0">
    <w:p w14:paraId="380A8E91" w14:textId="77777777" w:rsidR="00702931" w:rsidRDefault="00702931" w:rsidP="006623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F5C2E"/>
    <w:multiLevelType w:val="hybridMultilevel"/>
    <w:tmpl w:val="1756B9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2511B0"/>
    <w:multiLevelType w:val="hybridMultilevel"/>
    <w:tmpl w:val="0A76B9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9259D3"/>
    <w:multiLevelType w:val="hybridMultilevel"/>
    <w:tmpl w:val="77A8DC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414B54"/>
    <w:multiLevelType w:val="hybridMultilevel"/>
    <w:tmpl w:val="3370E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E51A76"/>
    <w:multiLevelType w:val="hybridMultilevel"/>
    <w:tmpl w:val="79B201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0869D7"/>
    <w:multiLevelType w:val="hybridMultilevel"/>
    <w:tmpl w:val="08ECA66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96830F9"/>
    <w:multiLevelType w:val="hybridMultilevel"/>
    <w:tmpl w:val="08ECA66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4E2522"/>
    <w:multiLevelType w:val="hybridMultilevel"/>
    <w:tmpl w:val="F2ECD8E2"/>
    <w:lvl w:ilvl="0" w:tplc="32C643D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6C26C9"/>
    <w:multiLevelType w:val="hybridMultilevel"/>
    <w:tmpl w:val="230007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E35B18"/>
    <w:multiLevelType w:val="hybridMultilevel"/>
    <w:tmpl w:val="DFAECE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86B166A"/>
    <w:multiLevelType w:val="hybridMultilevel"/>
    <w:tmpl w:val="F104D4B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9D106C"/>
    <w:multiLevelType w:val="hybridMultilevel"/>
    <w:tmpl w:val="EED4DF60"/>
    <w:lvl w:ilvl="0" w:tplc="435EBC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A847B6"/>
    <w:multiLevelType w:val="hybridMultilevel"/>
    <w:tmpl w:val="77A8DC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255365"/>
    <w:multiLevelType w:val="hybridMultilevel"/>
    <w:tmpl w:val="3ADA3F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507A1C"/>
    <w:multiLevelType w:val="hybridMultilevel"/>
    <w:tmpl w:val="2D1C0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B462D3"/>
    <w:multiLevelType w:val="hybridMultilevel"/>
    <w:tmpl w:val="F104D4B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D27744"/>
    <w:multiLevelType w:val="hybridMultilevel"/>
    <w:tmpl w:val="DC0A162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547611"/>
    <w:multiLevelType w:val="hybridMultilevel"/>
    <w:tmpl w:val="A8124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1FE7E03"/>
    <w:multiLevelType w:val="hybridMultilevel"/>
    <w:tmpl w:val="B20E3956"/>
    <w:lvl w:ilvl="0" w:tplc="C02C0F8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6B14DD"/>
    <w:multiLevelType w:val="hybridMultilevel"/>
    <w:tmpl w:val="480686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E138E2"/>
    <w:multiLevelType w:val="hybridMultilevel"/>
    <w:tmpl w:val="D310A966"/>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2128312687">
    <w:abstractNumId w:val="0"/>
  </w:num>
  <w:num w:numId="2" w16cid:durableId="255865164">
    <w:abstractNumId w:val="12"/>
  </w:num>
  <w:num w:numId="3" w16cid:durableId="1402488355">
    <w:abstractNumId w:val="13"/>
  </w:num>
  <w:num w:numId="4" w16cid:durableId="386999800">
    <w:abstractNumId w:val="4"/>
  </w:num>
  <w:num w:numId="5" w16cid:durableId="507869009">
    <w:abstractNumId w:val="1"/>
  </w:num>
  <w:num w:numId="6" w16cid:durableId="695693401">
    <w:abstractNumId w:val="9"/>
  </w:num>
  <w:num w:numId="7" w16cid:durableId="130951268">
    <w:abstractNumId w:val="2"/>
  </w:num>
  <w:num w:numId="8" w16cid:durableId="140772358">
    <w:abstractNumId w:val="20"/>
  </w:num>
  <w:num w:numId="9" w16cid:durableId="1385103730">
    <w:abstractNumId w:val="7"/>
  </w:num>
  <w:num w:numId="10" w16cid:durableId="1491865668">
    <w:abstractNumId w:val="3"/>
  </w:num>
  <w:num w:numId="11" w16cid:durableId="261687267">
    <w:abstractNumId w:val="14"/>
  </w:num>
  <w:num w:numId="12" w16cid:durableId="166559278">
    <w:abstractNumId w:val="8"/>
  </w:num>
  <w:num w:numId="13" w16cid:durableId="1583176129">
    <w:abstractNumId w:val="17"/>
  </w:num>
  <w:num w:numId="14" w16cid:durableId="785581314">
    <w:abstractNumId w:val="6"/>
  </w:num>
  <w:num w:numId="15" w16cid:durableId="915283859">
    <w:abstractNumId w:val="15"/>
  </w:num>
  <w:num w:numId="16" w16cid:durableId="2131706573">
    <w:abstractNumId w:val="11"/>
  </w:num>
  <w:num w:numId="17" w16cid:durableId="1381710899">
    <w:abstractNumId w:val="18"/>
  </w:num>
  <w:num w:numId="18" w16cid:durableId="979649544">
    <w:abstractNumId w:val="19"/>
  </w:num>
  <w:num w:numId="19" w16cid:durableId="501623968">
    <w:abstractNumId w:val="16"/>
  </w:num>
  <w:num w:numId="20" w16cid:durableId="378821216">
    <w:abstractNumId w:val="10"/>
  </w:num>
  <w:num w:numId="21" w16cid:durableId="75825766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line Gerardin">
    <w15:presenceInfo w15:providerId="AD" w15:userId="S::jlg1657@ads.northwestern.edu::4ab15fcb-f32b-4bb1-84ee-e1dbce7565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94C"/>
    <w:rsid w:val="00000894"/>
    <w:rsid w:val="000014CB"/>
    <w:rsid w:val="00004214"/>
    <w:rsid w:val="0000489F"/>
    <w:rsid w:val="00006623"/>
    <w:rsid w:val="000068D2"/>
    <w:rsid w:val="00007D85"/>
    <w:rsid w:val="00011747"/>
    <w:rsid w:val="00016966"/>
    <w:rsid w:val="00017C23"/>
    <w:rsid w:val="0002332A"/>
    <w:rsid w:val="000255A9"/>
    <w:rsid w:val="000268B5"/>
    <w:rsid w:val="0003337B"/>
    <w:rsid w:val="0003429E"/>
    <w:rsid w:val="0003633C"/>
    <w:rsid w:val="00041772"/>
    <w:rsid w:val="00042A3D"/>
    <w:rsid w:val="00044B54"/>
    <w:rsid w:val="00051BFE"/>
    <w:rsid w:val="00055762"/>
    <w:rsid w:val="00056F54"/>
    <w:rsid w:val="00057F63"/>
    <w:rsid w:val="000634BA"/>
    <w:rsid w:val="00063917"/>
    <w:rsid w:val="00064909"/>
    <w:rsid w:val="00065A67"/>
    <w:rsid w:val="00072CC3"/>
    <w:rsid w:val="00074DBD"/>
    <w:rsid w:val="000757E8"/>
    <w:rsid w:val="0007609E"/>
    <w:rsid w:val="00076B8D"/>
    <w:rsid w:val="00082310"/>
    <w:rsid w:val="000858AF"/>
    <w:rsid w:val="00086FDB"/>
    <w:rsid w:val="0009040E"/>
    <w:rsid w:val="00093FA6"/>
    <w:rsid w:val="00094054"/>
    <w:rsid w:val="0009662D"/>
    <w:rsid w:val="000A0FC9"/>
    <w:rsid w:val="000A2456"/>
    <w:rsid w:val="000A318C"/>
    <w:rsid w:val="000A34EE"/>
    <w:rsid w:val="000A37A4"/>
    <w:rsid w:val="000A550C"/>
    <w:rsid w:val="000A7B79"/>
    <w:rsid w:val="000A7D7F"/>
    <w:rsid w:val="000B10B1"/>
    <w:rsid w:val="000B19D0"/>
    <w:rsid w:val="000B36A1"/>
    <w:rsid w:val="000C2C66"/>
    <w:rsid w:val="000C3444"/>
    <w:rsid w:val="000C5C56"/>
    <w:rsid w:val="000C7460"/>
    <w:rsid w:val="000C7AE6"/>
    <w:rsid w:val="000D0F69"/>
    <w:rsid w:val="000D512D"/>
    <w:rsid w:val="000D5C80"/>
    <w:rsid w:val="000D62A0"/>
    <w:rsid w:val="000E01B7"/>
    <w:rsid w:val="000E0DD5"/>
    <w:rsid w:val="000E2C80"/>
    <w:rsid w:val="000E6D2C"/>
    <w:rsid w:val="000E7F2D"/>
    <w:rsid w:val="000F1671"/>
    <w:rsid w:val="000F3EB6"/>
    <w:rsid w:val="000F6829"/>
    <w:rsid w:val="001009AD"/>
    <w:rsid w:val="00100ED8"/>
    <w:rsid w:val="001017B7"/>
    <w:rsid w:val="00101A45"/>
    <w:rsid w:val="00102EB1"/>
    <w:rsid w:val="0010531E"/>
    <w:rsid w:val="0010706C"/>
    <w:rsid w:val="001123DF"/>
    <w:rsid w:val="00120AA9"/>
    <w:rsid w:val="0012501D"/>
    <w:rsid w:val="00126FF0"/>
    <w:rsid w:val="00135CAD"/>
    <w:rsid w:val="001416E5"/>
    <w:rsid w:val="00142144"/>
    <w:rsid w:val="00145036"/>
    <w:rsid w:val="0014658B"/>
    <w:rsid w:val="00146963"/>
    <w:rsid w:val="001528C8"/>
    <w:rsid w:val="0015568D"/>
    <w:rsid w:val="00165D2E"/>
    <w:rsid w:val="00174EE0"/>
    <w:rsid w:val="00176EF3"/>
    <w:rsid w:val="00177E79"/>
    <w:rsid w:val="00181E58"/>
    <w:rsid w:val="00186A99"/>
    <w:rsid w:val="0019459C"/>
    <w:rsid w:val="00194AAF"/>
    <w:rsid w:val="00197093"/>
    <w:rsid w:val="001A230D"/>
    <w:rsid w:val="001A273B"/>
    <w:rsid w:val="001A7989"/>
    <w:rsid w:val="001B09CA"/>
    <w:rsid w:val="001B2AC8"/>
    <w:rsid w:val="001B531F"/>
    <w:rsid w:val="001B661D"/>
    <w:rsid w:val="001C2936"/>
    <w:rsid w:val="001C410C"/>
    <w:rsid w:val="001C796F"/>
    <w:rsid w:val="001C7D36"/>
    <w:rsid w:val="001D0296"/>
    <w:rsid w:val="001D2BE1"/>
    <w:rsid w:val="001D365C"/>
    <w:rsid w:val="001D582E"/>
    <w:rsid w:val="001E20A1"/>
    <w:rsid w:val="001F0DE0"/>
    <w:rsid w:val="001F2B1C"/>
    <w:rsid w:val="00201BDA"/>
    <w:rsid w:val="00201DED"/>
    <w:rsid w:val="00207611"/>
    <w:rsid w:val="00215D9E"/>
    <w:rsid w:val="00223BD8"/>
    <w:rsid w:val="002251F0"/>
    <w:rsid w:val="002258DF"/>
    <w:rsid w:val="00230254"/>
    <w:rsid w:val="00230B53"/>
    <w:rsid w:val="00230D73"/>
    <w:rsid w:val="0023177E"/>
    <w:rsid w:val="00241AEE"/>
    <w:rsid w:val="002462C1"/>
    <w:rsid w:val="00256761"/>
    <w:rsid w:val="0026252B"/>
    <w:rsid w:val="002641E6"/>
    <w:rsid w:val="002671A9"/>
    <w:rsid w:val="00271F2B"/>
    <w:rsid w:val="002729E1"/>
    <w:rsid w:val="0027421E"/>
    <w:rsid w:val="00274F72"/>
    <w:rsid w:val="00276BBC"/>
    <w:rsid w:val="00280A02"/>
    <w:rsid w:val="002816D0"/>
    <w:rsid w:val="00287883"/>
    <w:rsid w:val="002879BD"/>
    <w:rsid w:val="002953C8"/>
    <w:rsid w:val="002A2585"/>
    <w:rsid w:val="002A3157"/>
    <w:rsid w:val="002A47DC"/>
    <w:rsid w:val="002A574F"/>
    <w:rsid w:val="002A69AA"/>
    <w:rsid w:val="002A6F5B"/>
    <w:rsid w:val="002A7926"/>
    <w:rsid w:val="002B06AA"/>
    <w:rsid w:val="002B517A"/>
    <w:rsid w:val="002C2418"/>
    <w:rsid w:val="002C29C7"/>
    <w:rsid w:val="002C2AC2"/>
    <w:rsid w:val="002C3EB9"/>
    <w:rsid w:val="002C65C4"/>
    <w:rsid w:val="002C730B"/>
    <w:rsid w:val="002C7B30"/>
    <w:rsid w:val="002D22F3"/>
    <w:rsid w:val="002D31BE"/>
    <w:rsid w:val="002D5242"/>
    <w:rsid w:val="002E7EE1"/>
    <w:rsid w:val="002F709D"/>
    <w:rsid w:val="002F7197"/>
    <w:rsid w:val="00302E20"/>
    <w:rsid w:val="00307797"/>
    <w:rsid w:val="00310A6B"/>
    <w:rsid w:val="00310C2A"/>
    <w:rsid w:val="003140B2"/>
    <w:rsid w:val="00315306"/>
    <w:rsid w:val="00317FA0"/>
    <w:rsid w:val="00322109"/>
    <w:rsid w:val="00324D0D"/>
    <w:rsid w:val="0032733E"/>
    <w:rsid w:val="0033010D"/>
    <w:rsid w:val="00331719"/>
    <w:rsid w:val="00340E82"/>
    <w:rsid w:val="0034707B"/>
    <w:rsid w:val="003475FC"/>
    <w:rsid w:val="0035219F"/>
    <w:rsid w:val="00352C27"/>
    <w:rsid w:val="00354FF8"/>
    <w:rsid w:val="0035545C"/>
    <w:rsid w:val="00360F0C"/>
    <w:rsid w:val="00365EE3"/>
    <w:rsid w:val="00366C5C"/>
    <w:rsid w:val="00366CE0"/>
    <w:rsid w:val="0036760E"/>
    <w:rsid w:val="003747BC"/>
    <w:rsid w:val="00375D2F"/>
    <w:rsid w:val="003769C0"/>
    <w:rsid w:val="00376CE5"/>
    <w:rsid w:val="00377132"/>
    <w:rsid w:val="003779D9"/>
    <w:rsid w:val="00377CE9"/>
    <w:rsid w:val="0038060A"/>
    <w:rsid w:val="00380A66"/>
    <w:rsid w:val="003814A7"/>
    <w:rsid w:val="00387257"/>
    <w:rsid w:val="00390735"/>
    <w:rsid w:val="00392D70"/>
    <w:rsid w:val="00397750"/>
    <w:rsid w:val="003A0A7A"/>
    <w:rsid w:val="003A1FC5"/>
    <w:rsid w:val="003B1094"/>
    <w:rsid w:val="003B1C9E"/>
    <w:rsid w:val="003C59CF"/>
    <w:rsid w:val="003D1B4E"/>
    <w:rsid w:val="003D583B"/>
    <w:rsid w:val="003D68B3"/>
    <w:rsid w:val="003E306B"/>
    <w:rsid w:val="003E5641"/>
    <w:rsid w:val="003E57C7"/>
    <w:rsid w:val="003F3377"/>
    <w:rsid w:val="003F3A8A"/>
    <w:rsid w:val="003F569D"/>
    <w:rsid w:val="003F7509"/>
    <w:rsid w:val="00414D4B"/>
    <w:rsid w:val="0041686C"/>
    <w:rsid w:val="004168EE"/>
    <w:rsid w:val="00420A8A"/>
    <w:rsid w:val="00422FB5"/>
    <w:rsid w:val="00423D23"/>
    <w:rsid w:val="0042552E"/>
    <w:rsid w:val="004279AB"/>
    <w:rsid w:val="004322FE"/>
    <w:rsid w:val="00432932"/>
    <w:rsid w:val="00434927"/>
    <w:rsid w:val="00434A5A"/>
    <w:rsid w:val="00434B92"/>
    <w:rsid w:val="00435842"/>
    <w:rsid w:val="00435BCA"/>
    <w:rsid w:val="00435D21"/>
    <w:rsid w:val="0044103B"/>
    <w:rsid w:val="004459BF"/>
    <w:rsid w:val="00447CB5"/>
    <w:rsid w:val="0045311C"/>
    <w:rsid w:val="00455A3C"/>
    <w:rsid w:val="00455E51"/>
    <w:rsid w:val="004573FE"/>
    <w:rsid w:val="004618D4"/>
    <w:rsid w:val="004637C6"/>
    <w:rsid w:val="004656FA"/>
    <w:rsid w:val="00466950"/>
    <w:rsid w:val="004678CC"/>
    <w:rsid w:val="0047139D"/>
    <w:rsid w:val="00472C1A"/>
    <w:rsid w:val="004870DF"/>
    <w:rsid w:val="00492574"/>
    <w:rsid w:val="00494E03"/>
    <w:rsid w:val="00496375"/>
    <w:rsid w:val="004A3174"/>
    <w:rsid w:val="004A5ED3"/>
    <w:rsid w:val="004A7DE3"/>
    <w:rsid w:val="004B3D98"/>
    <w:rsid w:val="004C0534"/>
    <w:rsid w:val="004C2205"/>
    <w:rsid w:val="004C5E7C"/>
    <w:rsid w:val="004C7202"/>
    <w:rsid w:val="004D1DD5"/>
    <w:rsid w:val="004D50F1"/>
    <w:rsid w:val="004D5FB2"/>
    <w:rsid w:val="004D60B8"/>
    <w:rsid w:val="004D7567"/>
    <w:rsid w:val="004E0E26"/>
    <w:rsid w:val="004E19EF"/>
    <w:rsid w:val="004F16CC"/>
    <w:rsid w:val="0050161E"/>
    <w:rsid w:val="005042B0"/>
    <w:rsid w:val="00507F64"/>
    <w:rsid w:val="00512D52"/>
    <w:rsid w:val="00513522"/>
    <w:rsid w:val="00513DFB"/>
    <w:rsid w:val="005171EE"/>
    <w:rsid w:val="0052216C"/>
    <w:rsid w:val="00524A75"/>
    <w:rsid w:val="00526191"/>
    <w:rsid w:val="005354EA"/>
    <w:rsid w:val="00536278"/>
    <w:rsid w:val="00537BC9"/>
    <w:rsid w:val="005411E1"/>
    <w:rsid w:val="00545916"/>
    <w:rsid w:val="0054648C"/>
    <w:rsid w:val="00547508"/>
    <w:rsid w:val="00547CFF"/>
    <w:rsid w:val="00550196"/>
    <w:rsid w:val="00551055"/>
    <w:rsid w:val="005533EE"/>
    <w:rsid w:val="00555DB2"/>
    <w:rsid w:val="0055751D"/>
    <w:rsid w:val="00562BB5"/>
    <w:rsid w:val="00563547"/>
    <w:rsid w:val="00566A7C"/>
    <w:rsid w:val="0057068D"/>
    <w:rsid w:val="005709DE"/>
    <w:rsid w:val="005766BD"/>
    <w:rsid w:val="00583153"/>
    <w:rsid w:val="00587171"/>
    <w:rsid w:val="00596B37"/>
    <w:rsid w:val="0059745E"/>
    <w:rsid w:val="005B1D63"/>
    <w:rsid w:val="005B40AE"/>
    <w:rsid w:val="005C34F6"/>
    <w:rsid w:val="005C3CE3"/>
    <w:rsid w:val="005C5235"/>
    <w:rsid w:val="005D55F3"/>
    <w:rsid w:val="005D725F"/>
    <w:rsid w:val="005D742D"/>
    <w:rsid w:val="005E1EE1"/>
    <w:rsid w:val="005F0203"/>
    <w:rsid w:val="005F2430"/>
    <w:rsid w:val="005F3A75"/>
    <w:rsid w:val="005F3AA4"/>
    <w:rsid w:val="005F3CBF"/>
    <w:rsid w:val="005F4BC5"/>
    <w:rsid w:val="005F529C"/>
    <w:rsid w:val="005F596D"/>
    <w:rsid w:val="005F5E46"/>
    <w:rsid w:val="005F6802"/>
    <w:rsid w:val="005F691B"/>
    <w:rsid w:val="005F6925"/>
    <w:rsid w:val="006002FB"/>
    <w:rsid w:val="00604185"/>
    <w:rsid w:val="0060661A"/>
    <w:rsid w:val="0060768D"/>
    <w:rsid w:val="00607EBB"/>
    <w:rsid w:val="00615506"/>
    <w:rsid w:val="00617353"/>
    <w:rsid w:val="00626369"/>
    <w:rsid w:val="006275A5"/>
    <w:rsid w:val="00627ECF"/>
    <w:rsid w:val="0063393E"/>
    <w:rsid w:val="00643E18"/>
    <w:rsid w:val="006468E3"/>
    <w:rsid w:val="00647D5E"/>
    <w:rsid w:val="00651C5C"/>
    <w:rsid w:val="00651DE2"/>
    <w:rsid w:val="006538ED"/>
    <w:rsid w:val="0065433C"/>
    <w:rsid w:val="00654471"/>
    <w:rsid w:val="006556F4"/>
    <w:rsid w:val="006562F5"/>
    <w:rsid w:val="0065718E"/>
    <w:rsid w:val="0066235F"/>
    <w:rsid w:val="00663622"/>
    <w:rsid w:val="00664A69"/>
    <w:rsid w:val="0067171F"/>
    <w:rsid w:val="00672D43"/>
    <w:rsid w:val="0067492B"/>
    <w:rsid w:val="00676885"/>
    <w:rsid w:val="00681103"/>
    <w:rsid w:val="006861C0"/>
    <w:rsid w:val="00694B9F"/>
    <w:rsid w:val="006971F4"/>
    <w:rsid w:val="006A4212"/>
    <w:rsid w:val="006A6668"/>
    <w:rsid w:val="006A73BA"/>
    <w:rsid w:val="006B40FB"/>
    <w:rsid w:val="006B7211"/>
    <w:rsid w:val="006B7343"/>
    <w:rsid w:val="006B7442"/>
    <w:rsid w:val="006C05D5"/>
    <w:rsid w:val="006C0BA7"/>
    <w:rsid w:val="006C46D4"/>
    <w:rsid w:val="006C5088"/>
    <w:rsid w:val="006C5141"/>
    <w:rsid w:val="006C7814"/>
    <w:rsid w:val="006D250A"/>
    <w:rsid w:val="006D2EFE"/>
    <w:rsid w:val="006D3145"/>
    <w:rsid w:val="006D3739"/>
    <w:rsid w:val="006D391E"/>
    <w:rsid w:val="006D3A3E"/>
    <w:rsid w:val="006D6AE3"/>
    <w:rsid w:val="006D6F03"/>
    <w:rsid w:val="006D7EB6"/>
    <w:rsid w:val="006D7F3D"/>
    <w:rsid w:val="006E01EF"/>
    <w:rsid w:val="006E19EE"/>
    <w:rsid w:val="006E3345"/>
    <w:rsid w:val="006E65BA"/>
    <w:rsid w:val="006E7E73"/>
    <w:rsid w:val="006F10F4"/>
    <w:rsid w:val="006F3728"/>
    <w:rsid w:val="006F4F1F"/>
    <w:rsid w:val="00702931"/>
    <w:rsid w:val="00710CF5"/>
    <w:rsid w:val="007143BD"/>
    <w:rsid w:val="007176D6"/>
    <w:rsid w:val="007239B9"/>
    <w:rsid w:val="00726936"/>
    <w:rsid w:val="007277DE"/>
    <w:rsid w:val="00731777"/>
    <w:rsid w:val="00734595"/>
    <w:rsid w:val="00734CE4"/>
    <w:rsid w:val="00735755"/>
    <w:rsid w:val="007360E2"/>
    <w:rsid w:val="007406B0"/>
    <w:rsid w:val="00741F6B"/>
    <w:rsid w:val="00747B8D"/>
    <w:rsid w:val="0075617C"/>
    <w:rsid w:val="00763B29"/>
    <w:rsid w:val="007643FA"/>
    <w:rsid w:val="007648C3"/>
    <w:rsid w:val="00767486"/>
    <w:rsid w:val="00767605"/>
    <w:rsid w:val="00773125"/>
    <w:rsid w:val="00774AD1"/>
    <w:rsid w:val="00781ECC"/>
    <w:rsid w:val="00787C64"/>
    <w:rsid w:val="00793C20"/>
    <w:rsid w:val="00797322"/>
    <w:rsid w:val="007A11DE"/>
    <w:rsid w:val="007A33AA"/>
    <w:rsid w:val="007A4073"/>
    <w:rsid w:val="007A4640"/>
    <w:rsid w:val="007A4730"/>
    <w:rsid w:val="007A56FC"/>
    <w:rsid w:val="007A5B04"/>
    <w:rsid w:val="007A6265"/>
    <w:rsid w:val="007A6AA2"/>
    <w:rsid w:val="007A7F3C"/>
    <w:rsid w:val="007B2BFB"/>
    <w:rsid w:val="007B5893"/>
    <w:rsid w:val="007B5D16"/>
    <w:rsid w:val="007B66B9"/>
    <w:rsid w:val="007B66F6"/>
    <w:rsid w:val="007B6AFC"/>
    <w:rsid w:val="007B6D24"/>
    <w:rsid w:val="007C61A0"/>
    <w:rsid w:val="007D00F6"/>
    <w:rsid w:val="007D0494"/>
    <w:rsid w:val="007D3594"/>
    <w:rsid w:val="007D37EE"/>
    <w:rsid w:val="007D473E"/>
    <w:rsid w:val="007D6804"/>
    <w:rsid w:val="007D76CA"/>
    <w:rsid w:val="007E0647"/>
    <w:rsid w:val="007E06CD"/>
    <w:rsid w:val="007E1763"/>
    <w:rsid w:val="007E2FB7"/>
    <w:rsid w:val="007F1669"/>
    <w:rsid w:val="007F7C1D"/>
    <w:rsid w:val="00804212"/>
    <w:rsid w:val="00807A36"/>
    <w:rsid w:val="008130CC"/>
    <w:rsid w:val="0081310E"/>
    <w:rsid w:val="0081386D"/>
    <w:rsid w:val="00814A9E"/>
    <w:rsid w:val="0081571B"/>
    <w:rsid w:val="00816890"/>
    <w:rsid w:val="008171B2"/>
    <w:rsid w:val="0082349C"/>
    <w:rsid w:val="00825A97"/>
    <w:rsid w:val="00830149"/>
    <w:rsid w:val="00830FF6"/>
    <w:rsid w:val="008313AA"/>
    <w:rsid w:val="00834254"/>
    <w:rsid w:val="0083499A"/>
    <w:rsid w:val="00836B81"/>
    <w:rsid w:val="00836BEC"/>
    <w:rsid w:val="00842B21"/>
    <w:rsid w:val="00842E49"/>
    <w:rsid w:val="00852310"/>
    <w:rsid w:val="008541CE"/>
    <w:rsid w:val="0086515C"/>
    <w:rsid w:val="008667B5"/>
    <w:rsid w:val="00867B1D"/>
    <w:rsid w:val="008711C5"/>
    <w:rsid w:val="0087138D"/>
    <w:rsid w:val="008721DF"/>
    <w:rsid w:val="00872A40"/>
    <w:rsid w:val="0087489B"/>
    <w:rsid w:val="00880BD2"/>
    <w:rsid w:val="008815C4"/>
    <w:rsid w:val="008822F9"/>
    <w:rsid w:val="00882BA0"/>
    <w:rsid w:val="00882F70"/>
    <w:rsid w:val="0088647B"/>
    <w:rsid w:val="008878D6"/>
    <w:rsid w:val="00892EDB"/>
    <w:rsid w:val="008A02C4"/>
    <w:rsid w:val="008A20C7"/>
    <w:rsid w:val="008A20CE"/>
    <w:rsid w:val="008B0C24"/>
    <w:rsid w:val="008C243F"/>
    <w:rsid w:val="008C61DC"/>
    <w:rsid w:val="008C7F90"/>
    <w:rsid w:val="008D3332"/>
    <w:rsid w:val="008D6613"/>
    <w:rsid w:val="008D6DD9"/>
    <w:rsid w:val="008D6EA3"/>
    <w:rsid w:val="008E0F51"/>
    <w:rsid w:val="008E118F"/>
    <w:rsid w:val="008E2DBC"/>
    <w:rsid w:val="008E39E2"/>
    <w:rsid w:val="008E40C7"/>
    <w:rsid w:val="008F08B4"/>
    <w:rsid w:val="008F0AD6"/>
    <w:rsid w:val="008F573B"/>
    <w:rsid w:val="00902995"/>
    <w:rsid w:val="00904967"/>
    <w:rsid w:val="00911C59"/>
    <w:rsid w:val="0091405B"/>
    <w:rsid w:val="00914F81"/>
    <w:rsid w:val="00924F47"/>
    <w:rsid w:val="00934E6A"/>
    <w:rsid w:val="00943B8A"/>
    <w:rsid w:val="0094662F"/>
    <w:rsid w:val="009516B0"/>
    <w:rsid w:val="00951A86"/>
    <w:rsid w:val="009535AB"/>
    <w:rsid w:val="00955B4A"/>
    <w:rsid w:val="00963D2A"/>
    <w:rsid w:val="009651BA"/>
    <w:rsid w:val="009666F9"/>
    <w:rsid w:val="009676B6"/>
    <w:rsid w:val="0097086A"/>
    <w:rsid w:val="0097215E"/>
    <w:rsid w:val="009722C2"/>
    <w:rsid w:val="00977508"/>
    <w:rsid w:val="0098170F"/>
    <w:rsid w:val="00982423"/>
    <w:rsid w:val="00983179"/>
    <w:rsid w:val="00987395"/>
    <w:rsid w:val="00990F39"/>
    <w:rsid w:val="00990F55"/>
    <w:rsid w:val="00991D23"/>
    <w:rsid w:val="00992A21"/>
    <w:rsid w:val="00993719"/>
    <w:rsid w:val="009937D4"/>
    <w:rsid w:val="00994290"/>
    <w:rsid w:val="00995DBA"/>
    <w:rsid w:val="00995E9B"/>
    <w:rsid w:val="0099722C"/>
    <w:rsid w:val="009A3C5D"/>
    <w:rsid w:val="009A4B07"/>
    <w:rsid w:val="009A61FA"/>
    <w:rsid w:val="009B173E"/>
    <w:rsid w:val="009C6953"/>
    <w:rsid w:val="009C7284"/>
    <w:rsid w:val="009C7427"/>
    <w:rsid w:val="009D0356"/>
    <w:rsid w:val="009D2312"/>
    <w:rsid w:val="009D7FE9"/>
    <w:rsid w:val="009E0EBA"/>
    <w:rsid w:val="009E48C0"/>
    <w:rsid w:val="009F194C"/>
    <w:rsid w:val="009F30EF"/>
    <w:rsid w:val="009F3B89"/>
    <w:rsid w:val="009F4B15"/>
    <w:rsid w:val="00A11DB0"/>
    <w:rsid w:val="00A1597F"/>
    <w:rsid w:val="00A1605A"/>
    <w:rsid w:val="00A16BBA"/>
    <w:rsid w:val="00A20747"/>
    <w:rsid w:val="00A209B6"/>
    <w:rsid w:val="00A24AD9"/>
    <w:rsid w:val="00A2556F"/>
    <w:rsid w:val="00A26350"/>
    <w:rsid w:val="00A30A97"/>
    <w:rsid w:val="00A30B27"/>
    <w:rsid w:val="00A3371D"/>
    <w:rsid w:val="00A34A30"/>
    <w:rsid w:val="00A40374"/>
    <w:rsid w:val="00A43AC4"/>
    <w:rsid w:val="00A43E4F"/>
    <w:rsid w:val="00A5029A"/>
    <w:rsid w:val="00A5065A"/>
    <w:rsid w:val="00A54305"/>
    <w:rsid w:val="00A54D98"/>
    <w:rsid w:val="00A56282"/>
    <w:rsid w:val="00A570AB"/>
    <w:rsid w:val="00A60270"/>
    <w:rsid w:val="00A61BE6"/>
    <w:rsid w:val="00A6317E"/>
    <w:rsid w:val="00A63B5D"/>
    <w:rsid w:val="00A67A2C"/>
    <w:rsid w:val="00A707A2"/>
    <w:rsid w:val="00A70C2F"/>
    <w:rsid w:val="00A72833"/>
    <w:rsid w:val="00A8377E"/>
    <w:rsid w:val="00A840A2"/>
    <w:rsid w:val="00A84C80"/>
    <w:rsid w:val="00A864FE"/>
    <w:rsid w:val="00A91D44"/>
    <w:rsid w:val="00A92DBB"/>
    <w:rsid w:val="00A93258"/>
    <w:rsid w:val="00A95BAC"/>
    <w:rsid w:val="00A9633D"/>
    <w:rsid w:val="00A96979"/>
    <w:rsid w:val="00AA61DD"/>
    <w:rsid w:val="00AA73A5"/>
    <w:rsid w:val="00AB31DD"/>
    <w:rsid w:val="00AB51FF"/>
    <w:rsid w:val="00AB6C6B"/>
    <w:rsid w:val="00AC1E85"/>
    <w:rsid w:val="00AC590E"/>
    <w:rsid w:val="00AC5C42"/>
    <w:rsid w:val="00AD1207"/>
    <w:rsid w:val="00AD1950"/>
    <w:rsid w:val="00AD4C21"/>
    <w:rsid w:val="00AD5455"/>
    <w:rsid w:val="00AD63F5"/>
    <w:rsid w:val="00AD6621"/>
    <w:rsid w:val="00AE1C35"/>
    <w:rsid w:val="00AE4539"/>
    <w:rsid w:val="00AE4B19"/>
    <w:rsid w:val="00AF3D01"/>
    <w:rsid w:val="00AF6BDA"/>
    <w:rsid w:val="00AF6FC5"/>
    <w:rsid w:val="00B03F15"/>
    <w:rsid w:val="00B06495"/>
    <w:rsid w:val="00B11DEC"/>
    <w:rsid w:val="00B20B15"/>
    <w:rsid w:val="00B2121B"/>
    <w:rsid w:val="00B2275E"/>
    <w:rsid w:val="00B23EF7"/>
    <w:rsid w:val="00B241B0"/>
    <w:rsid w:val="00B308DD"/>
    <w:rsid w:val="00B31099"/>
    <w:rsid w:val="00B320EC"/>
    <w:rsid w:val="00B32217"/>
    <w:rsid w:val="00B33722"/>
    <w:rsid w:val="00B37258"/>
    <w:rsid w:val="00B41CDB"/>
    <w:rsid w:val="00B46B37"/>
    <w:rsid w:val="00B51687"/>
    <w:rsid w:val="00B52B89"/>
    <w:rsid w:val="00B55404"/>
    <w:rsid w:val="00B563F3"/>
    <w:rsid w:val="00B565DC"/>
    <w:rsid w:val="00B62E1D"/>
    <w:rsid w:val="00B6373E"/>
    <w:rsid w:val="00B6532D"/>
    <w:rsid w:val="00B65929"/>
    <w:rsid w:val="00B65F74"/>
    <w:rsid w:val="00B7519A"/>
    <w:rsid w:val="00B7578C"/>
    <w:rsid w:val="00B76ED9"/>
    <w:rsid w:val="00B83FFE"/>
    <w:rsid w:val="00B84A20"/>
    <w:rsid w:val="00B8513A"/>
    <w:rsid w:val="00B95B1C"/>
    <w:rsid w:val="00B972A5"/>
    <w:rsid w:val="00BA03BC"/>
    <w:rsid w:val="00BA2CB2"/>
    <w:rsid w:val="00BA3E1B"/>
    <w:rsid w:val="00BA56A2"/>
    <w:rsid w:val="00BB0671"/>
    <w:rsid w:val="00BB5B55"/>
    <w:rsid w:val="00BC24BB"/>
    <w:rsid w:val="00BC394C"/>
    <w:rsid w:val="00BC7F6A"/>
    <w:rsid w:val="00BD034F"/>
    <w:rsid w:val="00BD0573"/>
    <w:rsid w:val="00BD0C4A"/>
    <w:rsid w:val="00BD405C"/>
    <w:rsid w:val="00BD68A6"/>
    <w:rsid w:val="00BD73A6"/>
    <w:rsid w:val="00BE098A"/>
    <w:rsid w:val="00BE124F"/>
    <w:rsid w:val="00BE19DC"/>
    <w:rsid w:val="00BE2C0B"/>
    <w:rsid w:val="00BE3F11"/>
    <w:rsid w:val="00BE470E"/>
    <w:rsid w:val="00BE5B46"/>
    <w:rsid w:val="00BE5EE6"/>
    <w:rsid w:val="00BF239D"/>
    <w:rsid w:val="00BF3C03"/>
    <w:rsid w:val="00BF5C49"/>
    <w:rsid w:val="00BF64EE"/>
    <w:rsid w:val="00C0372B"/>
    <w:rsid w:val="00C04BD4"/>
    <w:rsid w:val="00C07CC4"/>
    <w:rsid w:val="00C1133D"/>
    <w:rsid w:val="00C11E32"/>
    <w:rsid w:val="00C14824"/>
    <w:rsid w:val="00C14E18"/>
    <w:rsid w:val="00C222DF"/>
    <w:rsid w:val="00C31743"/>
    <w:rsid w:val="00C32681"/>
    <w:rsid w:val="00C3394E"/>
    <w:rsid w:val="00C376E0"/>
    <w:rsid w:val="00C37F58"/>
    <w:rsid w:val="00C417B9"/>
    <w:rsid w:val="00C41D32"/>
    <w:rsid w:val="00C43360"/>
    <w:rsid w:val="00C449D4"/>
    <w:rsid w:val="00C44D01"/>
    <w:rsid w:val="00C45A89"/>
    <w:rsid w:val="00C47179"/>
    <w:rsid w:val="00C5054C"/>
    <w:rsid w:val="00C50820"/>
    <w:rsid w:val="00C51DEB"/>
    <w:rsid w:val="00C51F30"/>
    <w:rsid w:val="00C51F4B"/>
    <w:rsid w:val="00C52410"/>
    <w:rsid w:val="00C54014"/>
    <w:rsid w:val="00C62C98"/>
    <w:rsid w:val="00C67954"/>
    <w:rsid w:val="00C708DE"/>
    <w:rsid w:val="00C72B9D"/>
    <w:rsid w:val="00C74E4B"/>
    <w:rsid w:val="00C7721A"/>
    <w:rsid w:val="00C81D26"/>
    <w:rsid w:val="00C83850"/>
    <w:rsid w:val="00C84BFD"/>
    <w:rsid w:val="00C85263"/>
    <w:rsid w:val="00C90441"/>
    <w:rsid w:val="00C9105F"/>
    <w:rsid w:val="00C92394"/>
    <w:rsid w:val="00C97D4E"/>
    <w:rsid w:val="00CA03ED"/>
    <w:rsid w:val="00CA055B"/>
    <w:rsid w:val="00CA1B13"/>
    <w:rsid w:val="00CA4FCA"/>
    <w:rsid w:val="00CA5363"/>
    <w:rsid w:val="00CA5D34"/>
    <w:rsid w:val="00CA7491"/>
    <w:rsid w:val="00CB380E"/>
    <w:rsid w:val="00CB4976"/>
    <w:rsid w:val="00CB49B7"/>
    <w:rsid w:val="00CC38BF"/>
    <w:rsid w:val="00CD223B"/>
    <w:rsid w:val="00CD58BC"/>
    <w:rsid w:val="00CD634D"/>
    <w:rsid w:val="00CD7B35"/>
    <w:rsid w:val="00CE00DF"/>
    <w:rsid w:val="00CE25D5"/>
    <w:rsid w:val="00CE3CE9"/>
    <w:rsid w:val="00CE41D7"/>
    <w:rsid w:val="00CE4213"/>
    <w:rsid w:val="00CE517A"/>
    <w:rsid w:val="00CE5A55"/>
    <w:rsid w:val="00CE5B81"/>
    <w:rsid w:val="00CE6C82"/>
    <w:rsid w:val="00CF4B50"/>
    <w:rsid w:val="00CF4CBC"/>
    <w:rsid w:val="00D02CA2"/>
    <w:rsid w:val="00D063BC"/>
    <w:rsid w:val="00D150B6"/>
    <w:rsid w:val="00D16A7C"/>
    <w:rsid w:val="00D17F97"/>
    <w:rsid w:val="00D21FD3"/>
    <w:rsid w:val="00D22C49"/>
    <w:rsid w:val="00D234D4"/>
    <w:rsid w:val="00D2447A"/>
    <w:rsid w:val="00D25E0E"/>
    <w:rsid w:val="00D26E76"/>
    <w:rsid w:val="00D34C1E"/>
    <w:rsid w:val="00D365E8"/>
    <w:rsid w:val="00D4132C"/>
    <w:rsid w:val="00D452A1"/>
    <w:rsid w:val="00D50BA8"/>
    <w:rsid w:val="00D540A2"/>
    <w:rsid w:val="00D614E3"/>
    <w:rsid w:val="00D61C40"/>
    <w:rsid w:val="00D632F8"/>
    <w:rsid w:val="00D63F41"/>
    <w:rsid w:val="00D643BC"/>
    <w:rsid w:val="00D64875"/>
    <w:rsid w:val="00D72CEE"/>
    <w:rsid w:val="00D75B3D"/>
    <w:rsid w:val="00D77CF4"/>
    <w:rsid w:val="00D80191"/>
    <w:rsid w:val="00D83515"/>
    <w:rsid w:val="00D9384E"/>
    <w:rsid w:val="00D946FC"/>
    <w:rsid w:val="00D95C0C"/>
    <w:rsid w:val="00D9641B"/>
    <w:rsid w:val="00D97407"/>
    <w:rsid w:val="00D97564"/>
    <w:rsid w:val="00DA0EEC"/>
    <w:rsid w:val="00DA3D0D"/>
    <w:rsid w:val="00DA57FB"/>
    <w:rsid w:val="00DA7356"/>
    <w:rsid w:val="00DB0B90"/>
    <w:rsid w:val="00DB50D2"/>
    <w:rsid w:val="00DB7F90"/>
    <w:rsid w:val="00DC00C9"/>
    <w:rsid w:val="00DC3283"/>
    <w:rsid w:val="00DC6468"/>
    <w:rsid w:val="00DD22A0"/>
    <w:rsid w:val="00DD2485"/>
    <w:rsid w:val="00DD2BAE"/>
    <w:rsid w:val="00DD70E0"/>
    <w:rsid w:val="00DE0860"/>
    <w:rsid w:val="00DE58F1"/>
    <w:rsid w:val="00DE68FF"/>
    <w:rsid w:val="00DE6AAA"/>
    <w:rsid w:val="00DF22F0"/>
    <w:rsid w:val="00DF5B32"/>
    <w:rsid w:val="00DF77AC"/>
    <w:rsid w:val="00E00A02"/>
    <w:rsid w:val="00E00F4D"/>
    <w:rsid w:val="00E01D2C"/>
    <w:rsid w:val="00E02BBE"/>
    <w:rsid w:val="00E06A43"/>
    <w:rsid w:val="00E07768"/>
    <w:rsid w:val="00E21BFC"/>
    <w:rsid w:val="00E2305E"/>
    <w:rsid w:val="00E33550"/>
    <w:rsid w:val="00E36BDF"/>
    <w:rsid w:val="00E4098F"/>
    <w:rsid w:val="00E42E82"/>
    <w:rsid w:val="00E4453B"/>
    <w:rsid w:val="00E45463"/>
    <w:rsid w:val="00E45B89"/>
    <w:rsid w:val="00E45E59"/>
    <w:rsid w:val="00E50EA2"/>
    <w:rsid w:val="00E51CA6"/>
    <w:rsid w:val="00E51F12"/>
    <w:rsid w:val="00E62BE4"/>
    <w:rsid w:val="00E6531E"/>
    <w:rsid w:val="00E730CC"/>
    <w:rsid w:val="00E749FB"/>
    <w:rsid w:val="00E7669F"/>
    <w:rsid w:val="00E8598C"/>
    <w:rsid w:val="00E8714E"/>
    <w:rsid w:val="00E90401"/>
    <w:rsid w:val="00E9045F"/>
    <w:rsid w:val="00E91600"/>
    <w:rsid w:val="00E91A57"/>
    <w:rsid w:val="00E93D1F"/>
    <w:rsid w:val="00E94B01"/>
    <w:rsid w:val="00E959B3"/>
    <w:rsid w:val="00E9659B"/>
    <w:rsid w:val="00EA04FA"/>
    <w:rsid w:val="00EA2D91"/>
    <w:rsid w:val="00EA2F5F"/>
    <w:rsid w:val="00EA3837"/>
    <w:rsid w:val="00EA4698"/>
    <w:rsid w:val="00EA7B41"/>
    <w:rsid w:val="00EB0F8D"/>
    <w:rsid w:val="00EB3D19"/>
    <w:rsid w:val="00EB4E5A"/>
    <w:rsid w:val="00EB68B3"/>
    <w:rsid w:val="00EB7E5D"/>
    <w:rsid w:val="00EC0DFD"/>
    <w:rsid w:val="00EC4C3D"/>
    <w:rsid w:val="00EC5922"/>
    <w:rsid w:val="00EC5A29"/>
    <w:rsid w:val="00ED1373"/>
    <w:rsid w:val="00ED5FE7"/>
    <w:rsid w:val="00EE1888"/>
    <w:rsid w:val="00EE2E99"/>
    <w:rsid w:val="00EE2ED4"/>
    <w:rsid w:val="00EE2F86"/>
    <w:rsid w:val="00EE39A1"/>
    <w:rsid w:val="00EE3C3F"/>
    <w:rsid w:val="00EE488D"/>
    <w:rsid w:val="00EE4C92"/>
    <w:rsid w:val="00EE7B2A"/>
    <w:rsid w:val="00EE7DB8"/>
    <w:rsid w:val="00EF0631"/>
    <w:rsid w:val="00EF0802"/>
    <w:rsid w:val="00F002A2"/>
    <w:rsid w:val="00F00314"/>
    <w:rsid w:val="00F006E3"/>
    <w:rsid w:val="00F00B03"/>
    <w:rsid w:val="00F01B87"/>
    <w:rsid w:val="00F0222F"/>
    <w:rsid w:val="00F05A23"/>
    <w:rsid w:val="00F0796C"/>
    <w:rsid w:val="00F131B9"/>
    <w:rsid w:val="00F15297"/>
    <w:rsid w:val="00F15D5E"/>
    <w:rsid w:val="00F206A4"/>
    <w:rsid w:val="00F20A87"/>
    <w:rsid w:val="00F2534D"/>
    <w:rsid w:val="00F37C81"/>
    <w:rsid w:val="00F40A63"/>
    <w:rsid w:val="00F41480"/>
    <w:rsid w:val="00F417D4"/>
    <w:rsid w:val="00F436F0"/>
    <w:rsid w:val="00F444E2"/>
    <w:rsid w:val="00F471DE"/>
    <w:rsid w:val="00F5028F"/>
    <w:rsid w:val="00F50498"/>
    <w:rsid w:val="00F51AFB"/>
    <w:rsid w:val="00F54602"/>
    <w:rsid w:val="00F54AA7"/>
    <w:rsid w:val="00F60BB7"/>
    <w:rsid w:val="00F63E2E"/>
    <w:rsid w:val="00F75E00"/>
    <w:rsid w:val="00F7778F"/>
    <w:rsid w:val="00F81A98"/>
    <w:rsid w:val="00F834BC"/>
    <w:rsid w:val="00F84C4B"/>
    <w:rsid w:val="00F84FE8"/>
    <w:rsid w:val="00F865DC"/>
    <w:rsid w:val="00F86D6A"/>
    <w:rsid w:val="00F90849"/>
    <w:rsid w:val="00F90A57"/>
    <w:rsid w:val="00F90E60"/>
    <w:rsid w:val="00F93CAA"/>
    <w:rsid w:val="00F9406B"/>
    <w:rsid w:val="00F9422D"/>
    <w:rsid w:val="00F94C9D"/>
    <w:rsid w:val="00F9569E"/>
    <w:rsid w:val="00F9583E"/>
    <w:rsid w:val="00F965B5"/>
    <w:rsid w:val="00FA709C"/>
    <w:rsid w:val="00FA7482"/>
    <w:rsid w:val="00FB0766"/>
    <w:rsid w:val="00FB134B"/>
    <w:rsid w:val="00FB2EC6"/>
    <w:rsid w:val="00FB48E6"/>
    <w:rsid w:val="00FC15A9"/>
    <w:rsid w:val="00FD024D"/>
    <w:rsid w:val="00FD0790"/>
    <w:rsid w:val="00FD1366"/>
    <w:rsid w:val="00FD1D57"/>
    <w:rsid w:val="00FD428F"/>
    <w:rsid w:val="00FD6771"/>
    <w:rsid w:val="00FD6E74"/>
    <w:rsid w:val="00FE0795"/>
    <w:rsid w:val="00FE3157"/>
    <w:rsid w:val="00FE476C"/>
    <w:rsid w:val="00FF02E8"/>
    <w:rsid w:val="00FF2638"/>
    <w:rsid w:val="00FF3954"/>
    <w:rsid w:val="00FF75D2"/>
    <w:rsid w:val="56AE77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4AA8107"/>
  <w15:chartTrackingRefBased/>
  <w15:docId w15:val="{7B9288AD-42C6-423F-9FF5-A2100AC95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4FC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F4B15"/>
    <w:pPr>
      <w:outlineLvl w:val="1"/>
    </w:pPr>
    <w:rPr>
      <w:rFonts w:ascii="Times New Roman" w:hAnsi="Times New Roman" w:cs="Times New Roman"/>
      <w:i/>
      <w:sz w:val="20"/>
      <w:szCs w:val="20"/>
    </w:rPr>
  </w:style>
  <w:style w:type="paragraph" w:styleId="Heading3">
    <w:name w:val="heading 3"/>
    <w:basedOn w:val="Normal"/>
    <w:next w:val="Normal"/>
    <w:link w:val="Heading3Char"/>
    <w:uiPriority w:val="9"/>
    <w:unhideWhenUsed/>
    <w:qFormat/>
    <w:rsid w:val="002D22F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194C"/>
    <w:pPr>
      <w:spacing w:after="0" w:line="240" w:lineRule="auto"/>
      <w:ind w:left="720"/>
      <w:contextualSpacing/>
    </w:pPr>
    <w:rPr>
      <w:sz w:val="24"/>
      <w:szCs w:val="24"/>
    </w:rPr>
  </w:style>
  <w:style w:type="table" w:styleId="TableGrid">
    <w:name w:val="Table Grid"/>
    <w:basedOn w:val="TableNormal"/>
    <w:uiPriority w:val="59"/>
    <w:rsid w:val="0036760E"/>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B66F6"/>
    <w:rPr>
      <w:color w:val="808080"/>
    </w:rPr>
  </w:style>
  <w:style w:type="paragraph" w:styleId="BalloonText">
    <w:name w:val="Balloon Text"/>
    <w:basedOn w:val="Normal"/>
    <w:link w:val="BalloonTextChar"/>
    <w:uiPriority w:val="99"/>
    <w:semiHidden/>
    <w:unhideWhenUsed/>
    <w:rsid w:val="006D39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391E"/>
    <w:rPr>
      <w:rFonts w:ascii="Segoe UI" w:hAnsi="Segoe UI" w:cs="Segoe UI"/>
      <w:sz w:val="18"/>
      <w:szCs w:val="18"/>
    </w:rPr>
  </w:style>
  <w:style w:type="character" w:styleId="CommentReference">
    <w:name w:val="annotation reference"/>
    <w:basedOn w:val="DefaultParagraphFont"/>
    <w:uiPriority w:val="99"/>
    <w:semiHidden/>
    <w:unhideWhenUsed/>
    <w:rsid w:val="006D391E"/>
    <w:rPr>
      <w:sz w:val="16"/>
      <w:szCs w:val="16"/>
    </w:rPr>
  </w:style>
  <w:style w:type="paragraph" w:styleId="CommentText">
    <w:name w:val="annotation text"/>
    <w:basedOn w:val="Normal"/>
    <w:link w:val="CommentTextChar"/>
    <w:uiPriority w:val="99"/>
    <w:unhideWhenUsed/>
    <w:rsid w:val="006D391E"/>
    <w:pPr>
      <w:spacing w:line="240" w:lineRule="auto"/>
    </w:pPr>
    <w:rPr>
      <w:sz w:val="20"/>
      <w:szCs w:val="20"/>
    </w:rPr>
  </w:style>
  <w:style w:type="character" w:customStyle="1" w:styleId="CommentTextChar">
    <w:name w:val="Comment Text Char"/>
    <w:basedOn w:val="DefaultParagraphFont"/>
    <w:link w:val="CommentText"/>
    <w:uiPriority w:val="99"/>
    <w:rsid w:val="006D391E"/>
    <w:rPr>
      <w:sz w:val="20"/>
      <w:szCs w:val="20"/>
    </w:rPr>
  </w:style>
  <w:style w:type="paragraph" w:styleId="CommentSubject">
    <w:name w:val="annotation subject"/>
    <w:basedOn w:val="CommentText"/>
    <w:next w:val="CommentText"/>
    <w:link w:val="CommentSubjectChar"/>
    <w:uiPriority w:val="99"/>
    <w:semiHidden/>
    <w:unhideWhenUsed/>
    <w:rsid w:val="006D391E"/>
    <w:rPr>
      <w:b/>
      <w:bCs/>
    </w:rPr>
  </w:style>
  <w:style w:type="character" w:customStyle="1" w:styleId="CommentSubjectChar">
    <w:name w:val="Comment Subject Char"/>
    <w:basedOn w:val="CommentTextChar"/>
    <w:link w:val="CommentSubject"/>
    <w:uiPriority w:val="99"/>
    <w:semiHidden/>
    <w:rsid w:val="006D391E"/>
    <w:rPr>
      <w:b/>
      <w:bCs/>
      <w:sz w:val="20"/>
      <w:szCs w:val="20"/>
    </w:rPr>
  </w:style>
  <w:style w:type="character" w:customStyle="1" w:styleId="Heading3Char">
    <w:name w:val="Heading 3 Char"/>
    <w:basedOn w:val="DefaultParagraphFont"/>
    <w:link w:val="Heading3"/>
    <w:uiPriority w:val="9"/>
    <w:rsid w:val="002D22F3"/>
    <w:rPr>
      <w:rFonts w:asciiTheme="majorHAnsi" w:eastAsiaTheme="majorEastAsia" w:hAnsiTheme="majorHAnsi" w:cstheme="majorBidi"/>
      <w:color w:val="1F4D78" w:themeColor="accent1" w:themeShade="7F"/>
      <w:sz w:val="24"/>
      <w:szCs w:val="24"/>
    </w:rPr>
  </w:style>
  <w:style w:type="paragraph" w:styleId="Caption">
    <w:name w:val="caption"/>
    <w:basedOn w:val="Normal"/>
    <w:next w:val="Normal"/>
    <w:uiPriority w:val="35"/>
    <w:unhideWhenUsed/>
    <w:qFormat/>
    <w:rsid w:val="002D22F3"/>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CA4FC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F4B15"/>
    <w:rPr>
      <w:rFonts w:ascii="Times New Roman" w:hAnsi="Times New Roman" w:cs="Times New Roman"/>
      <w:i/>
      <w:sz w:val="20"/>
      <w:szCs w:val="20"/>
    </w:rPr>
  </w:style>
  <w:style w:type="paragraph" w:styleId="TOCHeading">
    <w:name w:val="TOC Heading"/>
    <w:basedOn w:val="Heading1"/>
    <w:next w:val="Normal"/>
    <w:uiPriority w:val="39"/>
    <w:unhideWhenUsed/>
    <w:qFormat/>
    <w:rsid w:val="00734CE4"/>
    <w:pPr>
      <w:outlineLvl w:val="9"/>
    </w:pPr>
  </w:style>
  <w:style w:type="paragraph" w:styleId="TOC1">
    <w:name w:val="toc 1"/>
    <w:basedOn w:val="Normal"/>
    <w:next w:val="Normal"/>
    <w:autoRedefine/>
    <w:uiPriority w:val="39"/>
    <w:unhideWhenUsed/>
    <w:rsid w:val="00734CE4"/>
    <w:pPr>
      <w:spacing w:after="100"/>
    </w:pPr>
  </w:style>
  <w:style w:type="paragraph" w:styleId="TOC2">
    <w:name w:val="toc 2"/>
    <w:basedOn w:val="Normal"/>
    <w:next w:val="Normal"/>
    <w:autoRedefine/>
    <w:uiPriority w:val="39"/>
    <w:unhideWhenUsed/>
    <w:rsid w:val="00734CE4"/>
    <w:pPr>
      <w:spacing w:after="100"/>
      <w:ind w:left="220"/>
    </w:pPr>
  </w:style>
  <w:style w:type="paragraph" w:styleId="TOC3">
    <w:name w:val="toc 3"/>
    <w:basedOn w:val="Normal"/>
    <w:next w:val="Normal"/>
    <w:autoRedefine/>
    <w:uiPriority w:val="39"/>
    <w:unhideWhenUsed/>
    <w:rsid w:val="00734CE4"/>
    <w:pPr>
      <w:spacing w:after="100"/>
      <w:ind w:left="440"/>
    </w:pPr>
  </w:style>
  <w:style w:type="character" w:styleId="Hyperlink">
    <w:name w:val="Hyperlink"/>
    <w:basedOn w:val="DefaultParagraphFont"/>
    <w:uiPriority w:val="99"/>
    <w:unhideWhenUsed/>
    <w:rsid w:val="00734CE4"/>
    <w:rPr>
      <w:color w:val="0563C1" w:themeColor="hyperlink"/>
      <w:u w:val="single"/>
    </w:rPr>
  </w:style>
  <w:style w:type="paragraph" w:styleId="Header">
    <w:name w:val="header"/>
    <w:basedOn w:val="Normal"/>
    <w:link w:val="HeaderChar"/>
    <w:uiPriority w:val="99"/>
    <w:unhideWhenUsed/>
    <w:rsid w:val="006623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35F"/>
  </w:style>
  <w:style w:type="paragraph" w:styleId="Footer">
    <w:name w:val="footer"/>
    <w:basedOn w:val="Normal"/>
    <w:link w:val="FooterChar"/>
    <w:uiPriority w:val="99"/>
    <w:unhideWhenUsed/>
    <w:rsid w:val="006623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35F"/>
  </w:style>
  <w:style w:type="paragraph" w:styleId="Revision">
    <w:name w:val="Revision"/>
    <w:hidden/>
    <w:uiPriority w:val="99"/>
    <w:semiHidden/>
    <w:rsid w:val="00FE3157"/>
    <w:pPr>
      <w:spacing w:after="0" w:line="240" w:lineRule="auto"/>
    </w:pPr>
  </w:style>
  <w:style w:type="character" w:styleId="FollowedHyperlink">
    <w:name w:val="FollowedHyperlink"/>
    <w:basedOn w:val="DefaultParagraphFont"/>
    <w:uiPriority w:val="99"/>
    <w:semiHidden/>
    <w:unhideWhenUsed/>
    <w:rsid w:val="00882BA0"/>
    <w:rPr>
      <w:color w:val="954F72"/>
      <w:u w:val="single"/>
    </w:rPr>
  </w:style>
  <w:style w:type="paragraph" w:customStyle="1" w:styleId="msonormal0">
    <w:name w:val="msonormal"/>
    <w:basedOn w:val="Normal"/>
    <w:rsid w:val="00882BA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912966">
      <w:bodyDiv w:val="1"/>
      <w:marLeft w:val="0"/>
      <w:marRight w:val="0"/>
      <w:marTop w:val="0"/>
      <w:marBottom w:val="0"/>
      <w:divBdr>
        <w:top w:val="none" w:sz="0" w:space="0" w:color="auto"/>
        <w:left w:val="none" w:sz="0" w:space="0" w:color="auto"/>
        <w:bottom w:val="none" w:sz="0" w:space="0" w:color="auto"/>
        <w:right w:val="none" w:sz="0" w:space="0" w:color="auto"/>
      </w:divBdr>
    </w:div>
    <w:div w:id="223495943">
      <w:bodyDiv w:val="1"/>
      <w:marLeft w:val="0"/>
      <w:marRight w:val="0"/>
      <w:marTop w:val="0"/>
      <w:marBottom w:val="0"/>
      <w:divBdr>
        <w:top w:val="none" w:sz="0" w:space="0" w:color="auto"/>
        <w:left w:val="none" w:sz="0" w:space="0" w:color="auto"/>
        <w:bottom w:val="none" w:sz="0" w:space="0" w:color="auto"/>
        <w:right w:val="none" w:sz="0" w:space="0" w:color="auto"/>
      </w:divBdr>
    </w:div>
    <w:div w:id="458187019">
      <w:bodyDiv w:val="1"/>
      <w:marLeft w:val="0"/>
      <w:marRight w:val="0"/>
      <w:marTop w:val="0"/>
      <w:marBottom w:val="0"/>
      <w:divBdr>
        <w:top w:val="none" w:sz="0" w:space="0" w:color="auto"/>
        <w:left w:val="none" w:sz="0" w:space="0" w:color="auto"/>
        <w:bottom w:val="none" w:sz="0" w:space="0" w:color="auto"/>
        <w:right w:val="none" w:sz="0" w:space="0" w:color="auto"/>
      </w:divBdr>
    </w:div>
    <w:div w:id="653411519">
      <w:bodyDiv w:val="1"/>
      <w:marLeft w:val="0"/>
      <w:marRight w:val="0"/>
      <w:marTop w:val="0"/>
      <w:marBottom w:val="0"/>
      <w:divBdr>
        <w:top w:val="none" w:sz="0" w:space="0" w:color="auto"/>
        <w:left w:val="none" w:sz="0" w:space="0" w:color="auto"/>
        <w:bottom w:val="none" w:sz="0" w:space="0" w:color="auto"/>
        <w:right w:val="none" w:sz="0" w:space="0" w:color="auto"/>
      </w:divBdr>
    </w:div>
    <w:div w:id="1050807762">
      <w:bodyDiv w:val="1"/>
      <w:marLeft w:val="0"/>
      <w:marRight w:val="0"/>
      <w:marTop w:val="0"/>
      <w:marBottom w:val="0"/>
      <w:divBdr>
        <w:top w:val="none" w:sz="0" w:space="0" w:color="auto"/>
        <w:left w:val="none" w:sz="0" w:space="0" w:color="auto"/>
        <w:bottom w:val="none" w:sz="0" w:space="0" w:color="auto"/>
        <w:right w:val="none" w:sz="0" w:space="0" w:color="auto"/>
      </w:divBdr>
    </w:div>
    <w:div w:id="1665468838">
      <w:bodyDiv w:val="1"/>
      <w:marLeft w:val="0"/>
      <w:marRight w:val="0"/>
      <w:marTop w:val="0"/>
      <w:marBottom w:val="0"/>
      <w:divBdr>
        <w:top w:val="none" w:sz="0" w:space="0" w:color="auto"/>
        <w:left w:val="none" w:sz="0" w:space="0" w:color="auto"/>
        <w:bottom w:val="none" w:sz="0" w:space="0" w:color="auto"/>
        <w:right w:val="none" w:sz="0" w:space="0" w:color="auto"/>
      </w:divBdr>
    </w:div>
    <w:div w:id="212141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comments" Target="comments.xml"/><Relationship Id="rId26" Type="http://schemas.openxmlformats.org/officeDocument/2006/relationships/image" Target="media/image15.png"/><Relationship Id="rId21" Type="http://schemas.microsoft.com/office/2018/08/relationships/commentsExtensible" Target="commentsExtensible.xm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4.png"/><Relationship Id="rId33"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image" Target="media/image9.png"/><Relationship Id="rId20" Type="http://schemas.microsoft.com/office/2016/09/relationships/commentsIds" Target="commentsIds.xml"/><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2.png"/><Relationship Id="rId28" Type="http://schemas.openxmlformats.org/officeDocument/2006/relationships/image" Target="media/image17.png"/><Relationship Id="rId36" Type="http://schemas.microsoft.com/office/2011/relationships/people" Target="people.xml"/><Relationship Id="rId10" Type="http://schemas.openxmlformats.org/officeDocument/2006/relationships/image" Target="media/image3.png"/><Relationship Id="rId19" Type="http://schemas.microsoft.com/office/2011/relationships/commentsExtended" Target="commentsExtended.xml"/><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C94DB-B290-4FC4-80A5-D56B602B1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43403</Words>
  <Characters>247400</Characters>
  <Application>Microsoft Office Word</Application>
  <DocSecurity>0</DocSecurity>
  <Lines>2061</Lines>
  <Paragraphs>580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Ifeoma Doreen Ozodiegwu</dc:creator>
  <cp:keywords/>
  <dc:description/>
  <cp:lastModifiedBy>Ifeoma Doreen Ozodiegwu</cp:lastModifiedBy>
  <cp:revision>2</cp:revision>
  <dcterms:created xsi:type="dcterms:W3CDTF">2022-12-01T21:55:00Z</dcterms:created>
  <dcterms:modified xsi:type="dcterms:W3CDTF">2022-12-01T21:55:00Z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acdaa068-b2c0-3009-ab99-aeb26c628314</vt:lpwstr>
  </property>
  <property fmtid="{D5CDD505-2E9C-101B-9397-08002B2CF9AE}" pid="4" name="Mendeley Citation Style_1">
    <vt:lpwstr>http://www.zotero.org/styles/malaria-journal</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http://www.zotero.org/styles/malaria-journal</vt:lpwstr>
  </property>
  <property fmtid="{D5CDD505-2E9C-101B-9397-08002B2CF9AE}" pid="20" name="Mendeley Recent Style Name 7_1">
    <vt:lpwstr>Malaria Journal</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http://www.zotero.org/styles/the-lancet</vt:lpwstr>
  </property>
  <property fmtid="{D5CDD505-2E9C-101B-9397-08002B2CF9AE}" pid="24" name="Mendeley Recent Style Name 9_1">
    <vt:lpwstr>The Lancet</vt:lpwstr>
  </property>
</Properties>
</file>