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5A9A5" w14:textId="77777777" w:rsidR="00AE1AAA" w:rsidRPr="00023077" w:rsidRDefault="00AE1AAA" w:rsidP="00AE1AAA">
      <w:pPr>
        <w:pStyle w:val="Heading1"/>
        <w:numPr>
          <w:ilvl w:val="0"/>
          <w:numId w:val="1"/>
        </w:numPr>
        <w:tabs>
          <w:tab w:val="num" w:pos="360"/>
        </w:tabs>
        <w:ind w:left="0" w:firstLine="0"/>
      </w:pPr>
      <w:r w:rsidRPr="00023077">
        <w:t>Appendices</w:t>
      </w:r>
    </w:p>
    <w:p w14:paraId="30A9DEC8" w14:textId="77777777" w:rsidR="00AE1AAA" w:rsidRPr="00023077" w:rsidRDefault="00AE1AAA" w:rsidP="00AE1AAA">
      <w:pPr>
        <w:pStyle w:val="Heading2"/>
      </w:pPr>
      <w:r w:rsidRPr="00023077">
        <w:t xml:space="preserve">Appendix A </w:t>
      </w:r>
    </w:p>
    <w:p w14:paraId="7FD46F33" w14:textId="77777777" w:rsidR="00AE1AAA" w:rsidRPr="00023077" w:rsidRDefault="00AE1AAA" w:rsidP="00AE1AAA">
      <w:pPr>
        <w:keepNext/>
      </w:pPr>
      <w:r w:rsidRPr="00023077">
        <w:rPr>
          <w:noProof/>
          <w:lang w:eastAsia="en-GB"/>
        </w:rPr>
        <w:drawing>
          <wp:inline distT="0" distB="0" distL="0" distR="0" wp14:anchorId="5266B8F3" wp14:editId="49D235AB">
            <wp:extent cx="6450227" cy="3134690"/>
            <wp:effectExtent l="0" t="0" r="8255" b="8890"/>
            <wp:docPr id="5" name="Picture 5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833" cy="313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B01D9" w14:textId="77777777" w:rsidR="00AE1AAA" w:rsidRPr="00023077" w:rsidRDefault="00AE1AAA" w:rsidP="00AE1AAA">
      <w:pPr>
        <w:pStyle w:val="Caption"/>
      </w:pPr>
      <w:r w:rsidRPr="00023077">
        <w:t xml:space="preserve">Figure 1 </w:t>
      </w:r>
      <w:r w:rsidRPr="00023077">
        <w:rPr>
          <w:lang w:val="en-US"/>
        </w:rPr>
        <w:t>Impulse response of the Kirchhoff Pre-Stack time migration in the deep Algerian basin, without (a) and with an angle aperture (b)</w:t>
      </w:r>
    </w:p>
    <w:p w14:paraId="0842A14D" w14:textId="77777777" w:rsidR="00AE1AAA" w:rsidRPr="00023077" w:rsidRDefault="00AE1AAA" w:rsidP="00AE1AAA">
      <w:pPr>
        <w:pStyle w:val="Heading2"/>
      </w:pPr>
      <w:r w:rsidRPr="00023077">
        <w:rPr>
          <w:rStyle w:val="Heading2Char"/>
        </w:rPr>
        <w:lastRenderedPageBreak/>
        <w:t>Appendix B</w:t>
      </w:r>
      <w:r w:rsidRPr="00023077">
        <w:t xml:space="preserve"> </w:t>
      </w:r>
    </w:p>
    <w:p w14:paraId="7F32B4AD" w14:textId="77777777" w:rsidR="00AE1AAA" w:rsidRPr="00023077" w:rsidRDefault="00AE1AAA" w:rsidP="00AE1AAA">
      <w:pPr>
        <w:pStyle w:val="Caption"/>
        <w:keepNext/>
        <w:jc w:val="left"/>
      </w:pPr>
      <w:r w:rsidRPr="00023077">
        <w:t>Table 1 List of the parameters used for the Kirchhoff pre-stack depth migration</w:t>
      </w:r>
    </w:p>
    <w:p w14:paraId="574A4968" w14:textId="77777777" w:rsidR="00AE1AAA" w:rsidRPr="00023077" w:rsidRDefault="00AE1AAA" w:rsidP="00AE1AAA">
      <w:pPr>
        <w:jc w:val="center"/>
      </w:pPr>
      <w:r w:rsidRPr="00023077">
        <w:rPr>
          <w:noProof/>
          <w:lang w:eastAsia="en-GB"/>
        </w:rPr>
        <w:drawing>
          <wp:inline distT="0" distB="0" distL="0" distR="0" wp14:anchorId="2061B079" wp14:editId="5EBBD325">
            <wp:extent cx="4429267" cy="3744097"/>
            <wp:effectExtent l="0" t="0" r="0" b="8890"/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9382" cy="375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EFEA9" w14:textId="77777777" w:rsidR="00AE1AAA" w:rsidRPr="00023077" w:rsidRDefault="00AE1AAA" w:rsidP="00AE1AAA">
      <w:pPr>
        <w:jc w:val="center"/>
      </w:pPr>
    </w:p>
    <w:p w14:paraId="06AC781C" w14:textId="77777777" w:rsidR="00AE1AAA" w:rsidRPr="00023077" w:rsidRDefault="00AE1AAA" w:rsidP="00AE1AAA">
      <w:pPr>
        <w:pStyle w:val="Heading2"/>
      </w:pPr>
      <w:r w:rsidRPr="00023077">
        <w:rPr>
          <w:rStyle w:val="Heading2Char"/>
        </w:rPr>
        <w:lastRenderedPageBreak/>
        <w:t>Appendix C</w:t>
      </w:r>
      <w:r w:rsidRPr="00023077">
        <w:t xml:space="preserve"> </w:t>
      </w:r>
    </w:p>
    <w:p w14:paraId="21886E11" w14:textId="77777777" w:rsidR="00AE1AAA" w:rsidRPr="00023077" w:rsidRDefault="00AE1AAA" w:rsidP="00AE1AAA">
      <w:pPr>
        <w:keepNext/>
      </w:pPr>
      <w:r w:rsidRPr="00023077">
        <w:rPr>
          <w:noProof/>
          <w:lang w:eastAsia="en-GB"/>
        </w:rPr>
        <w:drawing>
          <wp:inline distT="0" distB="0" distL="0" distR="0" wp14:anchorId="66A00D54" wp14:editId="252C3605">
            <wp:extent cx="6645910" cy="3920490"/>
            <wp:effectExtent l="0" t="0" r="2540" b="3810"/>
            <wp:docPr id="23" name="Picture 2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Graphical user interface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2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335E1" w14:textId="77777777" w:rsidR="00AE1AAA" w:rsidRPr="00023077" w:rsidRDefault="00AE1AAA" w:rsidP="00AE1AAA">
      <w:pPr>
        <w:pStyle w:val="Caption"/>
      </w:pPr>
      <w:r w:rsidRPr="00023077">
        <w:t>Figure 2 Depth imaging flow and list of the parameters used for the different tomographic inversion and velocity updates during the velocity model building</w:t>
      </w:r>
    </w:p>
    <w:p w14:paraId="06A4552A" w14:textId="77777777" w:rsidR="00AE1AAA" w:rsidRDefault="00AE1AAA"/>
    <w:sectPr w:rsidR="00AE1A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315783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AA"/>
    <w:rsid w:val="00AE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B1186"/>
  <w15:chartTrackingRefBased/>
  <w15:docId w15:val="{4BAACC45-8131-4754-91A6-A1DE19248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AAA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styleId="Heading1">
    <w:name w:val="heading 1"/>
    <w:basedOn w:val="Normal"/>
    <w:next w:val="Normal"/>
    <w:link w:val="Heading1Char"/>
    <w:qFormat/>
    <w:rsid w:val="00AE1AAA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2"/>
      <w:szCs w:val="32"/>
    </w:rPr>
  </w:style>
  <w:style w:type="paragraph" w:styleId="Heading2">
    <w:name w:val="heading 2"/>
    <w:basedOn w:val="Normal"/>
    <w:next w:val="Normal"/>
    <w:link w:val="Heading2Char"/>
    <w:qFormat/>
    <w:rsid w:val="00AE1AAA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AE1AAA"/>
    <w:rPr>
      <w:rFonts w:ascii="Times New Roman" w:eastAsia="Times New Roman" w:hAnsi="Times New Roman" w:cs="Arial"/>
      <w:b/>
      <w:bCs/>
      <w:color w:val="000000"/>
      <w:kern w:val="2"/>
      <w:sz w:val="20"/>
      <w:szCs w:val="32"/>
      <w:lang w:val="en-GB" w:eastAsia="de-DE"/>
    </w:rPr>
  </w:style>
  <w:style w:type="character" w:customStyle="1" w:styleId="Heading2Char">
    <w:name w:val="Heading 2 Char"/>
    <w:basedOn w:val="DefaultParagraphFont"/>
    <w:link w:val="Heading2"/>
    <w:qFormat/>
    <w:rsid w:val="00AE1AAA"/>
    <w:rPr>
      <w:rFonts w:ascii="Times New Roman" w:eastAsia="Times New Roman" w:hAnsi="Times New Roman" w:cs="Arial"/>
      <w:b/>
      <w:bCs/>
      <w:iCs/>
      <w:sz w:val="20"/>
      <w:szCs w:val="28"/>
      <w:lang w:val="en-GB"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AE1AAA"/>
    <w:pPr>
      <w:spacing w:after="200" w:line="240" w:lineRule="auto"/>
    </w:pPr>
    <w:rPr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</Words>
  <Characters>366</Characters>
  <Application>Microsoft Office Word</Application>
  <DocSecurity>0</DocSecurity>
  <Lines>3</Lines>
  <Paragraphs>1</Paragraphs>
  <ScaleCrop>false</ScaleCrop>
  <Company>Springer Nature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2022-12-07T13:31:00Z</dcterms:created>
  <dcterms:modified xsi:type="dcterms:W3CDTF">2022-12-07T13:31:00Z</dcterms:modified>
</cp:coreProperties>
</file>