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EFC60D0" w14:textId="77777777" w:rsidR="0094137A" w:rsidRDefault="0094137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31B058C" w14:textId="77777777" w:rsidR="0094137A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color w:val="1A1A1A"/>
          <w:sz w:val="24"/>
          <w:szCs w:val="24"/>
        </w:rPr>
        <w:drawing>
          <wp:inline distT="114300" distB="114300" distL="114300" distR="114300" wp14:anchorId="2F7EF217" wp14:editId="341A1839">
            <wp:extent cx="5943600" cy="316230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6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EB09A9D" w14:textId="77777777" w:rsidR="0094137A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Figure 1. Cell Type Proportions in Crohn’s Patients at Diagnosis did not differ by disease stage.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Panels A, C, and D compare cell type proportions between diagnosis and control. Panel D compares neutrophil to lymphocyte ratios. No significant difference was observed between immune cell type proportions in Crohn’s patients with stage one and stage two at diagnosis.</w:t>
      </w:r>
    </w:p>
    <w:p w14:paraId="282828D7" w14:textId="77777777" w:rsidR="0094137A" w:rsidRDefault="0094137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7B3959A" w14:textId="77777777" w:rsidR="0094137A" w:rsidRDefault="00000000">
      <w:r>
        <w:rPr>
          <w:rFonts w:ascii="Times New Roman" w:eastAsia="Times New Roman" w:hAnsi="Times New Roman" w:cs="Times New Roman"/>
          <w:b/>
          <w:noProof/>
          <w:sz w:val="40"/>
          <w:szCs w:val="40"/>
        </w:rPr>
        <w:drawing>
          <wp:inline distT="114300" distB="114300" distL="114300" distR="114300" wp14:anchorId="68202190" wp14:editId="33B48FDE">
            <wp:extent cx="5943600" cy="3162300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6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sz w:val="24"/>
          <w:szCs w:val="24"/>
        </w:rPr>
        <w:t>Supplementary Figure 2. Cell Type Proportions in Crohn’s Patients at Follow-Up.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Panels A, C, and D compare cell type proportions between diagnosis and control. Panel D compares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neutrophil to lymphocyte ratios. No significant difference was observed between immune cell type proportions in Crohn’s patients with B1 and B2 phenotypes at follow-up.</w:t>
      </w:r>
    </w:p>
    <w:sectPr w:rsidR="0094137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A2E07C" w14:textId="77777777" w:rsidR="00A061FE" w:rsidRDefault="00A061FE" w:rsidP="000C15C4">
      <w:pPr>
        <w:spacing w:line="240" w:lineRule="auto"/>
      </w:pPr>
      <w:r>
        <w:separator/>
      </w:r>
    </w:p>
  </w:endnote>
  <w:endnote w:type="continuationSeparator" w:id="0">
    <w:p w14:paraId="66BFE833" w14:textId="77777777" w:rsidR="00A061FE" w:rsidRDefault="00A061FE" w:rsidP="000C15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E1F81" w14:textId="77777777" w:rsidR="000C15C4" w:rsidRDefault="000C15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55F92B" w14:textId="77777777" w:rsidR="000C15C4" w:rsidRDefault="000C15C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A9809A" w14:textId="77777777" w:rsidR="000C15C4" w:rsidRDefault="000C15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239D0E" w14:textId="77777777" w:rsidR="00A061FE" w:rsidRDefault="00A061FE" w:rsidP="000C15C4">
      <w:pPr>
        <w:spacing w:line="240" w:lineRule="auto"/>
      </w:pPr>
      <w:r>
        <w:separator/>
      </w:r>
    </w:p>
  </w:footnote>
  <w:footnote w:type="continuationSeparator" w:id="0">
    <w:p w14:paraId="712B2129" w14:textId="77777777" w:rsidR="00A061FE" w:rsidRDefault="00A061FE" w:rsidP="000C15C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782FAB" w14:textId="77777777" w:rsidR="000C15C4" w:rsidRDefault="000C15C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5EA72" w14:textId="77777777" w:rsidR="000C15C4" w:rsidRDefault="000C15C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66E035" w14:textId="77777777" w:rsidR="000C15C4" w:rsidRDefault="000C15C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137A"/>
    <w:rsid w:val="000C15C4"/>
    <w:rsid w:val="0094137A"/>
    <w:rsid w:val="00A0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67E231"/>
  <w15:docId w15:val="{05625526-483E-3342-AC52-3D7078DB0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0C15C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15C4"/>
  </w:style>
  <w:style w:type="paragraph" w:styleId="Footer">
    <w:name w:val="footer"/>
    <w:basedOn w:val="Normal"/>
    <w:link w:val="FooterChar"/>
    <w:uiPriority w:val="99"/>
    <w:unhideWhenUsed/>
    <w:rsid w:val="000C15C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15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111</Words>
  <Characters>621</Characters>
  <Application>Microsoft Office Word</Application>
  <DocSecurity>0</DocSecurity>
  <Lines>8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Samuel R. Reynolds</cp:lastModifiedBy>
  <cp:revision>2</cp:revision>
  <dcterms:created xsi:type="dcterms:W3CDTF">2022-11-23T19:28:00Z</dcterms:created>
  <dcterms:modified xsi:type="dcterms:W3CDTF">2022-11-23T19:28:00Z</dcterms:modified>
</cp:coreProperties>
</file>