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B0A160" w14:textId="77777777" w:rsidR="00393BAB" w:rsidRDefault="00393BAB" w:rsidP="00566B9D">
      <w:pPr>
        <w:rPr>
          <w:sz w:val="36"/>
          <w:szCs w:val="36"/>
        </w:rPr>
      </w:pPr>
    </w:p>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41E970DA" w14:textId="03F96096" w:rsidR="002C030F" w:rsidRDefault="009F1621" w:rsidP="003B40E6">
      <w:pPr>
        <w:jc w:val="center"/>
        <w:rPr>
          <w:sz w:val="28"/>
          <w:szCs w:val="28"/>
        </w:rPr>
      </w:pPr>
      <w:r w:rsidRPr="009F1621">
        <w:rPr>
          <w:b/>
          <w:bCs/>
          <w:sz w:val="28"/>
          <w:szCs w:val="28"/>
        </w:rPr>
        <w:t>Elucidation of the Molecular Bases and Cellular Functions of Vinculin-Actin Directional Catch Bonding</w:t>
      </w:r>
      <w:r w:rsidR="007E2786">
        <w:rPr>
          <w:b/>
          <w:bCs/>
          <w:sz w:val="28"/>
          <w:szCs w:val="28"/>
        </w:rPr>
        <w:t xml:space="preserve"> </w:t>
      </w:r>
    </w:p>
    <w:p w14:paraId="339B31F7" w14:textId="77777777" w:rsidR="00015F74" w:rsidRPr="007108F5" w:rsidRDefault="00015F74" w:rsidP="003B40E6">
      <w:pPr>
        <w:jc w:val="center"/>
        <w:rPr>
          <w:sz w:val="28"/>
          <w:szCs w:val="28"/>
        </w:rPr>
      </w:pPr>
    </w:p>
    <w:p w14:paraId="3FA9AF79" w14:textId="3F8EB73D" w:rsidR="00E92E19" w:rsidRPr="00A317E9" w:rsidRDefault="00E92E19" w:rsidP="00E92E19">
      <w:pPr>
        <w:spacing w:after="100"/>
        <w:rPr>
          <w:szCs w:val="24"/>
          <w:u w:val="single"/>
        </w:rPr>
      </w:pPr>
      <w:bookmarkStart w:id="0" w:name="_Hlk113542195"/>
      <w:r w:rsidRPr="00A317E9">
        <w:rPr>
          <w:szCs w:val="24"/>
        </w:rPr>
        <w:t>Venkat R. Chirasani</w:t>
      </w:r>
      <w:r w:rsidRPr="00A2144B">
        <w:rPr>
          <w:szCs w:val="24"/>
        </w:rPr>
        <w:t>,</w:t>
      </w:r>
      <w:r w:rsidRPr="00A317E9">
        <w:rPr>
          <w:szCs w:val="24"/>
          <w:vertAlign w:val="superscript"/>
        </w:rPr>
        <w:t>1</w:t>
      </w:r>
      <w:r w:rsidRPr="00A2144B">
        <w:rPr>
          <w:color w:val="000000"/>
          <w:szCs w:val="24"/>
        </w:rPr>
        <w:t>†</w:t>
      </w:r>
      <w:r w:rsidRPr="00A317E9">
        <w:rPr>
          <w:szCs w:val="24"/>
        </w:rPr>
        <w:t xml:space="preserve"> </w:t>
      </w:r>
      <w:r w:rsidRPr="00A2144B">
        <w:rPr>
          <w:szCs w:val="24"/>
        </w:rPr>
        <w:t>Mohammad Ashhar I. Khan,</w:t>
      </w:r>
      <w:r w:rsidRPr="00A317E9">
        <w:rPr>
          <w:szCs w:val="24"/>
          <w:vertAlign w:val="superscript"/>
        </w:rPr>
        <w:t>1</w:t>
      </w:r>
      <w:r w:rsidRPr="00A2144B">
        <w:rPr>
          <w:color w:val="000000"/>
          <w:szCs w:val="24"/>
        </w:rPr>
        <w:t>†</w:t>
      </w:r>
      <w:r w:rsidRPr="00A317E9">
        <w:rPr>
          <w:szCs w:val="24"/>
        </w:rPr>
        <w:t xml:space="preserve"> Juilee N. Malavade</w:t>
      </w:r>
      <w:r w:rsidRPr="00A2144B">
        <w:rPr>
          <w:szCs w:val="24"/>
        </w:rPr>
        <w:t>,</w:t>
      </w:r>
      <w:r w:rsidRPr="00A317E9">
        <w:rPr>
          <w:szCs w:val="24"/>
          <w:vertAlign w:val="superscript"/>
        </w:rPr>
        <w:t>2</w:t>
      </w:r>
      <w:r w:rsidRPr="00A2144B">
        <w:rPr>
          <w:color w:val="000000"/>
          <w:szCs w:val="24"/>
        </w:rPr>
        <w:t>†</w:t>
      </w:r>
      <w:r w:rsidRPr="00A317E9">
        <w:rPr>
          <w:szCs w:val="24"/>
        </w:rPr>
        <w:t xml:space="preserve"> Nikolay </w:t>
      </w:r>
      <w:r w:rsidRPr="00A2144B">
        <w:rPr>
          <w:szCs w:val="24"/>
        </w:rPr>
        <w:t xml:space="preserve">V. </w:t>
      </w:r>
      <w:r w:rsidRPr="00A317E9">
        <w:rPr>
          <w:szCs w:val="24"/>
        </w:rPr>
        <w:t>Dokholyan</w:t>
      </w:r>
      <w:r w:rsidRPr="00A2144B">
        <w:rPr>
          <w:szCs w:val="24"/>
        </w:rPr>
        <w:t>,</w:t>
      </w:r>
      <w:r w:rsidRPr="00A317E9">
        <w:rPr>
          <w:szCs w:val="24"/>
          <w:vertAlign w:val="superscript"/>
        </w:rPr>
        <w:t>3</w:t>
      </w:r>
      <w:r w:rsidRPr="00E3103D">
        <w:rPr>
          <w:szCs w:val="24"/>
        </w:rPr>
        <w:t>‡</w:t>
      </w:r>
      <w:r w:rsidRPr="00A317E9">
        <w:rPr>
          <w:szCs w:val="24"/>
        </w:rPr>
        <w:t xml:space="preserve"> Brenton D. Hoffman</w:t>
      </w:r>
      <w:r w:rsidRPr="00A2144B">
        <w:rPr>
          <w:szCs w:val="24"/>
        </w:rPr>
        <w:t>,</w:t>
      </w:r>
      <w:r w:rsidRPr="00A317E9">
        <w:rPr>
          <w:szCs w:val="24"/>
          <w:vertAlign w:val="superscript"/>
        </w:rPr>
        <w:t>2</w:t>
      </w:r>
      <w:r>
        <w:rPr>
          <w:szCs w:val="24"/>
          <w:vertAlign w:val="superscript"/>
        </w:rPr>
        <w:t>,4</w:t>
      </w:r>
      <w:r w:rsidRPr="00E3103D">
        <w:rPr>
          <w:szCs w:val="24"/>
        </w:rPr>
        <w:t>‡</w:t>
      </w:r>
      <w:r w:rsidRPr="00A2144B">
        <w:rPr>
          <w:color w:val="000000"/>
          <w:szCs w:val="24"/>
        </w:rPr>
        <w:t>*</w:t>
      </w:r>
      <w:r w:rsidR="00E67E3A" w:rsidRPr="00E67E3A">
        <w:rPr>
          <w:szCs w:val="24"/>
        </w:rPr>
        <w:t xml:space="preserve"> </w:t>
      </w:r>
      <w:r w:rsidRPr="00A317E9">
        <w:rPr>
          <w:szCs w:val="24"/>
        </w:rPr>
        <w:t xml:space="preserve">Sharon </w:t>
      </w:r>
      <w:r w:rsidR="00835D51">
        <w:rPr>
          <w:szCs w:val="24"/>
        </w:rPr>
        <w:t xml:space="preserve">L. </w:t>
      </w:r>
      <w:r w:rsidRPr="00A317E9">
        <w:rPr>
          <w:szCs w:val="24"/>
        </w:rPr>
        <w:t>Campbell</w:t>
      </w:r>
      <w:r w:rsidRPr="00A317E9">
        <w:rPr>
          <w:szCs w:val="24"/>
          <w:vertAlign w:val="superscript"/>
        </w:rPr>
        <w:t>1,</w:t>
      </w:r>
      <w:r>
        <w:rPr>
          <w:szCs w:val="24"/>
          <w:vertAlign w:val="superscript"/>
        </w:rPr>
        <w:t>5</w:t>
      </w:r>
      <w:r w:rsidRPr="00E3103D">
        <w:rPr>
          <w:szCs w:val="24"/>
        </w:rPr>
        <w:t>‡</w:t>
      </w:r>
      <w:r w:rsidRPr="00A2144B">
        <w:rPr>
          <w:color w:val="000000"/>
          <w:szCs w:val="24"/>
        </w:rPr>
        <w:t>*</w:t>
      </w:r>
      <w:bookmarkEnd w:id="0"/>
    </w:p>
    <w:p w14:paraId="5ABF60CF" w14:textId="77777777" w:rsidR="00E92E19" w:rsidRPr="00A2144B" w:rsidRDefault="00E92E19" w:rsidP="00E92E19">
      <w:pPr>
        <w:pBdr>
          <w:top w:val="nil"/>
          <w:left w:val="nil"/>
          <w:bottom w:val="nil"/>
          <w:right w:val="nil"/>
          <w:between w:val="nil"/>
        </w:pBdr>
        <w:rPr>
          <w:b/>
          <w:color w:val="000000"/>
          <w:szCs w:val="24"/>
        </w:rPr>
      </w:pPr>
    </w:p>
    <w:p w14:paraId="7AF1D357" w14:textId="77777777" w:rsidR="00E92E19" w:rsidRDefault="00E92E19" w:rsidP="00E92E19">
      <w:pPr>
        <w:pBdr>
          <w:top w:val="nil"/>
          <w:left w:val="nil"/>
          <w:bottom w:val="nil"/>
          <w:right w:val="nil"/>
          <w:between w:val="nil"/>
        </w:pBdr>
        <w:rPr>
          <w:color w:val="000000"/>
          <w:szCs w:val="24"/>
        </w:rPr>
      </w:pPr>
      <w:bookmarkStart w:id="1" w:name="_Hlk113542210"/>
      <w:r w:rsidRPr="00A2144B">
        <w:rPr>
          <w:color w:val="000000"/>
          <w:szCs w:val="24"/>
        </w:rPr>
        <w:t>†</w:t>
      </w:r>
      <w:r w:rsidRPr="00A317E9">
        <w:rPr>
          <w:color w:val="000000"/>
          <w:szCs w:val="24"/>
        </w:rPr>
        <w:t>These authors contributed equally to this work</w:t>
      </w:r>
      <w:r w:rsidRPr="00A2144B">
        <w:rPr>
          <w:color w:val="000000"/>
          <w:szCs w:val="24"/>
        </w:rPr>
        <w:t>.</w:t>
      </w:r>
    </w:p>
    <w:p w14:paraId="2A45B142" w14:textId="77777777" w:rsidR="00E92E19" w:rsidRPr="00A2144B" w:rsidRDefault="00E92E19" w:rsidP="00E92E19">
      <w:pPr>
        <w:pBdr>
          <w:top w:val="nil"/>
          <w:left w:val="nil"/>
          <w:bottom w:val="nil"/>
          <w:right w:val="nil"/>
          <w:between w:val="nil"/>
        </w:pBdr>
        <w:rPr>
          <w:color w:val="000000"/>
          <w:szCs w:val="24"/>
        </w:rPr>
      </w:pPr>
      <w:r w:rsidRPr="00E3103D">
        <w:rPr>
          <w:szCs w:val="24"/>
        </w:rPr>
        <w:t>‡</w:t>
      </w:r>
      <w:r w:rsidRPr="00A317E9">
        <w:rPr>
          <w:color w:val="000000"/>
          <w:szCs w:val="24"/>
        </w:rPr>
        <w:t>These authors contributed equally to this work</w:t>
      </w:r>
      <w:r w:rsidRPr="00A2144B">
        <w:rPr>
          <w:color w:val="000000"/>
          <w:szCs w:val="24"/>
        </w:rPr>
        <w:t xml:space="preserve">. </w:t>
      </w:r>
    </w:p>
    <w:p w14:paraId="050BA42C" w14:textId="4EAE062B" w:rsidR="00ED2CBE" w:rsidRDefault="00E92E19" w:rsidP="00E92E19">
      <w:pPr>
        <w:pStyle w:val="PubInfo"/>
        <w:jc w:val="both"/>
      </w:pPr>
      <w:r w:rsidRPr="00A317E9">
        <w:rPr>
          <w:color w:val="000000"/>
          <w:sz w:val="24"/>
          <w:szCs w:val="24"/>
          <w:vertAlign w:val="superscript"/>
        </w:rPr>
        <w:t>*</w:t>
      </w:r>
      <w:r w:rsidRPr="00A2144B">
        <w:rPr>
          <w:color w:val="000000"/>
          <w:sz w:val="24"/>
          <w:szCs w:val="24"/>
        </w:rPr>
        <w:t>Corresponding authors. Email:</w:t>
      </w:r>
      <w:r w:rsidRPr="00A317E9">
        <w:rPr>
          <w:color w:val="000000"/>
          <w:sz w:val="24"/>
          <w:szCs w:val="24"/>
        </w:rPr>
        <w:t xml:space="preserve"> </w:t>
      </w:r>
      <w:hyperlink r:id="rId10" w:history="1">
        <w:r w:rsidRPr="00A317E9">
          <w:rPr>
            <w:rStyle w:val="Hyperlink"/>
            <w:sz w:val="24"/>
            <w:szCs w:val="24"/>
          </w:rPr>
          <w:t>brenton.hoffman@duke.edu</w:t>
        </w:r>
      </w:hyperlink>
      <w:r w:rsidRPr="00A317E9">
        <w:rPr>
          <w:color w:val="000000"/>
          <w:sz w:val="24"/>
          <w:szCs w:val="24"/>
        </w:rPr>
        <w:t xml:space="preserve"> (B.D.H.); </w:t>
      </w:r>
      <w:hyperlink r:id="rId11" w:history="1">
        <w:r w:rsidRPr="00A317E9">
          <w:rPr>
            <w:rStyle w:val="Hyperlink"/>
            <w:sz w:val="24"/>
            <w:szCs w:val="24"/>
          </w:rPr>
          <w:t>campbesl@med.unc.edu</w:t>
        </w:r>
      </w:hyperlink>
      <w:r w:rsidRPr="00A317E9">
        <w:rPr>
          <w:color w:val="000000"/>
          <w:sz w:val="24"/>
          <w:szCs w:val="24"/>
        </w:rPr>
        <w:t xml:space="preserve"> (S.L.C.)</w:t>
      </w:r>
      <w:bookmarkEnd w:id="1"/>
      <w:r w:rsidRPr="00A317E9">
        <w:rPr>
          <w:color w:val="000000"/>
          <w:sz w:val="24"/>
          <w:szCs w:val="24"/>
        </w:rPr>
        <w:t xml:space="preserve"> </w:t>
      </w:r>
    </w:p>
    <w:p w14:paraId="71939F02" w14:textId="77777777" w:rsidR="00533910" w:rsidRPr="00EE59BE" w:rsidRDefault="00533910" w:rsidP="00533910">
      <w:pPr>
        <w:jc w:val="center"/>
      </w:pPr>
    </w:p>
    <w:p w14:paraId="3A1047ED" w14:textId="77777777" w:rsidR="00533910" w:rsidRDefault="00533910" w:rsidP="005001AC">
      <w:pPr>
        <w:jc w:val="center"/>
        <w:rPr>
          <w:szCs w:val="24"/>
        </w:rPr>
      </w:pPr>
    </w:p>
    <w:p w14:paraId="546CBFCA" w14:textId="77777777" w:rsidR="002C030F" w:rsidRPr="00262D72" w:rsidRDefault="009743A9">
      <w:pPr>
        <w:rPr>
          <w:b/>
        </w:rPr>
      </w:pPr>
      <w:r>
        <w:rPr>
          <w:b/>
        </w:rPr>
        <w:t xml:space="preserve">This PDF file </w:t>
      </w:r>
      <w:r w:rsidR="002C030F" w:rsidRPr="00262D72">
        <w:rPr>
          <w:b/>
        </w:rPr>
        <w:t>includes:</w:t>
      </w:r>
    </w:p>
    <w:p w14:paraId="6B069C4B" w14:textId="77777777" w:rsidR="002C030F" w:rsidRDefault="002C030F"/>
    <w:p w14:paraId="39DE064C" w14:textId="7B284D3A" w:rsidR="002C030F" w:rsidRDefault="00BB2D2A" w:rsidP="00D12A1A">
      <w:pPr>
        <w:ind w:left="720"/>
      </w:pPr>
      <w:r>
        <w:t>Supplementary</w:t>
      </w:r>
      <w:r w:rsidR="00AB399E">
        <w:t xml:space="preserve"> </w:t>
      </w:r>
      <w:r w:rsidR="002C030F">
        <w:t>Fig</w:t>
      </w:r>
      <w:r w:rsidR="00A3403B">
        <w:t xml:space="preserve">s. </w:t>
      </w:r>
      <w:r w:rsidR="002C030F">
        <w:t>S1</w:t>
      </w:r>
      <w:r w:rsidR="00A3403B">
        <w:t xml:space="preserve"> to </w:t>
      </w:r>
      <w:r w:rsidR="002C030F">
        <w:t>S</w:t>
      </w:r>
      <w:r w:rsidR="00D12A1A">
        <w:t>12</w:t>
      </w:r>
    </w:p>
    <w:p w14:paraId="15A45DAA" w14:textId="5A9A3770" w:rsidR="00F74F95" w:rsidRDefault="00F74F95" w:rsidP="00262D72">
      <w:pPr>
        <w:ind w:left="720"/>
      </w:pPr>
      <w:r>
        <w:t>Movi</w:t>
      </w:r>
      <w:r w:rsidR="00AB399E">
        <w:t>es</w:t>
      </w:r>
      <w:r>
        <w:t xml:space="preserve"> S1 to S</w:t>
      </w:r>
      <w:r w:rsidR="001374DE">
        <w:t>6</w:t>
      </w:r>
    </w:p>
    <w:p w14:paraId="68691C5A" w14:textId="25422B68" w:rsidR="00065EBD" w:rsidRDefault="00E3424D" w:rsidP="00E3424D">
      <w:pPr>
        <w:ind w:left="720"/>
      </w:pPr>
      <w:r>
        <w:t>Table S1</w:t>
      </w:r>
      <w:r w:rsidR="009E75E6">
        <w:t xml:space="preserve"> in Supplementary </w:t>
      </w:r>
      <w:r w:rsidR="003C1467">
        <w:t>PDF file</w:t>
      </w:r>
    </w:p>
    <w:p w14:paraId="23718CE0" w14:textId="77777777" w:rsidR="00015F74" w:rsidRDefault="00015F74" w:rsidP="00262D72">
      <w:pPr>
        <w:ind w:left="720"/>
      </w:pPr>
      <w:r>
        <w:br/>
      </w:r>
    </w:p>
    <w:p w14:paraId="7F6E0C41" w14:textId="03BC466D" w:rsidR="00355362" w:rsidRDefault="00015F74" w:rsidP="009A7C5F">
      <w:pPr>
        <w:pStyle w:val="SMHeading"/>
      </w:pPr>
      <w:r>
        <w:br w:type="page"/>
      </w:r>
      <w:bookmarkStart w:id="2" w:name="Tables"/>
      <w:bookmarkStart w:id="3" w:name="MaterialsMethods"/>
      <w:bookmarkEnd w:id="2"/>
      <w:bookmarkEnd w:id="3"/>
    </w:p>
    <w:p w14:paraId="56F29DC2" w14:textId="7A269BCE" w:rsidR="008218C4" w:rsidRDefault="009F1621" w:rsidP="009F1621">
      <w:pPr>
        <w:pStyle w:val="SMText"/>
        <w:ind w:firstLine="0"/>
        <w:jc w:val="center"/>
      </w:pPr>
      <w:r>
        <w:rPr>
          <w:noProof/>
        </w:rPr>
        <w:lastRenderedPageBreak/>
        <w:drawing>
          <wp:inline distT="0" distB="0" distL="0" distR="0" wp14:anchorId="36341C5B" wp14:editId="0830A5E7">
            <wp:extent cx="4514097" cy="5199899"/>
            <wp:effectExtent l="0" t="0" r="1270" b="1270"/>
            <wp:docPr id="224" name="Google Shape;224;p2" descr="A picture containing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224" name="Google Shape;224;p2" descr="A picture containing diagram&#10;&#10;Description automatically generated"/>
                    <pic:cNvPicPr preferRelativeResize="0"/>
                  </pic:nvPicPr>
                  <pic:blipFill rotWithShape="1">
                    <a:blip r:embed="rId12">
                      <a:alphaModFix/>
                    </a:blip>
                    <a:srcRect/>
                    <a:stretch/>
                  </pic:blipFill>
                  <pic:spPr>
                    <a:xfrm>
                      <a:off x="0" y="0"/>
                      <a:ext cx="4514097" cy="5199899"/>
                    </a:xfrm>
                    <a:prstGeom prst="rect">
                      <a:avLst/>
                    </a:prstGeom>
                    <a:noFill/>
                    <a:ln>
                      <a:noFill/>
                    </a:ln>
                  </pic:spPr>
                </pic:pic>
              </a:graphicData>
            </a:graphic>
          </wp:inline>
        </w:drawing>
      </w:r>
    </w:p>
    <w:p w14:paraId="592B7CAE" w14:textId="77777777" w:rsidR="00D12A1A" w:rsidRDefault="00D12A1A" w:rsidP="00D12A1A">
      <w:pPr>
        <w:pStyle w:val="SMHeading"/>
      </w:pPr>
    </w:p>
    <w:p w14:paraId="7A53006B" w14:textId="5CA8F77E" w:rsidR="00D12A1A" w:rsidRPr="00D12A1A" w:rsidRDefault="007411A1" w:rsidP="00BC59A4">
      <w:pPr>
        <w:pStyle w:val="SMHeading"/>
        <w:jc w:val="both"/>
      </w:pPr>
      <w:r w:rsidRPr="00355362">
        <w:t>Fig. S1.</w:t>
      </w:r>
      <w:r w:rsidR="00D12A1A">
        <w:t xml:space="preserve"> </w:t>
      </w:r>
      <w:r w:rsidR="00D12A1A" w:rsidRPr="00D12A1A">
        <w:rPr>
          <w:rFonts w:eastAsia="Calibri"/>
          <w:bCs w:val="0"/>
        </w:rPr>
        <w:t>Lifetimes of single interface protein-protein interactions at FAs and AJs.</w:t>
      </w:r>
    </w:p>
    <w:p w14:paraId="4D46A919" w14:textId="5D43EF4C" w:rsidR="00015F74" w:rsidRDefault="00D12A1A" w:rsidP="00BC59A4">
      <w:pPr>
        <w:pStyle w:val="SMcaption"/>
        <w:spacing w:line="276" w:lineRule="auto"/>
        <w:jc w:val="both"/>
      </w:pPr>
      <w:r w:rsidRPr="00EA1A42">
        <w:rPr>
          <w:rFonts w:eastAsia="Calibri"/>
          <w:szCs w:val="24"/>
        </w:rPr>
        <w:t>Schematic representations of force-sensitive cellular adhesion structures</w:t>
      </w:r>
      <w:r w:rsidRPr="000E30CC">
        <w:rPr>
          <w:rFonts w:eastAsia="Calibri"/>
          <w:b/>
          <w:szCs w:val="24"/>
        </w:rPr>
        <w:t xml:space="preserve"> (A) </w:t>
      </w:r>
      <w:r w:rsidRPr="000E30CC">
        <w:rPr>
          <w:rFonts w:eastAsia="Calibri"/>
          <w:bCs/>
          <w:szCs w:val="24"/>
        </w:rPr>
        <w:t xml:space="preserve">linking the cell to the extracellular matrix or </w:t>
      </w:r>
      <w:r w:rsidRPr="000E30CC">
        <w:rPr>
          <w:rFonts w:eastAsia="Calibri"/>
          <w:b/>
          <w:szCs w:val="24"/>
        </w:rPr>
        <w:t>(B)</w:t>
      </w:r>
      <w:r w:rsidRPr="000E30CC">
        <w:rPr>
          <w:rFonts w:eastAsia="Calibri"/>
          <w:bCs/>
          <w:szCs w:val="24"/>
        </w:rPr>
        <w:t xml:space="preserve"> to other cells. </w:t>
      </w:r>
      <w:r w:rsidRPr="000E30CC">
        <w:rPr>
          <w:rFonts w:eastAsia="Calibri"/>
          <w:b/>
          <w:szCs w:val="24"/>
        </w:rPr>
        <w:t>(C)</w:t>
      </w:r>
      <w:r w:rsidRPr="000E30CC">
        <w:rPr>
          <w:rFonts w:eastAsia="Calibri"/>
          <w:bCs/>
          <w:szCs w:val="24"/>
        </w:rPr>
        <w:t xml:space="preserve"> Bond lifetimes for single interface protein-protein interactions measured via single molecule force spectroscopy studies (SMFS) at FAs and AJs</w:t>
      </w:r>
      <w:r>
        <w:rPr>
          <w:rFonts w:eastAsia="Calibri"/>
          <w:bCs/>
          <w:szCs w:val="24"/>
        </w:rPr>
        <w:t>.</w:t>
      </w:r>
    </w:p>
    <w:p w14:paraId="2AD205DD" w14:textId="77777777" w:rsidR="009A5287" w:rsidRDefault="009A5287" w:rsidP="00B9440A">
      <w:pPr>
        <w:pStyle w:val="SMcaption"/>
      </w:pPr>
    </w:p>
    <w:p w14:paraId="77546BD5" w14:textId="77777777" w:rsidR="009F1621" w:rsidRDefault="009F1621">
      <w:r>
        <w:br w:type="page"/>
      </w:r>
    </w:p>
    <w:p w14:paraId="5637CAB2" w14:textId="223EC816" w:rsidR="009A5287" w:rsidRDefault="009F1621" w:rsidP="009F1621">
      <w:pPr>
        <w:pStyle w:val="SMcaption"/>
        <w:ind w:left="-720"/>
        <w:jc w:val="center"/>
      </w:pPr>
      <w:r>
        <w:rPr>
          <w:noProof/>
        </w:rPr>
        <w:lastRenderedPageBreak/>
        <w:drawing>
          <wp:inline distT="0" distB="0" distL="0" distR="0" wp14:anchorId="582BDF40" wp14:editId="0DF42457">
            <wp:extent cx="6821327" cy="31069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888345" cy="3137458"/>
                    </a:xfrm>
                    <a:prstGeom prst="rect">
                      <a:avLst/>
                    </a:prstGeom>
                    <a:noFill/>
                  </pic:spPr>
                </pic:pic>
              </a:graphicData>
            </a:graphic>
          </wp:inline>
        </w:drawing>
      </w:r>
    </w:p>
    <w:p w14:paraId="63F11849" w14:textId="77777777" w:rsidR="00D12A1A" w:rsidRDefault="00D12A1A" w:rsidP="00D12A1A">
      <w:pPr>
        <w:pStyle w:val="SMHeading"/>
        <w:jc w:val="both"/>
      </w:pPr>
    </w:p>
    <w:p w14:paraId="665A26E7" w14:textId="745B0C3B" w:rsidR="00D12A1A" w:rsidRDefault="00112C5B" w:rsidP="00D12A1A">
      <w:pPr>
        <w:pStyle w:val="SMHeading"/>
        <w:jc w:val="both"/>
      </w:pPr>
      <w:r w:rsidRPr="00355362">
        <w:t>Fig. S2</w:t>
      </w:r>
      <w:r w:rsidR="008218C4">
        <w:t>.</w:t>
      </w:r>
      <w:r w:rsidR="00D12A1A">
        <w:t xml:space="preserve"> </w:t>
      </w:r>
      <w:r w:rsidR="00D12A1A" w:rsidRPr="00D12A1A">
        <w:t xml:space="preserve">DAFS residues retain the </w:t>
      </w:r>
      <w:proofErr w:type="spellStart"/>
      <w:proofErr w:type="gramStart"/>
      <w:r w:rsidR="00D12A1A" w:rsidRPr="00D12A1A">
        <w:t>Vt:Lipid</w:t>
      </w:r>
      <w:proofErr w:type="spellEnd"/>
      <w:proofErr w:type="gramEnd"/>
      <w:r w:rsidR="00D12A1A" w:rsidRPr="00D12A1A">
        <w:t xml:space="preserve"> interactions.</w:t>
      </w:r>
      <w:r w:rsidR="00D12A1A">
        <w:t xml:space="preserve"> </w:t>
      </w:r>
    </w:p>
    <w:p w14:paraId="71C4C6B3" w14:textId="40B724B2" w:rsidR="00477182" w:rsidRDefault="00D12A1A" w:rsidP="001374DE">
      <w:pPr>
        <w:pStyle w:val="SMHeading"/>
        <w:spacing w:before="0" w:line="276" w:lineRule="auto"/>
        <w:jc w:val="both"/>
      </w:pPr>
      <w:r w:rsidRPr="00D12A1A">
        <w:rPr>
          <w:b w:val="0"/>
        </w:rPr>
        <w:t>Lipid co-s</w:t>
      </w:r>
      <w:r w:rsidRPr="00D12A1A">
        <w:rPr>
          <w:b w:val="0"/>
        </w:rPr>
        <w:softHyphen/>
      </w:r>
      <w:r w:rsidRPr="00D12A1A">
        <w:rPr>
          <w:b w:val="0"/>
        </w:rPr>
        <w:softHyphen/>
      </w:r>
      <w:r w:rsidRPr="00D12A1A">
        <w:rPr>
          <w:b w:val="0"/>
        </w:rPr>
        <w:softHyphen/>
      </w:r>
      <w:r w:rsidRPr="00D12A1A">
        <w:rPr>
          <w:b w:val="0"/>
        </w:rPr>
        <w:softHyphen/>
        <w:t xml:space="preserve">edimentation assay comparing association of WT Vt and DAFS Vt variants with large unilamellar vesicles (LUVs). The DAFS Vt variants exhibit similar lipid binding for </w:t>
      </w:r>
      <w:r w:rsidRPr="00D12A1A">
        <w:t>(A)</w:t>
      </w:r>
      <w:r>
        <w:rPr>
          <w:b w:val="0"/>
        </w:rPr>
        <w:t xml:space="preserve"> </w:t>
      </w:r>
      <w:r w:rsidRPr="00D12A1A">
        <w:rPr>
          <w:b w:val="0"/>
        </w:rPr>
        <w:t xml:space="preserve">neutral and </w:t>
      </w:r>
      <w:r w:rsidRPr="00D12A1A">
        <w:t>(B)</w:t>
      </w:r>
      <w:r>
        <w:rPr>
          <w:b w:val="0"/>
        </w:rPr>
        <w:t xml:space="preserve"> </w:t>
      </w:r>
      <w:r w:rsidRPr="00D12A1A">
        <w:rPr>
          <w:b w:val="0"/>
        </w:rPr>
        <w:t xml:space="preserve">anionic phospholipids relative to WT Vt. Box-whisker plot with 7 data points from 2 independent experiments are presented. One-way ANOVA and Tukey’s HSD Test were used for statistical analysis. Different letters denote significant difference at p&lt;0.05. See </w:t>
      </w:r>
      <w:r w:rsidRPr="00763998">
        <w:t>Table S1</w:t>
      </w:r>
      <w:r w:rsidRPr="00D12A1A">
        <w:rPr>
          <w:b w:val="0"/>
        </w:rPr>
        <w:t xml:space="preserve"> for a detailed listing of p-values.</w:t>
      </w:r>
    </w:p>
    <w:p w14:paraId="2507BD7C" w14:textId="77777777" w:rsidR="00670299" w:rsidRDefault="00670299" w:rsidP="00670299">
      <w:pPr>
        <w:pStyle w:val="SMcaption"/>
      </w:pPr>
    </w:p>
    <w:p w14:paraId="34FD0CA6" w14:textId="7D6646C4" w:rsidR="009F1621" w:rsidRDefault="009F1621">
      <w:r>
        <w:br w:type="page"/>
      </w:r>
    </w:p>
    <w:p w14:paraId="57B5CB88" w14:textId="4A55D8C9" w:rsidR="009A5287" w:rsidRDefault="009F1621" w:rsidP="009F1621">
      <w:pPr>
        <w:pStyle w:val="SMcaption"/>
        <w:jc w:val="center"/>
      </w:pPr>
      <w:r w:rsidRPr="009F1621">
        <w:rPr>
          <w:noProof/>
        </w:rPr>
        <w:lastRenderedPageBreak/>
        <w:drawing>
          <wp:inline distT="0" distB="0" distL="0" distR="0" wp14:anchorId="5A6A6146" wp14:editId="0B73F98F">
            <wp:extent cx="5943600" cy="3977640"/>
            <wp:effectExtent l="0" t="0" r="0" b="3810"/>
            <wp:docPr id="360" name="Google Shape;360;p10" descr="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360" name="Google Shape;360;p10" descr="Graphical user interface&#10;&#10;Description automatically generated"/>
                    <pic:cNvPicPr preferRelativeResize="0"/>
                  </pic:nvPicPr>
                  <pic:blipFill rotWithShape="1">
                    <a:blip r:embed="rId14">
                      <a:alphaModFix/>
                    </a:blip>
                    <a:srcRect/>
                    <a:stretch/>
                  </pic:blipFill>
                  <pic:spPr>
                    <a:xfrm>
                      <a:off x="0" y="0"/>
                      <a:ext cx="5943600" cy="3977640"/>
                    </a:xfrm>
                    <a:prstGeom prst="rect">
                      <a:avLst/>
                    </a:prstGeom>
                    <a:noFill/>
                    <a:ln>
                      <a:noFill/>
                    </a:ln>
                  </pic:spPr>
                </pic:pic>
              </a:graphicData>
            </a:graphic>
          </wp:inline>
        </w:drawing>
      </w:r>
    </w:p>
    <w:p w14:paraId="7A7AFF90" w14:textId="77777777" w:rsidR="00D12A1A" w:rsidRDefault="00D12A1A" w:rsidP="00D12A1A">
      <w:pPr>
        <w:pStyle w:val="SMHeading"/>
      </w:pPr>
    </w:p>
    <w:p w14:paraId="0B35D29F" w14:textId="780F3541" w:rsidR="009A5287" w:rsidRDefault="00112C5B" w:rsidP="00D12A1A">
      <w:pPr>
        <w:pStyle w:val="SMHeading"/>
      </w:pPr>
      <w:r w:rsidRPr="00355362">
        <w:t>Fig. S</w:t>
      </w:r>
      <w:r w:rsidR="00355362">
        <w:t>3</w:t>
      </w:r>
      <w:r w:rsidR="008218C4">
        <w:t>.</w:t>
      </w:r>
      <w:r w:rsidR="00D12A1A">
        <w:t xml:space="preserve"> </w:t>
      </w:r>
      <w:r w:rsidR="00D12A1A" w:rsidRPr="00D12A1A">
        <w:t>VcnCS DAFS variants do not display altered FA characteristics.</w:t>
      </w:r>
    </w:p>
    <w:p w14:paraId="04B24A0F" w14:textId="436AECE7" w:rsidR="00D12A1A" w:rsidRDefault="00D12A1A" w:rsidP="001374DE">
      <w:pPr>
        <w:pStyle w:val="SMHeading"/>
        <w:spacing w:before="0" w:line="276" w:lineRule="auto"/>
        <w:jc w:val="both"/>
      </w:pPr>
      <w:r w:rsidRPr="00D12A1A">
        <w:rPr>
          <w:bCs w:val="0"/>
          <w:kern w:val="0"/>
        </w:rPr>
        <w:t xml:space="preserve">(A-D) </w:t>
      </w:r>
      <w:r w:rsidRPr="00D12A1A">
        <w:rPr>
          <w:b w:val="0"/>
          <w:bCs w:val="0"/>
          <w:kern w:val="0"/>
        </w:rPr>
        <w:t>Representative images of Vcn</w:t>
      </w:r>
      <w:r w:rsidRPr="00D12A1A">
        <w:rPr>
          <w:b w:val="0"/>
          <w:bCs w:val="0"/>
          <w:kern w:val="0"/>
          <w:vertAlign w:val="superscript"/>
        </w:rPr>
        <w:t>-/-</w:t>
      </w:r>
      <w:r w:rsidRPr="00D12A1A">
        <w:rPr>
          <w:b w:val="0"/>
          <w:bCs w:val="0"/>
          <w:kern w:val="0"/>
        </w:rPr>
        <w:t xml:space="preserve"> MEFs expressing WT VcnCS or DAFS variants of VcnCS. WT VcnCS is shown in gray and variants of VcnCS are shown in shades of blue. Quantification of FA morphometric characteristics including (</w:t>
      </w:r>
      <w:r w:rsidRPr="00D12A1A">
        <w:rPr>
          <w:bCs w:val="0"/>
          <w:kern w:val="0"/>
        </w:rPr>
        <w:t xml:space="preserve">E) </w:t>
      </w:r>
      <w:r w:rsidRPr="00D12A1A">
        <w:rPr>
          <w:b w:val="0"/>
          <w:bCs w:val="0"/>
          <w:kern w:val="0"/>
        </w:rPr>
        <w:t>FA number, (</w:t>
      </w:r>
      <w:r w:rsidRPr="00D12A1A">
        <w:rPr>
          <w:bCs w:val="0"/>
          <w:kern w:val="0"/>
        </w:rPr>
        <w:t xml:space="preserve">F) </w:t>
      </w:r>
      <w:r w:rsidRPr="00D12A1A">
        <w:rPr>
          <w:b w:val="0"/>
          <w:bCs w:val="0"/>
          <w:kern w:val="0"/>
        </w:rPr>
        <w:t>FA area, (</w:t>
      </w:r>
      <w:r w:rsidRPr="00D12A1A">
        <w:rPr>
          <w:bCs w:val="0"/>
          <w:kern w:val="0"/>
        </w:rPr>
        <w:t>G</w:t>
      </w:r>
      <w:r w:rsidRPr="00D12A1A">
        <w:rPr>
          <w:b w:val="0"/>
          <w:bCs w:val="0"/>
          <w:kern w:val="0"/>
        </w:rPr>
        <w:t>) FA axis ratio, and (</w:t>
      </w:r>
      <w:r w:rsidRPr="00D12A1A">
        <w:rPr>
          <w:bCs w:val="0"/>
          <w:kern w:val="0"/>
        </w:rPr>
        <w:t>H</w:t>
      </w:r>
      <w:r w:rsidRPr="00D12A1A">
        <w:rPr>
          <w:b w:val="0"/>
          <w:bCs w:val="0"/>
          <w:kern w:val="0"/>
        </w:rPr>
        <w:t>) standard deviation of FA orientation. Plots shown for WT VcnCS and DAFS variants of VcnCS (</w:t>
      </w:r>
      <w:r w:rsidRPr="00D12A1A">
        <w:rPr>
          <w:b w:val="0"/>
          <w:bCs w:val="0"/>
          <w:i/>
          <w:kern w:val="0"/>
        </w:rPr>
        <w:t>n</w:t>
      </w:r>
      <w:r w:rsidRPr="00D12A1A">
        <w:rPr>
          <w:b w:val="0"/>
          <w:bCs w:val="0"/>
          <w:kern w:val="0"/>
        </w:rPr>
        <w:t>= 37, 41, 47, 53 cells, respectively, collected over 3 independent experiments). One-way ANOVA followed by a Steel-</w:t>
      </w:r>
      <w:proofErr w:type="spellStart"/>
      <w:r w:rsidRPr="00D12A1A">
        <w:rPr>
          <w:b w:val="0"/>
          <w:bCs w:val="0"/>
          <w:kern w:val="0"/>
        </w:rPr>
        <w:t>Dwass</w:t>
      </w:r>
      <w:proofErr w:type="spellEnd"/>
      <w:r w:rsidRPr="00D12A1A">
        <w:rPr>
          <w:b w:val="0"/>
          <w:bCs w:val="0"/>
          <w:kern w:val="0"/>
        </w:rPr>
        <w:t xml:space="preserve"> test (E, F, G) or Tukey’s HSD test (H), conducted across all VcnVenus, VcnCS and VcnTS constructs were used for statistical analysis. Differing letters denote significant difference at </w:t>
      </w:r>
      <w:r w:rsidRPr="00D12A1A">
        <w:rPr>
          <w:b w:val="0"/>
          <w:bCs w:val="0"/>
          <w:i/>
          <w:kern w:val="0"/>
        </w:rPr>
        <w:t>p</w:t>
      </w:r>
      <w:r w:rsidRPr="00D12A1A">
        <w:rPr>
          <w:b w:val="0"/>
          <w:bCs w:val="0"/>
          <w:kern w:val="0"/>
        </w:rPr>
        <w:t xml:space="preserve">&lt;0.05. See Supplement tables for statistical significance of individual construct comparisons. See </w:t>
      </w:r>
      <w:r w:rsidRPr="00763998">
        <w:rPr>
          <w:bCs w:val="0"/>
          <w:kern w:val="0"/>
        </w:rPr>
        <w:t>Table S1</w:t>
      </w:r>
      <w:r w:rsidRPr="00D12A1A">
        <w:rPr>
          <w:b w:val="0"/>
          <w:bCs w:val="0"/>
          <w:kern w:val="0"/>
        </w:rPr>
        <w:t xml:space="preserve"> for a detailed listing of p-values.</w:t>
      </w:r>
    </w:p>
    <w:p w14:paraId="3FF03D25" w14:textId="2F3988C8" w:rsidR="009F1621" w:rsidRDefault="009F1621">
      <w:r>
        <w:br w:type="page"/>
      </w:r>
    </w:p>
    <w:p w14:paraId="4D4136F9" w14:textId="1FF66B71" w:rsidR="008218C4" w:rsidRDefault="009F1621" w:rsidP="009F1621">
      <w:pPr>
        <w:pStyle w:val="SMcaption"/>
        <w:jc w:val="center"/>
      </w:pPr>
      <w:r w:rsidRPr="009F1621">
        <w:rPr>
          <w:noProof/>
        </w:rPr>
        <w:lastRenderedPageBreak/>
        <w:drawing>
          <wp:inline distT="0" distB="0" distL="0" distR="0" wp14:anchorId="4B84942F" wp14:editId="3835A983">
            <wp:extent cx="3136398" cy="3557023"/>
            <wp:effectExtent l="0" t="0" r="6985" b="5715"/>
            <wp:docPr id="3" name="Picture 2">
              <a:extLst xmlns:a="http://schemas.openxmlformats.org/drawingml/2006/main">
                <a:ext uri="{FF2B5EF4-FFF2-40B4-BE49-F238E27FC236}">
                  <a16:creationId xmlns:a16="http://schemas.microsoft.com/office/drawing/2014/main" id="{40CC2DC4-CAAB-424B-90B6-671F33394B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0CC2DC4-CAAB-424B-90B6-671F33394B17}"/>
                        </a:ext>
                      </a:extLst>
                    </pic:cNvPr>
                    <pic:cNvPicPr>
                      <a:picLocks noChangeAspect="1"/>
                    </pic:cNvPicPr>
                  </pic:nvPicPr>
                  <pic:blipFill>
                    <a:blip r:embed="rId15"/>
                    <a:stretch>
                      <a:fillRect/>
                    </a:stretch>
                  </pic:blipFill>
                  <pic:spPr>
                    <a:xfrm>
                      <a:off x="0" y="0"/>
                      <a:ext cx="3136398" cy="3557023"/>
                    </a:xfrm>
                    <a:prstGeom prst="rect">
                      <a:avLst/>
                    </a:prstGeom>
                  </pic:spPr>
                </pic:pic>
              </a:graphicData>
            </a:graphic>
          </wp:inline>
        </w:drawing>
      </w:r>
    </w:p>
    <w:p w14:paraId="4FFD257E" w14:textId="77777777" w:rsidR="00D12A1A" w:rsidRDefault="00D12A1A" w:rsidP="009F1621">
      <w:pPr>
        <w:pStyle w:val="SMHeading"/>
      </w:pPr>
    </w:p>
    <w:p w14:paraId="37135B32" w14:textId="40148A4D" w:rsidR="009F1621" w:rsidRPr="00355362" w:rsidRDefault="009F1621" w:rsidP="00DE25E2">
      <w:pPr>
        <w:pStyle w:val="SMHeading"/>
        <w:jc w:val="both"/>
      </w:pPr>
      <w:r w:rsidRPr="00355362">
        <w:t>Fig. S</w:t>
      </w:r>
      <w:r>
        <w:t>4.</w:t>
      </w:r>
      <w:r w:rsidR="00D12A1A">
        <w:t xml:space="preserve"> </w:t>
      </w:r>
      <w:r w:rsidR="00D12A1A" w:rsidRPr="00D12A1A">
        <w:t>VcnCS expressing cells plated on poly-L-lysine coated glass show closed VcnCS FRET efficiency.</w:t>
      </w:r>
    </w:p>
    <w:p w14:paraId="7C9E5B63" w14:textId="469651A9" w:rsidR="009F1621" w:rsidRDefault="00D12A1A" w:rsidP="001374DE">
      <w:pPr>
        <w:pStyle w:val="SMcaption"/>
        <w:spacing w:line="276" w:lineRule="auto"/>
        <w:jc w:val="both"/>
      </w:pPr>
      <w:r>
        <w:rPr>
          <w:b/>
          <w:szCs w:val="24"/>
        </w:rPr>
        <w:t>(A)</w:t>
      </w:r>
      <w:r>
        <w:rPr>
          <w:szCs w:val="24"/>
        </w:rPr>
        <w:t xml:space="preserve"> Schematic depicting closed conformation of VcnCS in the cytosol (high FRET). </w:t>
      </w:r>
      <w:r>
        <w:rPr>
          <w:b/>
          <w:szCs w:val="24"/>
        </w:rPr>
        <w:t>(B)</w:t>
      </w:r>
      <w:r>
        <w:rPr>
          <w:szCs w:val="24"/>
        </w:rPr>
        <w:t xml:space="preserve"> Masked FRET efficiency image of Vcn</w:t>
      </w:r>
      <w:r>
        <w:rPr>
          <w:szCs w:val="24"/>
          <w:vertAlign w:val="superscript"/>
        </w:rPr>
        <w:t>-/-</w:t>
      </w:r>
      <w:r>
        <w:rPr>
          <w:szCs w:val="24"/>
        </w:rPr>
        <w:t xml:space="preserve"> MEF expressing VcnCS, which localizes diffusely in the cytosol when plated on </w:t>
      </w:r>
      <w:proofErr w:type="spellStart"/>
      <w:r>
        <w:rPr>
          <w:szCs w:val="24"/>
        </w:rPr>
        <w:t>pLL</w:t>
      </w:r>
      <w:proofErr w:type="spellEnd"/>
      <w:r>
        <w:rPr>
          <w:szCs w:val="24"/>
        </w:rPr>
        <w:t xml:space="preserve">-coated glass. </w:t>
      </w:r>
      <w:r>
        <w:rPr>
          <w:b/>
          <w:szCs w:val="24"/>
        </w:rPr>
        <w:t xml:space="preserve">(C) </w:t>
      </w:r>
      <w:r>
        <w:rPr>
          <w:szCs w:val="24"/>
        </w:rPr>
        <w:t>Box-whisker plot of FRET efficiency (</w:t>
      </w:r>
      <w:r>
        <w:rPr>
          <w:i/>
          <w:szCs w:val="24"/>
        </w:rPr>
        <w:t xml:space="preserve">n </w:t>
      </w:r>
      <w:r>
        <w:rPr>
          <w:szCs w:val="24"/>
        </w:rPr>
        <w:t xml:space="preserve">= 82 cells, respectively, from 3 independent experimental days). See </w:t>
      </w:r>
      <w:r w:rsidRPr="00763998">
        <w:rPr>
          <w:b/>
          <w:szCs w:val="24"/>
        </w:rPr>
        <w:t>Table S1</w:t>
      </w:r>
      <w:r>
        <w:rPr>
          <w:szCs w:val="24"/>
        </w:rPr>
        <w:t xml:space="preserve"> for a detailed listing of p-values.</w:t>
      </w:r>
    </w:p>
    <w:p w14:paraId="221DE2E5" w14:textId="785F570F" w:rsidR="009F1621" w:rsidRDefault="009F1621">
      <w:pPr>
        <w:rPr>
          <w:b/>
          <w:bCs/>
          <w:kern w:val="32"/>
          <w:szCs w:val="24"/>
        </w:rPr>
      </w:pPr>
      <w:r>
        <w:br w:type="page"/>
      </w:r>
    </w:p>
    <w:p w14:paraId="7C9BD135" w14:textId="485BE2A4" w:rsidR="009F1621" w:rsidRDefault="009F1621" w:rsidP="009F1621">
      <w:pPr>
        <w:pStyle w:val="SMHeading"/>
        <w:jc w:val="center"/>
      </w:pPr>
      <w:r w:rsidRPr="009F1621">
        <w:rPr>
          <w:noProof/>
        </w:rPr>
        <w:lastRenderedPageBreak/>
        <w:drawing>
          <wp:inline distT="0" distB="0" distL="0" distR="0" wp14:anchorId="08127BE2" wp14:editId="02CE4E99">
            <wp:extent cx="2558955" cy="5800299"/>
            <wp:effectExtent l="0" t="0" r="0" b="0"/>
            <wp:docPr id="378" name="Google Shape;378;p12"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378" name="Google Shape;378;p12" descr="Map&#10;&#10;Description automatically generated"/>
                    <pic:cNvPicPr preferRelativeResize="0"/>
                  </pic:nvPicPr>
                  <pic:blipFill rotWithShape="1">
                    <a:blip r:embed="rId16">
                      <a:alphaModFix/>
                    </a:blip>
                    <a:srcRect/>
                    <a:stretch/>
                  </pic:blipFill>
                  <pic:spPr>
                    <a:xfrm>
                      <a:off x="0" y="0"/>
                      <a:ext cx="2580411" cy="5848932"/>
                    </a:xfrm>
                    <a:prstGeom prst="rect">
                      <a:avLst/>
                    </a:prstGeom>
                    <a:noFill/>
                    <a:ln>
                      <a:noFill/>
                    </a:ln>
                  </pic:spPr>
                </pic:pic>
              </a:graphicData>
            </a:graphic>
          </wp:inline>
        </w:drawing>
      </w:r>
    </w:p>
    <w:p w14:paraId="663BCC3D" w14:textId="77777777" w:rsidR="00763998" w:rsidRDefault="00763998" w:rsidP="00763998">
      <w:pPr>
        <w:pStyle w:val="SMHeading"/>
        <w:jc w:val="both"/>
      </w:pPr>
    </w:p>
    <w:p w14:paraId="4231FAC9" w14:textId="3FCAE83A" w:rsidR="009F1621" w:rsidRPr="00355362" w:rsidRDefault="009F1621" w:rsidP="00763998">
      <w:pPr>
        <w:pStyle w:val="SMHeading"/>
        <w:jc w:val="both"/>
      </w:pPr>
      <w:r w:rsidRPr="00355362">
        <w:t>Fig. S</w:t>
      </w:r>
      <w:r>
        <w:t>5.</w:t>
      </w:r>
      <w:r w:rsidR="00C83AB6">
        <w:t xml:space="preserve"> </w:t>
      </w:r>
      <w:r w:rsidR="00C83AB6" w:rsidRPr="00C83AB6">
        <w:t>WT VcnCS and VcnCS DAFS variants maintain closed conformation in the cytosol.</w:t>
      </w:r>
    </w:p>
    <w:p w14:paraId="126EBBA7" w14:textId="4B86F22D" w:rsidR="009F1621" w:rsidRPr="00763998" w:rsidRDefault="00C83AB6" w:rsidP="001374DE">
      <w:pPr>
        <w:spacing w:line="276" w:lineRule="auto"/>
        <w:jc w:val="both"/>
        <w:rPr>
          <w:b/>
          <w:szCs w:val="24"/>
        </w:rPr>
      </w:pPr>
      <w:r w:rsidRPr="00C83AB6">
        <w:rPr>
          <w:b/>
          <w:szCs w:val="24"/>
        </w:rPr>
        <w:t>(A)</w:t>
      </w:r>
      <w:r>
        <w:rPr>
          <w:szCs w:val="24"/>
        </w:rPr>
        <w:t xml:space="preserve"> Schematic depicting anticipated conformations of VcnCS, open (low FRET) in a FA and closed (high FRET) in the cytosol. </w:t>
      </w:r>
      <w:r w:rsidRPr="00C83AB6">
        <w:rPr>
          <w:b/>
          <w:szCs w:val="24"/>
        </w:rPr>
        <w:t>(B-E)</w:t>
      </w:r>
      <w:r>
        <w:rPr>
          <w:szCs w:val="24"/>
        </w:rPr>
        <w:t xml:space="preserve"> Cytosol masked FRET efficiency images of Vcn</w:t>
      </w:r>
      <w:r>
        <w:rPr>
          <w:szCs w:val="24"/>
          <w:vertAlign w:val="superscript"/>
        </w:rPr>
        <w:t>-/-</w:t>
      </w:r>
      <w:r>
        <w:rPr>
          <w:szCs w:val="24"/>
        </w:rPr>
        <w:t xml:space="preserve"> MEFs expressing each VcnCS construct. </w:t>
      </w:r>
      <w:r w:rsidRPr="00C83AB6">
        <w:rPr>
          <w:b/>
          <w:szCs w:val="24"/>
        </w:rPr>
        <w:t>(F)</w:t>
      </w:r>
      <w:r>
        <w:rPr>
          <w:szCs w:val="24"/>
        </w:rPr>
        <w:t xml:space="preserve"> Box-whisker plots of the FRET efficiency of cytosolic VcnCS and VcnCS variants (</w:t>
      </w:r>
      <w:r>
        <w:rPr>
          <w:i/>
          <w:szCs w:val="24"/>
        </w:rPr>
        <w:t xml:space="preserve">n </w:t>
      </w:r>
      <w:r>
        <w:rPr>
          <w:szCs w:val="24"/>
        </w:rPr>
        <w:t>= 49, 53, 54, 63 cells, respectively, from 3 independent experimental days). Dotted line represents closed VcnCS FRET efficiency (</w:t>
      </w:r>
      <w:r w:rsidRPr="00C83AB6">
        <w:rPr>
          <w:b/>
          <w:szCs w:val="24"/>
        </w:rPr>
        <w:t>Fig. S4</w:t>
      </w:r>
      <w:r>
        <w:rPr>
          <w:szCs w:val="24"/>
        </w:rPr>
        <w:t xml:space="preserve">). One-way ANOVA of VcnCS, VcnCS DAFS variants and </w:t>
      </w:r>
      <w:proofErr w:type="spellStart"/>
      <w:r>
        <w:rPr>
          <w:szCs w:val="24"/>
        </w:rPr>
        <w:t>VcnCS</w:t>
      </w:r>
      <w:proofErr w:type="spellEnd"/>
      <w:r>
        <w:rPr>
          <w:szCs w:val="24"/>
        </w:rPr>
        <w:t xml:space="preserve"> on </w:t>
      </w:r>
      <w:proofErr w:type="spellStart"/>
      <w:r>
        <w:rPr>
          <w:szCs w:val="24"/>
        </w:rPr>
        <w:t>pLL</w:t>
      </w:r>
      <w:proofErr w:type="spellEnd"/>
      <w:r>
        <w:rPr>
          <w:szCs w:val="24"/>
        </w:rPr>
        <w:t xml:space="preserve"> followed by post-hoc Steel-</w:t>
      </w:r>
      <w:proofErr w:type="spellStart"/>
      <w:r>
        <w:rPr>
          <w:szCs w:val="24"/>
        </w:rPr>
        <w:t>Dwass</w:t>
      </w:r>
      <w:proofErr w:type="spellEnd"/>
      <w:r>
        <w:rPr>
          <w:szCs w:val="24"/>
        </w:rPr>
        <w:t xml:space="preserve"> test were used for statistical analysis. Differing letters denote significant difference at </w:t>
      </w:r>
      <w:r>
        <w:rPr>
          <w:i/>
          <w:szCs w:val="24"/>
        </w:rPr>
        <w:t>p</w:t>
      </w:r>
      <w:r>
        <w:rPr>
          <w:szCs w:val="24"/>
        </w:rPr>
        <w:t xml:space="preserve">&lt;0.05. See </w:t>
      </w:r>
      <w:r w:rsidRPr="00763998">
        <w:rPr>
          <w:b/>
          <w:szCs w:val="24"/>
        </w:rPr>
        <w:t>Table S1</w:t>
      </w:r>
      <w:r>
        <w:rPr>
          <w:szCs w:val="24"/>
        </w:rPr>
        <w:t xml:space="preserve"> for a detailed listing of p-values.</w:t>
      </w:r>
    </w:p>
    <w:p w14:paraId="6E346B81" w14:textId="59B3BFD3" w:rsidR="009F1621" w:rsidRDefault="009F1621" w:rsidP="009F1621">
      <w:pPr>
        <w:pStyle w:val="SMHeading"/>
        <w:jc w:val="center"/>
      </w:pPr>
      <w:r w:rsidRPr="009F1621">
        <w:rPr>
          <w:noProof/>
        </w:rPr>
        <w:lastRenderedPageBreak/>
        <w:drawing>
          <wp:inline distT="0" distB="0" distL="0" distR="0" wp14:anchorId="5FD2DD96" wp14:editId="378BBED3">
            <wp:extent cx="3182118" cy="5099314"/>
            <wp:effectExtent l="0" t="0" r="0" b="6350"/>
            <wp:docPr id="387" name="Google Shape;387;p13" descr="Graphical user interface,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387" name="Google Shape;387;p13" descr="Graphical user interface, diagram&#10;&#10;Description automatically generated"/>
                    <pic:cNvPicPr preferRelativeResize="0"/>
                  </pic:nvPicPr>
                  <pic:blipFill rotWithShape="1">
                    <a:blip r:embed="rId17">
                      <a:alphaModFix/>
                    </a:blip>
                    <a:srcRect/>
                    <a:stretch/>
                  </pic:blipFill>
                  <pic:spPr>
                    <a:xfrm>
                      <a:off x="0" y="0"/>
                      <a:ext cx="3182118" cy="5099314"/>
                    </a:xfrm>
                    <a:prstGeom prst="rect">
                      <a:avLst/>
                    </a:prstGeom>
                    <a:noFill/>
                    <a:ln>
                      <a:noFill/>
                    </a:ln>
                  </pic:spPr>
                </pic:pic>
              </a:graphicData>
            </a:graphic>
          </wp:inline>
        </w:drawing>
      </w:r>
    </w:p>
    <w:p w14:paraId="58852748" w14:textId="77777777" w:rsidR="00763998" w:rsidRDefault="00763998" w:rsidP="00B9440A">
      <w:pPr>
        <w:pStyle w:val="SMHeading"/>
      </w:pPr>
    </w:p>
    <w:p w14:paraId="50571026" w14:textId="5B632A87" w:rsidR="009F1621" w:rsidRDefault="009F1621" w:rsidP="00B9440A">
      <w:pPr>
        <w:pStyle w:val="SMHeading"/>
      </w:pPr>
      <w:r w:rsidRPr="00355362">
        <w:t>Fig. S</w:t>
      </w:r>
      <w:r>
        <w:t>6.</w:t>
      </w:r>
      <w:r w:rsidR="00763998">
        <w:t xml:space="preserve"> </w:t>
      </w:r>
      <w:r w:rsidR="00763998" w:rsidRPr="00763998">
        <w:t>WT VcnCS and DAFS variant VcnCS maintain open conformation at FAs.</w:t>
      </w:r>
    </w:p>
    <w:p w14:paraId="06636173" w14:textId="11C010EC" w:rsidR="00763998" w:rsidRDefault="00763998" w:rsidP="001374DE">
      <w:pPr>
        <w:pStyle w:val="SMHeading"/>
        <w:spacing w:before="0" w:line="276" w:lineRule="auto"/>
        <w:jc w:val="both"/>
      </w:pPr>
      <w:r w:rsidRPr="00763998">
        <w:rPr>
          <w:bCs w:val="0"/>
          <w:kern w:val="0"/>
        </w:rPr>
        <w:t>(A-D)</w:t>
      </w:r>
      <w:r w:rsidRPr="00763998">
        <w:rPr>
          <w:b w:val="0"/>
          <w:bCs w:val="0"/>
          <w:kern w:val="0"/>
        </w:rPr>
        <w:t xml:space="preserve"> FA masked FRET efficiency is shown for single Vcn</w:t>
      </w:r>
      <w:r w:rsidRPr="00763998">
        <w:rPr>
          <w:b w:val="0"/>
          <w:bCs w:val="0"/>
          <w:kern w:val="0"/>
          <w:vertAlign w:val="superscript"/>
        </w:rPr>
        <w:t>-/-</w:t>
      </w:r>
      <w:r w:rsidRPr="00763998">
        <w:rPr>
          <w:b w:val="0"/>
          <w:bCs w:val="0"/>
          <w:kern w:val="0"/>
        </w:rPr>
        <w:t xml:space="preserve"> MEFs expressing each VcnCS construct. </w:t>
      </w:r>
      <w:r w:rsidRPr="00763998">
        <w:rPr>
          <w:bCs w:val="0"/>
          <w:kern w:val="0"/>
        </w:rPr>
        <w:t xml:space="preserve">(E) </w:t>
      </w:r>
      <w:r w:rsidRPr="00763998">
        <w:rPr>
          <w:b w:val="0"/>
          <w:bCs w:val="0"/>
          <w:kern w:val="0"/>
        </w:rPr>
        <w:t>Box-whisker plots are shown for cell-averaged FRET efficiency of FA VcnCS and VcnCS variants (</w:t>
      </w:r>
      <w:r w:rsidRPr="00763998">
        <w:rPr>
          <w:b w:val="0"/>
          <w:bCs w:val="0"/>
          <w:i/>
          <w:kern w:val="0"/>
        </w:rPr>
        <w:t xml:space="preserve">n </w:t>
      </w:r>
      <w:r w:rsidRPr="00763998">
        <w:rPr>
          <w:b w:val="0"/>
          <w:bCs w:val="0"/>
          <w:kern w:val="0"/>
        </w:rPr>
        <w:t xml:space="preserve">= 76, 94, 99, 109 cells, respectively, from 5 independent experimental days) compared to closed Vcn FRET efficiency (dotted line). One-way ANOVA and Tukey’s HSD test were used for statistical analysis. Different letters denote significant difference at p&lt;0.05. See </w:t>
      </w:r>
      <w:r w:rsidRPr="00763998">
        <w:rPr>
          <w:bCs w:val="0"/>
          <w:kern w:val="0"/>
        </w:rPr>
        <w:t>Table S1</w:t>
      </w:r>
      <w:r w:rsidRPr="00763998">
        <w:rPr>
          <w:b w:val="0"/>
          <w:bCs w:val="0"/>
          <w:kern w:val="0"/>
        </w:rPr>
        <w:t xml:space="preserve"> for a detailed listing of p-values.</w:t>
      </w:r>
    </w:p>
    <w:p w14:paraId="137B4C75" w14:textId="7C30E863" w:rsidR="009F1621" w:rsidRDefault="009F1621">
      <w:pPr>
        <w:rPr>
          <w:b/>
          <w:bCs/>
          <w:kern w:val="32"/>
          <w:szCs w:val="24"/>
        </w:rPr>
      </w:pPr>
      <w:r>
        <w:br w:type="page"/>
      </w:r>
    </w:p>
    <w:p w14:paraId="7B500D88" w14:textId="6C6A2B6D" w:rsidR="009F1621" w:rsidRDefault="009F1621" w:rsidP="00B9440A">
      <w:pPr>
        <w:pStyle w:val="SMHeading"/>
      </w:pPr>
      <w:r w:rsidRPr="009F1621">
        <w:rPr>
          <w:noProof/>
        </w:rPr>
        <w:lastRenderedPageBreak/>
        <w:drawing>
          <wp:inline distT="0" distB="0" distL="0" distR="0" wp14:anchorId="4010D8DA" wp14:editId="570978D5">
            <wp:extent cx="5943600" cy="3979545"/>
            <wp:effectExtent l="0" t="0" r="0" b="1905"/>
            <wp:docPr id="396" name="Google Shape;396;p14" descr="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396" name="Google Shape;396;p14" descr="Graphical user interface&#10;&#10;Description automatically generated"/>
                    <pic:cNvPicPr preferRelativeResize="0"/>
                  </pic:nvPicPr>
                  <pic:blipFill rotWithShape="1">
                    <a:blip r:embed="rId18">
                      <a:alphaModFix/>
                    </a:blip>
                    <a:srcRect/>
                    <a:stretch/>
                  </pic:blipFill>
                  <pic:spPr>
                    <a:xfrm>
                      <a:off x="0" y="0"/>
                      <a:ext cx="5943600" cy="3979545"/>
                    </a:xfrm>
                    <a:prstGeom prst="rect">
                      <a:avLst/>
                    </a:prstGeom>
                    <a:noFill/>
                    <a:ln>
                      <a:noFill/>
                    </a:ln>
                  </pic:spPr>
                </pic:pic>
              </a:graphicData>
            </a:graphic>
          </wp:inline>
        </w:drawing>
      </w:r>
    </w:p>
    <w:p w14:paraId="4CDB21B0" w14:textId="77777777" w:rsidR="00763998" w:rsidRDefault="00763998" w:rsidP="009F1621">
      <w:pPr>
        <w:pStyle w:val="SMHeading"/>
      </w:pPr>
      <w:bookmarkStart w:id="4" w:name="_Hlk113542766"/>
    </w:p>
    <w:p w14:paraId="4D9A8C93" w14:textId="547405B7" w:rsidR="009F1621" w:rsidRDefault="009F1621" w:rsidP="009F1621">
      <w:pPr>
        <w:pStyle w:val="SMHeading"/>
      </w:pPr>
      <w:r w:rsidRPr="00355362">
        <w:t>Fig. S</w:t>
      </w:r>
      <w:r>
        <w:t>7.</w:t>
      </w:r>
      <w:bookmarkEnd w:id="4"/>
      <w:r w:rsidR="00763998">
        <w:t xml:space="preserve"> </w:t>
      </w:r>
      <w:r w:rsidR="00763998" w:rsidRPr="00763998">
        <w:t xml:space="preserve">DAFS variant </w:t>
      </w:r>
      <w:proofErr w:type="spellStart"/>
      <w:r w:rsidR="00763998" w:rsidRPr="00763998">
        <w:t>VcnTSs</w:t>
      </w:r>
      <w:proofErr w:type="spellEnd"/>
      <w:r w:rsidR="00763998" w:rsidRPr="00763998">
        <w:t xml:space="preserve"> do not display altered FA characteristics.</w:t>
      </w:r>
    </w:p>
    <w:p w14:paraId="020C287B" w14:textId="49969C84" w:rsidR="00763998" w:rsidRDefault="00763998" w:rsidP="001374DE">
      <w:pPr>
        <w:pStyle w:val="SMHeading"/>
        <w:spacing w:before="0" w:line="276" w:lineRule="auto"/>
        <w:jc w:val="both"/>
      </w:pPr>
      <w:r w:rsidRPr="00763998">
        <w:rPr>
          <w:bCs w:val="0"/>
          <w:kern w:val="0"/>
        </w:rPr>
        <w:t xml:space="preserve">(A-D) </w:t>
      </w:r>
      <w:r w:rsidRPr="00763998">
        <w:rPr>
          <w:b w:val="0"/>
          <w:bCs w:val="0"/>
          <w:kern w:val="0"/>
        </w:rPr>
        <w:t>Representative images of Vcn</w:t>
      </w:r>
      <w:r w:rsidRPr="00763998">
        <w:rPr>
          <w:b w:val="0"/>
          <w:bCs w:val="0"/>
          <w:kern w:val="0"/>
          <w:vertAlign w:val="superscript"/>
        </w:rPr>
        <w:t>-/-</w:t>
      </w:r>
      <w:r w:rsidRPr="00763998">
        <w:rPr>
          <w:b w:val="0"/>
          <w:bCs w:val="0"/>
          <w:kern w:val="0"/>
        </w:rPr>
        <w:t xml:space="preserve"> MEFs expressing WT VcnTS and DAFS variants of VcnVenus. WT VcnTS is shown in gray and variants of VcnTS are shown in shades of blue. Quantification of FA morphometric characteristics including (</w:t>
      </w:r>
      <w:r w:rsidRPr="00763998">
        <w:rPr>
          <w:bCs w:val="0"/>
          <w:kern w:val="0"/>
        </w:rPr>
        <w:t xml:space="preserve">E) </w:t>
      </w:r>
      <w:r w:rsidRPr="00763998">
        <w:rPr>
          <w:b w:val="0"/>
          <w:bCs w:val="0"/>
          <w:kern w:val="0"/>
        </w:rPr>
        <w:t>FA number, (</w:t>
      </w:r>
      <w:r w:rsidRPr="00763998">
        <w:rPr>
          <w:bCs w:val="0"/>
          <w:kern w:val="0"/>
        </w:rPr>
        <w:t xml:space="preserve">F) </w:t>
      </w:r>
      <w:r w:rsidRPr="00763998">
        <w:rPr>
          <w:b w:val="0"/>
          <w:bCs w:val="0"/>
          <w:kern w:val="0"/>
        </w:rPr>
        <w:t>FA area, (</w:t>
      </w:r>
      <w:r w:rsidRPr="00763998">
        <w:rPr>
          <w:bCs w:val="0"/>
          <w:kern w:val="0"/>
        </w:rPr>
        <w:t>G</w:t>
      </w:r>
      <w:r w:rsidRPr="00763998">
        <w:rPr>
          <w:b w:val="0"/>
          <w:bCs w:val="0"/>
          <w:kern w:val="0"/>
        </w:rPr>
        <w:t>) FA axis ratio, and (</w:t>
      </w:r>
      <w:r w:rsidRPr="00763998">
        <w:rPr>
          <w:bCs w:val="0"/>
          <w:kern w:val="0"/>
        </w:rPr>
        <w:t>H</w:t>
      </w:r>
      <w:r w:rsidRPr="00763998">
        <w:rPr>
          <w:b w:val="0"/>
          <w:bCs w:val="0"/>
          <w:kern w:val="0"/>
        </w:rPr>
        <w:t>) standard deviation of FA orientation. Plots shown for WT VcnTS and DAFS variants of VcnTS (</w:t>
      </w:r>
      <w:r w:rsidRPr="00763998">
        <w:rPr>
          <w:b w:val="0"/>
          <w:bCs w:val="0"/>
          <w:i/>
          <w:kern w:val="0"/>
        </w:rPr>
        <w:t>n</w:t>
      </w:r>
      <w:r w:rsidRPr="00763998">
        <w:rPr>
          <w:b w:val="0"/>
          <w:bCs w:val="0"/>
          <w:kern w:val="0"/>
        </w:rPr>
        <w:t>= 45, 49, 48, 46 cells, respectively, collected over 3 independent experiments). One-way ANOVA paired with a Steel-</w:t>
      </w:r>
      <w:proofErr w:type="spellStart"/>
      <w:r w:rsidRPr="00763998">
        <w:rPr>
          <w:b w:val="0"/>
          <w:bCs w:val="0"/>
          <w:kern w:val="0"/>
        </w:rPr>
        <w:t>Dwass</w:t>
      </w:r>
      <w:proofErr w:type="spellEnd"/>
      <w:r w:rsidRPr="00763998">
        <w:rPr>
          <w:b w:val="0"/>
          <w:bCs w:val="0"/>
          <w:kern w:val="0"/>
        </w:rPr>
        <w:t xml:space="preserve"> test (E, F, G) or Tukey’s HSD test (H) conducted across all VcnVenus, VcnCS and VcnTS constructs were used for statistical analysis.  Differing letters denote significant difference at </w:t>
      </w:r>
      <w:r w:rsidRPr="00763998">
        <w:rPr>
          <w:b w:val="0"/>
          <w:bCs w:val="0"/>
          <w:i/>
          <w:kern w:val="0"/>
        </w:rPr>
        <w:t>p</w:t>
      </w:r>
      <w:r w:rsidRPr="00763998">
        <w:rPr>
          <w:b w:val="0"/>
          <w:bCs w:val="0"/>
          <w:kern w:val="0"/>
        </w:rPr>
        <w:t xml:space="preserve">&lt;0.05. See </w:t>
      </w:r>
      <w:r w:rsidRPr="00763998">
        <w:rPr>
          <w:bCs w:val="0"/>
          <w:kern w:val="0"/>
        </w:rPr>
        <w:t>Table S1</w:t>
      </w:r>
      <w:r w:rsidRPr="00763998">
        <w:rPr>
          <w:b w:val="0"/>
          <w:bCs w:val="0"/>
          <w:kern w:val="0"/>
        </w:rPr>
        <w:t xml:space="preserve"> for a detailed listing of p-values.</w:t>
      </w:r>
    </w:p>
    <w:p w14:paraId="73EFB25D" w14:textId="1BAAD140" w:rsidR="009F1621" w:rsidRDefault="009F1621">
      <w:pPr>
        <w:rPr>
          <w:b/>
          <w:bCs/>
          <w:kern w:val="32"/>
          <w:szCs w:val="24"/>
        </w:rPr>
      </w:pPr>
      <w:r>
        <w:br w:type="page"/>
      </w:r>
    </w:p>
    <w:p w14:paraId="032A3A34" w14:textId="4C4B7AE4" w:rsidR="009F1621" w:rsidRDefault="009F1621" w:rsidP="009F1621">
      <w:pPr>
        <w:pStyle w:val="SMHeading"/>
        <w:jc w:val="center"/>
      </w:pPr>
      <w:r w:rsidRPr="009F1621">
        <w:rPr>
          <w:noProof/>
        </w:rPr>
        <w:lastRenderedPageBreak/>
        <w:drawing>
          <wp:inline distT="0" distB="0" distL="0" distR="0" wp14:anchorId="06B66774" wp14:editId="7DEF34C1">
            <wp:extent cx="3104865" cy="6503158"/>
            <wp:effectExtent l="0" t="0" r="635" b="0"/>
            <wp:docPr id="414" name="Google Shape;414;p16"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414" name="Google Shape;414;p16" descr="Map&#10;&#10;Description automatically generated"/>
                    <pic:cNvPicPr preferRelativeResize="0"/>
                  </pic:nvPicPr>
                  <pic:blipFill rotWithShape="1">
                    <a:blip r:embed="rId19">
                      <a:alphaModFix/>
                    </a:blip>
                    <a:srcRect/>
                    <a:stretch/>
                  </pic:blipFill>
                  <pic:spPr>
                    <a:xfrm>
                      <a:off x="0" y="0"/>
                      <a:ext cx="3106577" cy="6506744"/>
                    </a:xfrm>
                    <a:prstGeom prst="rect">
                      <a:avLst/>
                    </a:prstGeom>
                    <a:noFill/>
                    <a:ln>
                      <a:noFill/>
                    </a:ln>
                  </pic:spPr>
                </pic:pic>
              </a:graphicData>
            </a:graphic>
          </wp:inline>
        </w:drawing>
      </w:r>
    </w:p>
    <w:p w14:paraId="11E11CF4" w14:textId="187BED40" w:rsidR="009F1621" w:rsidRDefault="009F1621" w:rsidP="00B9440A">
      <w:pPr>
        <w:pStyle w:val="SMHeading"/>
      </w:pPr>
      <w:r w:rsidRPr="00355362">
        <w:t>Fig. S</w:t>
      </w:r>
      <w:r>
        <w:t>8.</w:t>
      </w:r>
      <w:r w:rsidR="00763998">
        <w:t xml:space="preserve"> </w:t>
      </w:r>
      <w:r w:rsidR="00763998" w:rsidRPr="00763998">
        <w:t xml:space="preserve">WT VcnTS and DAFS variant </w:t>
      </w:r>
      <w:proofErr w:type="spellStart"/>
      <w:r w:rsidR="00763998" w:rsidRPr="00763998">
        <w:t>VcnTSs</w:t>
      </w:r>
      <w:proofErr w:type="spellEnd"/>
      <w:r w:rsidR="00763998" w:rsidRPr="00763998">
        <w:t xml:space="preserve"> are unloaded in the cytosol.</w:t>
      </w:r>
    </w:p>
    <w:p w14:paraId="65497B7A" w14:textId="3A7D84CC" w:rsidR="00763998" w:rsidRDefault="00763998" w:rsidP="001374DE">
      <w:pPr>
        <w:pStyle w:val="SMHeading"/>
        <w:spacing w:before="0" w:line="276" w:lineRule="auto"/>
        <w:jc w:val="both"/>
      </w:pPr>
      <w:r w:rsidRPr="00763998">
        <w:rPr>
          <w:bCs w:val="0"/>
          <w:kern w:val="0"/>
        </w:rPr>
        <w:t>(A-E)</w:t>
      </w:r>
      <w:r w:rsidRPr="00763998">
        <w:rPr>
          <w:b w:val="0"/>
          <w:bCs w:val="0"/>
          <w:kern w:val="0"/>
        </w:rPr>
        <w:t xml:space="preserve"> Cytosol masked FRET efficiency images are shown for single Vcn</w:t>
      </w:r>
      <w:r w:rsidRPr="00763998">
        <w:rPr>
          <w:b w:val="0"/>
          <w:bCs w:val="0"/>
          <w:kern w:val="0"/>
          <w:vertAlign w:val="superscript"/>
        </w:rPr>
        <w:t>-/-</w:t>
      </w:r>
      <w:r w:rsidRPr="00763998">
        <w:rPr>
          <w:b w:val="0"/>
          <w:bCs w:val="0"/>
          <w:kern w:val="0"/>
        </w:rPr>
        <w:t xml:space="preserve"> MEFs expressing each VcnTS construct. </w:t>
      </w:r>
      <w:r w:rsidRPr="00763998">
        <w:rPr>
          <w:bCs w:val="0"/>
          <w:kern w:val="0"/>
        </w:rPr>
        <w:t xml:space="preserve">(F) </w:t>
      </w:r>
      <w:r w:rsidRPr="00763998">
        <w:rPr>
          <w:b w:val="0"/>
          <w:bCs w:val="0"/>
          <w:kern w:val="0"/>
        </w:rPr>
        <w:t>Box-whisker plots are shown for FRET efficiency of cytosolic VcnTS and DAFS variants of VcnTS (</w:t>
      </w:r>
      <w:r w:rsidRPr="00763998">
        <w:rPr>
          <w:b w:val="0"/>
          <w:bCs w:val="0"/>
          <w:i/>
          <w:kern w:val="0"/>
        </w:rPr>
        <w:t xml:space="preserve">n </w:t>
      </w:r>
      <w:r w:rsidRPr="00763998">
        <w:rPr>
          <w:b w:val="0"/>
          <w:bCs w:val="0"/>
          <w:kern w:val="0"/>
        </w:rPr>
        <w:t xml:space="preserve">= 47, 55, 63, 87, 44 cells, respectively). One-way ANOVA and Tukey’s HSD Test were used for statistical analysis. Different letters denote significant difference at p&lt;0.05.  See </w:t>
      </w:r>
      <w:r w:rsidRPr="00763998">
        <w:rPr>
          <w:bCs w:val="0"/>
          <w:kern w:val="0"/>
        </w:rPr>
        <w:t>Table S1</w:t>
      </w:r>
      <w:r w:rsidRPr="00763998">
        <w:rPr>
          <w:b w:val="0"/>
          <w:bCs w:val="0"/>
          <w:kern w:val="0"/>
        </w:rPr>
        <w:t xml:space="preserve"> for a detailed listing of p-values.</w:t>
      </w:r>
    </w:p>
    <w:p w14:paraId="3E6D1006" w14:textId="77777777" w:rsidR="009F1621" w:rsidRDefault="009F1621">
      <w:pPr>
        <w:rPr>
          <w:b/>
          <w:bCs/>
          <w:kern w:val="32"/>
          <w:szCs w:val="24"/>
        </w:rPr>
      </w:pPr>
      <w:r>
        <w:br w:type="page"/>
      </w:r>
    </w:p>
    <w:p w14:paraId="1C4ED036" w14:textId="24821B95" w:rsidR="00015F74" w:rsidRDefault="009F1621" w:rsidP="009F1621">
      <w:pPr>
        <w:pStyle w:val="SMHeading"/>
        <w:jc w:val="center"/>
      </w:pPr>
      <w:r w:rsidRPr="009F1621">
        <w:rPr>
          <w:noProof/>
        </w:rPr>
        <w:lastRenderedPageBreak/>
        <w:drawing>
          <wp:inline distT="0" distB="0" distL="0" distR="0" wp14:anchorId="2E68F27B" wp14:editId="0B2B19E0">
            <wp:extent cx="3500448" cy="6192183"/>
            <wp:effectExtent l="0" t="0" r="5080" b="0"/>
            <wp:docPr id="432" name="Google Shape;432;p18"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432" name="Google Shape;432;p18" descr="Map&#10;&#10;Description automatically generated"/>
                    <pic:cNvPicPr preferRelativeResize="0"/>
                  </pic:nvPicPr>
                  <pic:blipFill rotWithShape="1">
                    <a:blip r:embed="rId20">
                      <a:alphaModFix/>
                    </a:blip>
                    <a:srcRect/>
                    <a:stretch/>
                  </pic:blipFill>
                  <pic:spPr>
                    <a:xfrm>
                      <a:off x="0" y="0"/>
                      <a:ext cx="3500448" cy="6192183"/>
                    </a:xfrm>
                    <a:prstGeom prst="rect">
                      <a:avLst/>
                    </a:prstGeom>
                    <a:noFill/>
                    <a:ln>
                      <a:noFill/>
                    </a:ln>
                  </pic:spPr>
                </pic:pic>
              </a:graphicData>
            </a:graphic>
          </wp:inline>
        </w:drawing>
      </w:r>
      <w:r w:rsidR="00015F74">
        <w:t>Table S1.</w:t>
      </w:r>
    </w:p>
    <w:p w14:paraId="377A447B" w14:textId="77777777" w:rsidR="009F1621" w:rsidRDefault="009F1621" w:rsidP="00477182">
      <w:pPr>
        <w:pStyle w:val="SMcaption"/>
      </w:pPr>
    </w:p>
    <w:p w14:paraId="3FF3CD4E" w14:textId="77777777" w:rsidR="00DB3041" w:rsidRDefault="00DB3041" w:rsidP="00477182">
      <w:pPr>
        <w:pStyle w:val="SMcaption"/>
        <w:rPr>
          <w:b/>
        </w:rPr>
      </w:pPr>
      <w:bookmarkStart w:id="5" w:name="_Hlk113542864"/>
    </w:p>
    <w:p w14:paraId="263F766F" w14:textId="7B607EF7" w:rsidR="009F1621" w:rsidRDefault="009F1621" w:rsidP="00477182">
      <w:pPr>
        <w:pStyle w:val="SMcaption"/>
        <w:rPr>
          <w:b/>
          <w:szCs w:val="24"/>
        </w:rPr>
      </w:pPr>
      <w:r w:rsidRPr="009F1621">
        <w:rPr>
          <w:b/>
        </w:rPr>
        <w:t>Fig. S</w:t>
      </w:r>
      <w:r>
        <w:rPr>
          <w:b/>
        </w:rPr>
        <w:t>9</w:t>
      </w:r>
      <w:r w:rsidRPr="009F1621">
        <w:rPr>
          <w:b/>
        </w:rPr>
        <w:t>.</w:t>
      </w:r>
      <w:bookmarkEnd w:id="5"/>
      <w:r w:rsidR="00DB3041">
        <w:rPr>
          <w:b/>
        </w:rPr>
        <w:t xml:space="preserve"> </w:t>
      </w:r>
      <w:r w:rsidR="00DB3041">
        <w:rPr>
          <w:b/>
          <w:szCs w:val="24"/>
        </w:rPr>
        <w:t>Image processing approach for quantifying SF organization metrics.</w:t>
      </w:r>
    </w:p>
    <w:p w14:paraId="114676C2" w14:textId="43C52E0E" w:rsidR="009F1621" w:rsidRPr="00DB3041" w:rsidRDefault="00DB3041" w:rsidP="001374DE">
      <w:pPr>
        <w:pStyle w:val="SMcaption"/>
        <w:spacing w:line="276" w:lineRule="auto"/>
        <w:jc w:val="both"/>
        <w:rPr>
          <w:b/>
        </w:rPr>
      </w:pPr>
      <w:r>
        <w:rPr>
          <w:b/>
          <w:szCs w:val="24"/>
        </w:rPr>
        <w:t xml:space="preserve">(A) </w:t>
      </w:r>
      <w:r>
        <w:rPr>
          <w:szCs w:val="24"/>
        </w:rPr>
        <w:t xml:space="preserve">Schematic and </w:t>
      </w:r>
      <w:r>
        <w:rPr>
          <w:b/>
          <w:szCs w:val="24"/>
        </w:rPr>
        <w:t>(A’)</w:t>
      </w:r>
      <w:r>
        <w:rPr>
          <w:szCs w:val="24"/>
        </w:rPr>
        <w:t xml:space="preserve"> representative background subtracted image of Vcn</w:t>
      </w:r>
      <w:r>
        <w:rPr>
          <w:szCs w:val="24"/>
          <w:vertAlign w:val="superscript"/>
        </w:rPr>
        <w:t xml:space="preserve">-/- </w:t>
      </w:r>
      <w:r>
        <w:rPr>
          <w:szCs w:val="24"/>
        </w:rPr>
        <w:t xml:space="preserve">MEF stably expressing VcnTS, stained for actin (red). </w:t>
      </w:r>
      <w:r>
        <w:rPr>
          <w:b/>
          <w:szCs w:val="24"/>
        </w:rPr>
        <w:t xml:space="preserve">(B) </w:t>
      </w:r>
      <w:r>
        <w:rPr>
          <w:szCs w:val="24"/>
        </w:rPr>
        <w:t xml:space="preserve">Schematic and </w:t>
      </w:r>
      <w:r>
        <w:rPr>
          <w:b/>
          <w:szCs w:val="24"/>
        </w:rPr>
        <w:t xml:space="preserve">(B’) </w:t>
      </w:r>
      <w:r>
        <w:rPr>
          <w:szCs w:val="24"/>
        </w:rPr>
        <w:t xml:space="preserve">representative image of merged actin mask (red) and FA mask (green). </w:t>
      </w:r>
      <w:r>
        <w:rPr>
          <w:b/>
          <w:szCs w:val="24"/>
        </w:rPr>
        <w:t xml:space="preserve">(C) </w:t>
      </w:r>
      <w:r>
        <w:rPr>
          <w:szCs w:val="24"/>
        </w:rPr>
        <w:t xml:space="preserve">Schematic and </w:t>
      </w:r>
      <w:r>
        <w:rPr>
          <w:b/>
          <w:szCs w:val="24"/>
        </w:rPr>
        <w:t xml:space="preserve">(C’) </w:t>
      </w:r>
      <w:r>
        <w:rPr>
          <w:szCs w:val="24"/>
        </w:rPr>
        <w:t xml:space="preserve">representative image of SF orientations within the whole cell </w:t>
      </w:r>
      <w:r>
        <w:rPr>
          <w:b/>
          <w:szCs w:val="24"/>
        </w:rPr>
        <w:t xml:space="preserve">(D) </w:t>
      </w:r>
      <w:r>
        <w:rPr>
          <w:szCs w:val="24"/>
        </w:rPr>
        <w:t xml:space="preserve">Schematic and </w:t>
      </w:r>
      <w:r>
        <w:rPr>
          <w:b/>
          <w:szCs w:val="24"/>
        </w:rPr>
        <w:t xml:space="preserve">(D’) </w:t>
      </w:r>
      <w:r>
        <w:rPr>
          <w:szCs w:val="24"/>
        </w:rPr>
        <w:t xml:space="preserve">representative image of Voronoi regions overlay atop B’. </w:t>
      </w:r>
      <w:r>
        <w:rPr>
          <w:b/>
          <w:szCs w:val="24"/>
        </w:rPr>
        <w:t xml:space="preserve">(E) </w:t>
      </w:r>
      <w:r>
        <w:rPr>
          <w:szCs w:val="24"/>
        </w:rPr>
        <w:t xml:space="preserve">Schematic and </w:t>
      </w:r>
      <w:r>
        <w:rPr>
          <w:b/>
          <w:szCs w:val="24"/>
        </w:rPr>
        <w:t>(E’)</w:t>
      </w:r>
      <w:r>
        <w:rPr>
          <w:szCs w:val="24"/>
        </w:rPr>
        <w:t xml:space="preserve"> representative image of zoomed in, singular Voronoi region overlay atop B’. </w:t>
      </w:r>
      <w:r>
        <w:rPr>
          <w:b/>
          <w:szCs w:val="24"/>
        </w:rPr>
        <w:t xml:space="preserve">(F) </w:t>
      </w:r>
      <w:r>
        <w:rPr>
          <w:szCs w:val="24"/>
        </w:rPr>
        <w:t xml:space="preserve">Schematics and </w:t>
      </w:r>
      <w:r>
        <w:rPr>
          <w:b/>
          <w:szCs w:val="24"/>
        </w:rPr>
        <w:t xml:space="preserve">(F’) </w:t>
      </w:r>
      <w:r>
        <w:rPr>
          <w:szCs w:val="24"/>
        </w:rPr>
        <w:t>representative map of local SF density percentage and SF orientation per Voronoi region.</w:t>
      </w:r>
    </w:p>
    <w:p w14:paraId="4C8833C0" w14:textId="0F3C5A30" w:rsidR="009F1621" w:rsidRDefault="009F1621" w:rsidP="009F1621">
      <w:pPr>
        <w:pStyle w:val="SMHeading"/>
        <w:jc w:val="center"/>
      </w:pPr>
      <w:r w:rsidRPr="009F1621">
        <w:rPr>
          <w:noProof/>
        </w:rPr>
        <w:lastRenderedPageBreak/>
        <w:drawing>
          <wp:inline distT="0" distB="0" distL="0" distR="0" wp14:anchorId="195C9B69" wp14:editId="10C2D8EC">
            <wp:extent cx="3446766" cy="3231982"/>
            <wp:effectExtent l="0" t="0" r="1905" b="6985"/>
            <wp:docPr id="441" name="Google Shape;441;p19" descr="A screenshot of a computer&#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41" name="Google Shape;441;p19" descr="A screenshot of a computer&#10;&#10;Description automatically generated with medium confidence"/>
                    <pic:cNvPicPr preferRelativeResize="0"/>
                  </pic:nvPicPr>
                  <pic:blipFill rotWithShape="1">
                    <a:blip r:embed="rId21">
                      <a:alphaModFix/>
                    </a:blip>
                    <a:srcRect/>
                    <a:stretch/>
                  </pic:blipFill>
                  <pic:spPr>
                    <a:xfrm>
                      <a:off x="0" y="0"/>
                      <a:ext cx="3446766" cy="3231982"/>
                    </a:xfrm>
                    <a:prstGeom prst="rect">
                      <a:avLst/>
                    </a:prstGeom>
                    <a:noFill/>
                    <a:ln>
                      <a:noFill/>
                    </a:ln>
                  </pic:spPr>
                </pic:pic>
              </a:graphicData>
            </a:graphic>
          </wp:inline>
        </w:drawing>
      </w:r>
    </w:p>
    <w:p w14:paraId="18EAEE5E" w14:textId="77777777" w:rsidR="009F1621" w:rsidRDefault="009F1621" w:rsidP="00B9440A">
      <w:pPr>
        <w:pStyle w:val="SMHeading"/>
      </w:pPr>
    </w:p>
    <w:p w14:paraId="03BAF976" w14:textId="133F0E8A" w:rsidR="009F1621" w:rsidRDefault="009F1621" w:rsidP="00B9440A">
      <w:pPr>
        <w:pStyle w:val="SMHeading"/>
      </w:pPr>
      <w:r w:rsidRPr="009F1621">
        <w:t>Fig. S</w:t>
      </w:r>
      <w:r>
        <w:t>10</w:t>
      </w:r>
      <w:r w:rsidRPr="009F1621">
        <w:t>.</w:t>
      </w:r>
      <w:r w:rsidR="00DB3041">
        <w:t xml:space="preserve"> </w:t>
      </w:r>
      <w:r w:rsidR="00DB3041" w:rsidRPr="00DB3041">
        <w:t>Figure 8 Additional Material: Western and representative Boyden chamber assay images</w:t>
      </w:r>
      <w:r w:rsidR="00DB3041">
        <w:t>.</w:t>
      </w:r>
    </w:p>
    <w:p w14:paraId="751D6DA4" w14:textId="0CFB3EAB" w:rsidR="00DB3041" w:rsidRDefault="00DB3041" w:rsidP="00F066C7">
      <w:pPr>
        <w:pStyle w:val="SMHeading"/>
        <w:spacing w:before="0"/>
      </w:pPr>
      <w:r w:rsidRPr="00DB3041">
        <w:rPr>
          <w:bCs w:val="0"/>
          <w:kern w:val="0"/>
        </w:rPr>
        <w:t xml:space="preserve">(A-D) </w:t>
      </w:r>
      <w:r w:rsidRPr="00DB3041">
        <w:rPr>
          <w:b w:val="0"/>
          <w:bCs w:val="0"/>
          <w:kern w:val="0"/>
        </w:rPr>
        <w:t>Representative image frames of haptotaxis assay experimental results (</w:t>
      </w:r>
      <w:r w:rsidRPr="00DB3041">
        <w:rPr>
          <w:bCs w:val="0"/>
          <w:kern w:val="0"/>
        </w:rPr>
        <w:t>Fig. 7H</w:t>
      </w:r>
      <w:r w:rsidRPr="00DB3041">
        <w:rPr>
          <w:b w:val="0"/>
          <w:bCs w:val="0"/>
          <w:kern w:val="0"/>
        </w:rPr>
        <w:t>).</w:t>
      </w:r>
    </w:p>
    <w:p w14:paraId="0E94DB09" w14:textId="7FA39346" w:rsidR="009F1621" w:rsidRDefault="009F1621">
      <w:pPr>
        <w:rPr>
          <w:b/>
          <w:bCs/>
          <w:kern w:val="32"/>
          <w:szCs w:val="24"/>
        </w:rPr>
      </w:pPr>
      <w:r>
        <w:br w:type="page"/>
      </w:r>
    </w:p>
    <w:p w14:paraId="4155EEAC" w14:textId="23FA3437" w:rsidR="009F1621" w:rsidRDefault="009F1621" w:rsidP="00B9440A">
      <w:pPr>
        <w:pStyle w:val="SMHeading"/>
      </w:pPr>
      <w:r w:rsidRPr="009F1621">
        <w:rPr>
          <w:noProof/>
        </w:rPr>
        <w:lastRenderedPageBreak/>
        <w:drawing>
          <wp:inline distT="0" distB="0" distL="0" distR="0" wp14:anchorId="50B1F526" wp14:editId="6349834D">
            <wp:extent cx="5943600" cy="2873375"/>
            <wp:effectExtent l="0" t="0" r="0" b="3175"/>
            <wp:docPr id="4" name="Picture 2">
              <a:extLst xmlns:a="http://schemas.openxmlformats.org/drawingml/2006/main">
                <a:ext uri="{FF2B5EF4-FFF2-40B4-BE49-F238E27FC236}">
                  <a16:creationId xmlns:a16="http://schemas.microsoft.com/office/drawing/2014/main" id="{9BEF2F83-D1EE-451E-91B5-A8D6D6FB441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9BEF2F83-D1EE-451E-91B5-A8D6D6FB441A}"/>
                        </a:ext>
                      </a:extLst>
                    </pic:cNvPr>
                    <pic:cNvPicPr>
                      <a:picLocks noChangeAspect="1"/>
                    </pic:cNvPicPr>
                  </pic:nvPicPr>
                  <pic:blipFill rotWithShape="1">
                    <a:blip r:embed="rId22"/>
                    <a:srcRect t="10799" r="4128" b="1716"/>
                    <a:stretch/>
                  </pic:blipFill>
                  <pic:spPr>
                    <a:xfrm>
                      <a:off x="0" y="0"/>
                      <a:ext cx="5943600" cy="2873375"/>
                    </a:xfrm>
                    <a:prstGeom prst="rect">
                      <a:avLst/>
                    </a:prstGeom>
                  </pic:spPr>
                </pic:pic>
              </a:graphicData>
            </a:graphic>
          </wp:inline>
        </w:drawing>
      </w:r>
    </w:p>
    <w:p w14:paraId="3A242977" w14:textId="77777777" w:rsidR="009F1621" w:rsidRDefault="009F1621" w:rsidP="00B9440A">
      <w:pPr>
        <w:pStyle w:val="SMHeading"/>
      </w:pPr>
    </w:p>
    <w:p w14:paraId="7398DF8B" w14:textId="07741F70" w:rsidR="009F1621" w:rsidRDefault="009F1621" w:rsidP="00B9440A">
      <w:pPr>
        <w:pStyle w:val="SMHeading"/>
      </w:pPr>
      <w:r w:rsidRPr="009F1621">
        <w:t>Fig. S</w:t>
      </w:r>
      <w:r>
        <w:t>11</w:t>
      </w:r>
      <w:r w:rsidRPr="009F1621">
        <w:t>.</w:t>
      </w:r>
      <w:r w:rsidR="00DB3041">
        <w:t xml:space="preserve"> </w:t>
      </w:r>
      <w:r w:rsidR="00DB3041" w:rsidRPr="00DB3041">
        <w:t>F</w:t>
      </w:r>
      <w:r w:rsidR="00DB3041" w:rsidRPr="00DB3041">
        <w:rPr>
          <w:vertAlign w:val="subscript"/>
        </w:rPr>
        <w:t>P</w:t>
      </w:r>
      <w:r w:rsidR="00DB3041" w:rsidRPr="00DB3041">
        <w:t>-directed pulling force induces structural changes in the Vt helical bundle to strengthen existing and new catch bonds between F-actin and Vt.</w:t>
      </w:r>
    </w:p>
    <w:p w14:paraId="0CE6CD7A" w14:textId="25B4C28E" w:rsidR="00DB3041" w:rsidRDefault="00DB3041" w:rsidP="001374DE">
      <w:pPr>
        <w:pStyle w:val="SMHeading"/>
        <w:spacing w:before="0" w:line="276" w:lineRule="auto"/>
        <w:jc w:val="both"/>
      </w:pPr>
      <w:r w:rsidRPr="00DB3041">
        <w:rPr>
          <w:b w:val="0"/>
          <w:bCs w:val="0"/>
          <w:kern w:val="0"/>
        </w:rPr>
        <w:t>DMD pulling simulation trajectories depict twisting and conformational reorientation of helix-4 and helix-5 of Vt in the F</w:t>
      </w:r>
      <w:r w:rsidRPr="00DB3041">
        <w:rPr>
          <w:b w:val="0"/>
          <w:bCs w:val="0"/>
          <w:kern w:val="0"/>
          <w:vertAlign w:val="subscript"/>
        </w:rPr>
        <w:t>P</w:t>
      </w:r>
      <w:r w:rsidRPr="00DB3041">
        <w:rPr>
          <w:b w:val="0"/>
          <w:bCs w:val="0"/>
          <w:kern w:val="0"/>
        </w:rPr>
        <w:t xml:space="preserve"> direction that exposes side chains of E1015 and E1021 to generate a new actin binding interface. These structural changes also reinforce existing H-bonds between helix-4 of Vt and F-actin. Color scheme: Vt is shown in red and F-actin is shown in gray. The catch bond forming residue pairs are shown in licorice representation.</w:t>
      </w:r>
    </w:p>
    <w:p w14:paraId="307D2818" w14:textId="4C77F683" w:rsidR="009F1621" w:rsidRDefault="009F1621">
      <w:pPr>
        <w:rPr>
          <w:b/>
          <w:bCs/>
          <w:kern w:val="32"/>
          <w:szCs w:val="24"/>
        </w:rPr>
      </w:pPr>
      <w:r>
        <w:br w:type="page"/>
      </w:r>
    </w:p>
    <w:p w14:paraId="3138D89B" w14:textId="73D509CB" w:rsidR="009F1621" w:rsidRDefault="009F1621" w:rsidP="00B9440A">
      <w:pPr>
        <w:pStyle w:val="SMHeading"/>
      </w:pPr>
      <w:r w:rsidRPr="009F1621">
        <w:rPr>
          <w:noProof/>
        </w:rPr>
        <w:lastRenderedPageBreak/>
        <w:drawing>
          <wp:inline distT="0" distB="0" distL="0" distR="0" wp14:anchorId="4EE5990C" wp14:editId="117F2B61">
            <wp:extent cx="5943600" cy="4633595"/>
            <wp:effectExtent l="0" t="0" r="0" b="0"/>
            <wp:docPr id="10" name="Picture 9">
              <a:extLst xmlns:a="http://schemas.openxmlformats.org/drawingml/2006/main">
                <a:ext uri="{FF2B5EF4-FFF2-40B4-BE49-F238E27FC236}">
                  <a16:creationId xmlns:a16="http://schemas.microsoft.com/office/drawing/2014/main" id="{104D3982-6D56-4EED-8002-9AB16C758B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104D3982-6D56-4EED-8002-9AB16C758BFE}"/>
                        </a:ext>
                      </a:extLst>
                    </pic:cNvPr>
                    <pic:cNvPicPr>
                      <a:picLocks noChangeAspect="1"/>
                    </pic:cNvPicPr>
                  </pic:nvPicPr>
                  <pic:blipFill>
                    <a:blip r:embed="rId23"/>
                    <a:stretch>
                      <a:fillRect/>
                    </a:stretch>
                  </pic:blipFill>
                  <pic:spPr>
                    <a:xfrm>
                      <a:off x="0" y="0"/>
                      <a:ext cx="5943600" cy="4633595"/>
                    </a:xfrm>
                    <a:prstGeom prst="rect">
                      <a:avLst/>
                    </a:prstGeom>
                  </pic:spPr>
                </pic:pic>
              </a:graphicData>
            </a:graphic>
          </wp:inline>
        </w:drawing>
      </w:r>
    </w:p>
    <w:p w14:paraId="2C1B9E9F" w14:textId="77777777" w:rsidR="009F1621" w:rsidRDefault="009F1621" w:rsidP="00B9440A">
      <w:pPr>
        <w:pStyle w:val="SMHeading"/>
      </w:pPr>
    </w:p>
    <w:p w14:paraId="4F34FB3B" w14:textId="209CDAD3" w:rsidR="009F1621" w:rsidRDefault="009F1621" w:rsidP="00B9440A">
      <w:pPr>
        <w:pStyle w:val="SMHeading"/>
      </w:pPr>
      <w:r w:rsidRPr="009F1621">
        <w:t>Fig. S</w:t>
      </w:r>
      <w:r>
        <w:t>12</w:t>
      </w:r>
      <w:r w:rsidRPr="009F1621">
        <w:t>.</w:t>
      </w:r>
      <w:r w:rsidR="00DB3041">
        <w:t xml:space="preserve"> </w:t>
      </w:r>
      <w:r w:rsidR="00DB3041" w:rsidRPr="00DB3041">
        <w:t>A schematic representation of directional catch bonding in Vcn.</w:t>
      </w:r>
    </w:p>
    <w:p w14:paraId="6DDB0830" w14:textId="5D6088CF" w:rsidR="005810D6" w:rsidRDefault="00F066C7" w:rsidP="001374DE">
      <w:pPr>
        <w:pStyle w:val="SMHeading"/>
        <w:spacing w:before="0" w:line="276" w:lineRule="auto"/>
        <w:jc w:val="both"/>
      </w:pPr>
      <w:r w:rsidRPr="00F066C7">
        <w:rPr>
          <w:b w:val="0"/>
          <w:bCs w:val="0"/>
          <w:kern w:val="0"/>
        </w:rPr>
        <w:t xml:space="preserve">Force-induced structural changes in Vt facilitate formation of </w:t>
      </w:r>
      <w:r w:rsidRPr="00F066C7">
        <w:rPr>
          <w:rFonts w:cs="Calibri"/>
          <w:b w:val="0"/>
          <w:bCs w:val="0"/>
          <w:kern w:val="0"/>
        </w:rPr>
        <w:t>directionally asymmetric catch bonds with F-actin</w:t>
      </w:r>
      <w:r w:rsidRPr="00F066C7">
        <w:rPr>
          <w:b w:val="0"/>
          <w:bCs w:val="0"/>
          <w:kern w:val="0"/>
        </w:rPr>
        <w:t>. Specifically, pulling force in the F</w:t>
      </w:r>
      <w:r w:rsidRPr="00F066C7">
        <w:rPr>
          <w:b w:val="0"/>
          <w:bCs w:val="0"/>
          <w:kern w:val="0"/>
          <w:vertAlign w:val="subscript"/>
        </w:rPr>
        <w:t xml:space="preserve">P </w:t>
      </w:r>
      <w:r w:rsidRPr="00F066C7">
        <w:rPr>
          <w:b w:val="0"/>
          <w:bCs w:val="0"/>
          <w:kern w:val="0"/>
        </w:rPr>
        <w:t>direction induces a twisting rearrangement of the Vt helical bundle along the short-axis of the actin filament. This twisting motion generates a new binding interface at the C-terminal end of helix-4 and helix-5 that promotes formation of new H-bond interactions as well as strengthens existing H-bonds. In contrast, the strength of existing H-bonds in F</w:t>
      </w:r>
      <w:r w:rsidRPr="00F066C7">
        <w:rPr>
          <w:b w:val="0"/>
          <w:bCs w:val="0"/>
          <w:kern w:val="0"/>
          <w:vertAlign w:val="subscript"/>
        </w:rPr>
        <w:t xml:space="preserve">B </w:t>
      </w:r>
      <w:r w:rsidRPr="00F066C7">
        <w:rPr>
          <w:b w:val="0"/>
          <w:bCs w:val="0"/>
          <w:kern w:val="0"/>
        </w:rPr>
        <w:t>trajectories was reduced relative to F</w:t>
      </w:r>
      <w:r w:rsidRPr="00F066C7">
        <w:rPr>
          <w:b w:val="0"/>
          <w:bCs w:val="0"/>
          <w:kern w:val="0"/>
          <w:vertAlign w:val="subscript"/>
        </w:rPr>
        <w:t>P</w:t>
      </w:r>
      <w:r w:rsidRPr="00F066C7">
        <w:rPr>
          <w:b w:val="0"/>
          <w:bCs w:val="0"/>
          <w:kern w:val="0"/>
        </w:rPr>
        <w:t>, whereas only weak and transient interactions were observed in F</w:t>
      </w:r>
      <w:r w:rsidRPr="00F066C7">
        <w:rPr>
          <w:b w:val="0"/>
          <w:bCs w:val="0"/>
          <w:kern w:val="0"/>
          <w:vertAlign w:val="subscript"/>
        </w:rPr>
        <w:t>N</w:t>
      </w:r>
      <w:r w:rsidRPr="00F066C7">
        <w:rPr>
          <w:b w:val="0"/>
          <w:bCs w:val="0"/>
          <w:kern w:val="0"/>
        </w:rPr>
        <w:t xml:space="preserve"> trajectories.</w:t>
      </w:r>
    </w:p>
    <w:p w14:paraId="5B6D4EC1" w14:textId="0B732EFD" w:rsidR="005810D6" w:rsidRDefault="005810D6">
      <w:pPr>
        <w:rPr>
          <w:b/>
          <w:bCs/>
          <w:kern w:val="32"/>
          <w:szCs w:val="24"/>
        </w:rPr>
      </w:pPr>
      <w:r>
        <w:br w:type="page"/>
      </w:r>
    </w:p>
    <w:p w14:paraId="605B1901" w14:textId="65C24140" w:rsidR="00015F74" w:rsidRDefault="00015F74" w:rsidP="00F878C6">
      <w:pPr>
        <w:pStyle w:val="SMHeading"/>
        <w:spacing w:line="276" w:lineRule="auto"/>
        <w:jc w:val="both"/>
      </w:pPr>
      <w:r>
        <w:lastRenderedPageBreak/>
        <w:t>Table S</w:t>
      </w:r>
      <w:r w:rsidR="005810D6">
        <w:t>1</w:t>
      </w:r>
      <w:r>
        <w:t>.</w:t>
      </w:r>
      <w:r w:rsidR="00F878C6">
        <w:t xml:space="preserve"> </w:t>
      </w:r>
      <w:r w:rsidR="00F878C6" w:rsidRPr="00F878C6">
        <w:t xml:space="preserve">Detailed list of p-values for analyses involving multiple comparisons. </w:t>
      </w:r>
      <w:r w:rsidR="00F878C6" w:rsidRPr="00F878C6">
        <w:rPr>
          <w:b w:val="0"/>
        </w:rPr>
        <w:t>This table, organized by figure and comparison, contains a listing of p-values for multiple comparisons made in the study.</w:t>
      </w:r>
      <w:bookmarkStart w:id="6" w:name="_GoBack"/>
      <w:bookmarkEnd w:id="6"/>
    </w:p>
    <w:p w14:paraId="08DC9151" w14:textId="7CB6A58A" w:rsidR="00C50C6D" w:rsidRDefault="00112C5B" w:rsidP="001374DE">
      <w:pPr>
        <w:pStyle w:val="SMHeading"/>
        <w:spacing w:line="276" w:lineRule="auto"/>
        <w:jc w:val="both"/>
      </w:pPr>
      <w:r w:rsidRPr="00355362">
        <w:t>Movie</w:t>
      </w:r>
      <w:r w:rsidR="001B1BE7">
        <w:t>s</w:t>
      </w:r>
      <w:r w:rsidRPr="00355362">
        <w:t xml:space="preserve"> S1</w:t>
      </w:r>
      <w:r w:rsidR="001B1BE7">
        <w:t xml:space="preserve">-S6. </w:t>
      </w:r>
      <w:r w:rsidR="001B1BE7">
        <w:rPr>
          <w:b w:val="0"/>
        </w:rPr>
        <w:t xml:space="preserve">Trajectory movies depicting </w:t>
      </w:r>
      <w:r w:rsidR="001B1BE7">
        <w:rPr>
          <w:b w:val="0"/>
          <w:bCs w:val="0"/>
          <w:kern w:val="0"/>
        </w:rPr>
        <w:t>c</w:t>
      </w:r>
      <w:r w:rsidR="001B1BE7" w:rsidRPr="001B1BE7">
        <w:rPr>
          <w:b w:val="0"/>
          <w:bCs w:val="0"/>
          <w:kern w:val="0"/>
        </w:rPr>
        <w:t xml:space="preserve">onstant-force pulling of Vt by harmonically restraining the position of F-actin in </w:t>
      </w:r>
      <w:r w:rsidR="00A41F72">
        <w:rPr>
          <w:b w:val="0"/>
          <w:bCs w:val="0"/>
          <w:kern w:val="0"/>
        </w:rPr>
        <w:t>three pulling</w:t>
      </w:r>
      <w:r w:rsidR="001B1BE7" w:rsidRPr="001B1BE7">
        <w:rPr>
          <w:b w:val="0"/>
          <w:bCs w:val="0"/>
          <w:kern w:val="0"/>
        </w:rPr>
        <w:t xml:space="preserve"> directions</w:t>
      </w:r>
      <w:r w:rsidR="00A41F72">
        <w:rPr>
          <w:b w:val="0"/>
          <w:bCs w:val="0"/>
          <w:kern w:val="0"/>
        </w:rPr>
        <w:t>.</w:t>
      </w:r>
      <w:r w:rsidR="001B1BE7">
        <w:rPr>
          <w:b w:val="0"/>
          <w:bCs w:val="0"/>
          <w:kern w:val="0"/>
        </w:rPr>
        <w:t xml:space="preserve"> </w:t>
      </w:r>
      <w:r w:rsidR="00A41F72">
        <w:rPr>
          <w:b w:val="0"/>
          <w:bCs w:val="0"/>
          <w:kern w:val="0"/>
        </w:rPr>
        <w:t xml:space="preserve">Movies S1, S2, and S3 visualize </w:t>
      </w:r>
      <w:proofErr w:type="spellStart"/>
      <w:r w:rsidR="00A41F72">
        <w:rPr>
          <w:b w:val="0"/>
          <w:bCs w:val="0"/>
          <w:kern w:val="0"/>
        </w:rPr>
        <w:t>F-</w:t>
      </w:r>
      <w:proofErr w:type="gramStart"/>
      <w:r w:rsidR="00A41F72">
        <w:rPr>
          <w:b w:val="0"/>
          <w:bCs w:val="0"/>
          <w:kern w:val="0"/>
        </w:rPr>
        <w:t>actin:Vt</w:t>
      </w:r>
      <w:proofErr w:type="spellEnd"/>
      <w:proofErr w:type="gramEnd"/>
      <w:r w:rsidR="00A41F72">
        <w:rPr>
          <w:b w:val="0"/>
          <w:bCs w:val="0"/>
          <w:kern w:val="0"/>
        </w:rPr>
        <w:t xml:space="preserve"> complex at F= 125 pN in F</w:t>
      </w:r>
      <w:r w:rsidR="00A41F72" w:rsidRPr="001B1BE7">
        <w:rPr>
          <w:b w:val="0"/>
          <w:bCs w:val="0"/>
          <w:kern w:val="0"/>
          <w:vertAlign w:val="subscript"/>
        </w:rPr>
        <w:t>P</w:t>
      </w:r>
      <w:r w:rsidR="00A41F72">
        <w:rPr>
          <w:b w:val="0"/>
          <w:bCs w:val="0"/>
          <w:kern w:val="0"/>
        </w:rPr>
        <w:t>, F</w:t>
      </w:r>
      <w:r w:rsidR="00A41F72" w:rsidRPr="001B1BE7">
        <w:rPr>
          <w:b w:val="0"/>
          <w:bCs w:val="0"/>
          <w:kern w:val="0"/>
          <w:vertAlign w:val="subscript"/>
        </w:rPr>
        <w:t>B</w:t>
      </w:r>
      <w:r w:rsidR="00A41F72">
        <w:rPr>
          <w:b w:val="0"/>
          <w:bCs w:val="0"/>
          <w:kern w:val="0"/>
        </w:rPr>
        <w:t>, and F</w:t>
      </w:r>
      <w:r w:rsidR="00A41F72" w:rsidRPr="001B1BE7">
        <w:rPr>
          <w:b w:val="0"/>
          <w:bCs w:val="0"/>
          <w:kern w:val="0"/>
          <w:vertAlign w:val="subscript"/>
        </w:rPr>
        <w:t>N</w:t>
      </w:r>
      <w:r w:rsidR="00A41F72" w:rsidRPr="001B1BE7">
        <w:rPr>
          <w:b w:val="0"/>
          <w:bCs w:val="0"/>
          <w:kern w:val="0"/>
        </w:rPr>
        <w:t xml:space="preserve"> directions</w:t>
      </w:r>
      <w:r w:rsidR="00A41F72">
        <w:rPr>
          <w:b w:val="0"/>
          <w:bCs w:val="0"/>
          <w:kern w:val="0"/>
        </w:rPr>
        <w:t xml:space="preserve"> respectively. Movies S4, S5, and S6 visualize </w:t>
      </w:r>
      <w:proofErr w:type="spellStart"/>
      <w:r w:rsidR="00A41F72">
        <w:rPr>
          <w:b w:val="0"/>
          <w:bCs w:val="0"/>
          <w:kern w:val="0"/>
        </w:rPr>
        <w:t>F-</w:t>
      </w:r>
      <w:proofErr w:type="gramStart"/>
      <w:r w:rsidR="00A41F72">
        <w:rPr>
          <w:b w:val="0"/>
          <w:bCs w:val="0"/>
          <w:kern w:val="0"/>
        </w:rPr>
        <w:t>actin:Vt</w:t>
      </w:r>
      <w:proofErr w:type="spellEnd"/>
      <w:proofErr w:type="gramEnd"/>
      <w:r w:rsidR="00A41F72">
        <w:rPr>
          <w:b w:val="0"/>
          <w:bCs w:val="0"/>
          <w:kern w:val="0"/>
        </w:rPr>
        <w:t xml:space="preserve"> complex at F= 130 pN in F</w:t>
      </w:r>
      <w:r w:rsidR="00A41F72" w:rsidRPr="001B1BE7">
        <w:rPr>
          <w:b w:val="0"/>
          <w:bCs w:val="0"/>
          <w:kern w:val="0"/>
          <w:vertAlign w:val="subscript"/>
        </w:rPr>
        <w:t>P</w:t>
      </w:r>
      <w:r w:rsidR="00A41F72">
        <w:rPr>
          <w:b w:val="0"/>
          <w:bCs w:val="0"/>
          <w:kern w:val="0"/>
        </w:rPr>
        <w:t>, F</w:t>
      </w:r>
      <w:r w:rsidR="00A41F72" w:rsidRPr="001B1BE7">
        <w:rPr>
          <w:b w:val="0"/>
          <w:bCs w:val="0"/>
          <w:kern w:val="0"/>
          <w:vertAlign w:val="subscript"/>
        </w:rPr>
        <w:t>B</w:t>
      </w:r>
      <w:r w:rsidR="00A41F72">
        <w:rPr>
          <w:b w:val="0"/>
          <w:bCs w:val="0"/>
          <w:kern w:val="0"/>
        </w:rPr>
        <w:t>, and F</w:t>
      </w:r>
      <w:r w:rsidR="00A41F72" w:rsidRPr="001B1BE7">
        <w:rPr>
          <w:b w:val="0"/>
          <w:bCs w:val="0"/>
          <w:kern w:val="0"/>
          <w:vertAlign w:val="subscript"/>
        </w:rPr>
        <w:t>N</w:t>
      </w:r>
      <w:r w:rsidR="00A41F72" w:rsidRPr="001B1BE7">
        <w:rPr>
          <w:b w:val="0"/>
          <w:bCs w:val="0"/>
          <w:kern w:val="0"/>
        </w:rPr>
        <w:t xml:space="preserve"> directions</w:t>
      </w:r>
      <w:r w:rsidR="00A41F72">
        <w:rPr>
          <w:b w:val="0"/>
          <w:bCs w:val="0"/>
          <w:kern w:val="0"/>
        </w:rPr>
        <w:t xml:space="preserve"> respectively.</w:t>
      </w:r>
      <w:r w:rsidR="001B1BE7" w:rsidRPr="001B1BE7">
        <w:rPr>
          <w:b w:val="0"/>
          <w:bCs w:val="0"/>
          <w:kern w:val="0"/>
        </w:rPr>
        <w:t xml:space="preserve"> </w:t>
      </w:r>
    </w:p>
    <w:p w14:paraId="10BF7DE9" w14:textId="77777777" w:rsidR="00B9440A" w:rsidRPr="00015F74" w:rsidRDefault="00B9440A" w:rsidP="00B9440A">
      <w:pPr>
        <w:pStyle w:val="SMcaption"/>
      </w:pPr>
    </w:p>
    <w:sectPr w:rsidR="00B9440A" w:rsidRPr="00015F74" w:rsidSect="00E853D5">
      <w:headerReference w:type="default" r:id="rId24"/>
      <w:footerReference w:type="default" r:id="rId2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C3DB5" w14:textId="77777777" w:rsidR="00D15F32" w:rsidRDefault="00D15F32">
      <w:r>
        <w:separator/>
      </w:r>
    </w:p>
  </w:endnote>
  <w:endnote w:type="continuationSeparator" w:id="0">
    <w:p w14:paraId="350BBADB" w14:textId="77777777" w:rsidR="00D15F32" w:rsidRDefault="00D15F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FF51F3" w14:textId="77777777" w:rsidR="00D15F32" w:rsidRDefault="00D15F32">
      <w:r>
        <w:separator/>
      </w:r>
    </w:p>
  </w:footnote>
  <w:footnote w:type="continuationSeparator" w:id="0">
    <w:p w14:paraId="7901F5AE" w14:textId="77777777" w:rsidR="00D15F32" w:rsidRDefault="00D15F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026D"/>
    <w:rsid w:val="00065EBD"/>
    <w:rsid w:val="00066D0C"/>
    <w:rsid w:val="00083B44"/>
    <w:rsid w:val="000850DC"/>
    <w:rsid w:val="000C07BF"/>
    <w:rsid w:val="000C2771"/>
    <w:rsid w:val="000D46F4"/>
    <w:rsid w:val="000F0DCE"/>
    <w:rsid w:val="000F6BE3"/>
    <w:rsid w:val="00112C5B"/>
    <w:rsid w:val="00114193"/>
    <w:rsid w:val="00115A38"/>
    <w:rsid w:val="0011687B"/>
    <w:rsid w:val="00124F82"/>
    <w:rsid w:val="001374DE"/>
    <w:rsid w:val="0016337A"/>
    <w:rsid w:val="00164269"/>
    <w:rsid w:val="001A0F43"/>
    <w:rsid w:val="001A1BDE"/>
    <w:rsid w:val="001B13CE"/>
    <w:rsid w:val="001B1BE7"/>
    <w:rsid w:val="001F0876"/>
    <w:rsid w:val="001F167C"/>
    <w:rsid w:val="001F5E91"/>
    <w:rsid w:val="002077B9"/>
    <w:rsid w:val="00262D72"/>
    <w:rsid w:val="00294FBB"/>
    <w:rsid w:val="002C030F"/>
    <w:rsid w:val="002F0FB6"/>
    <w:rsid w:val="0031671A"/>
    <w:rsid w:val="00331D75"/>
    <w:rsid w:val="0034383E"/>
    <w:rsid w:val="00355362"/>
    <w:rsid w:val="00363E44"/>
    <w:rsid w:val="003659A8"/>
    <w:rsid w:val="003669F9"/>
    <w:rsid w:val="00392402"/>
    <w:rsid w:val="00393BAB"/>
    <w:rsid w:val="00395E86"/>
    <w:rsid w:val="003A2FD8"/>
    <w:rsid w:val="003B40E6"/>
    <w:rsid w:val="003C1467"/>
    <w:rsid w:val="003E74FB"/>
    <w:rsid w:val="003F5904"/>
    <w:rsid w:val="003F6E14"/>
    <w:rsid w:val="00405336"/>
    <w:rsid w:val="00435ABE"/>
    <w:rsid w:val="004517E9"/>
    <w:rsid w:val="004571D5"/>
    <w:rsid w:val="00461D81"/>
    <w:rsid w:val="0046356B"/>
    <w:rsid w:val="00477182"/>
    <w:rsid w:val="004779CB"/>
    <w:rsid w:val="004A6F57"/>
    <w:rsid w:val="004E42D8"/>
    <w:rsid w:val="004E7BA2"/>
    <w:rsid w:val="004F7EDF"/>
    <w:rsid w:val="005001AC"/>
    <w:rsid w:val="00527D71"/>
    <w:rsid w:val="00533910"/>
    <w:rsid w:val="005520A8"/>
    <w:rsid w:val="005607DD"/>
    <w:rsid w:val="00566B9D"/>
    <w:rsid w:val="005810D6"/>
    <w:rsid w:val="005A558C"/>
    <w:rsid w:val="005D712F"/>
    <w:rsid w:val="005E28F8"/>
    <w:rsid w:val="005E6513"/>
    <w:rsid w:val="00607E8E"/>
    <w:rsid w:val="00632CA3"/>
    <w:rsid w:val="00651114"/>
    <w:rsid w:val="00664560"/>
    <w:rsid w:val="00670299"/>
    <w:rsid w:val="0067030E"/>
    <w:rsid w:val="00691985"/>
    <w:rsid w:val="00697611"/>
    <w:rsid w:val="006A1B64"/>
    <w:rsid w:val="007108F5"/>
    <w:rsid w:val="00713E5B"/>
    <w:rsid w:val="007402FC"/>
    <w:rsid w:val="007411A1"/>
    <w:rsid w:val="00763998"/>
    <w:rsid w:val="00793072"/>
    <w:rsid w:val="007E2786"/>
    <w:rsid w:val="00807D35"/>
    <w:rsid w:val="008218C4"/>
    <w:rsid w:val="00835D51"/>
    <w:rsid w:val="00867A98"/>
    <w:rsid w:val="00870867"/>
    <w:rsid w:val="0087338D"/>
    <w:rsid w:val="00885C9B"/>
    <w:rsid w:val="00897C5F"/>
    <w:rsid w:val="008D13C4"/>
    <w:rsid w:val="008D5D2A"/>
    <w:rsid w:val="00914B63"/>
    <w:rsid w:val="009354F3"/>
    <w:rsid w:val="009447DC"/>
    <w:rsid w:val="00945471"/>
    <w:rsid w:val="00950234"/>
    <w:rsid w:val="00961BA5"/>
    <w:rsid w:val="009743A9"/>
    <w:rsid w:val="009A5287"/>
    <w:rsid w:val="009A7C5F"/>
    <w:rsid w:val="009B2AC5"/>
    <w:rsid w:val="009B7984"/>
    <w:rsid w:val="009E75E6"/>
    <w:rsid w:val="009F1621"/>
    <w:rsid w:val="009F4BED"/>
    <w:rsid w:val="009F7D93"/>
    <w:rsid w:val="00A02E0C"/>
    <w:rsid w:val="00A3403B"/>
    <w:rsid w:val="00A41F72"/>
    <w:rsid w:val="00A51A12"/>
    <w:rsid w:val="00A53A78"/>
    <w:rsid w:val="00A627D4"/>
    <w:rsid w:val="00A74DA2"/>
    <w:rsid w:val="00A77632"/>
    <w:rsid w:val="00AB399E"/>
    <w:rsid w:val="00AC59D0"/>
    <w:rsid w:val="00AD16B1"/>
    <w:rsid w:val="00AD499C"/>
    <w:rsid w:val="00B36869"/>
    <w:rsid w:val="00B43B31"/>
    <w:rsid w:val="00B47CFA"/>
    <w:rsid w:val="00B574A3"/>
    <w:rsid w:val="00B57F00"/>
    <w:rsid w:val="00B63245"/>
    <w:rsid w:val="00B77B2A"/>
    <w:rsid w:val="00B82C22"/>
    <w:rsid w:val="00B93DBA"/>
    <w:rsid w:val="00B9440A"/>
    <w:rsid w:val="00BB2D2A"/>
    <w:rsid w:val="00BC290E"/>
    <w:rsid w:val="00BC3E04"/>
    <w:rsid w:val="00BC59A4"/>
    <w:rsid w:val="00BD58CF"/>
    <w:rsid w:val="00BF0C92"/>
    <w:rsid w:val="00C04CC1"/>
    <w:rsid w:val="00C4096C"/>
    <w:rsid w:val="00C50C6D"/>
    <w:rsid w:val="00C600D9"/>
    <w:rsid w:val="00C83AB6"/>
    <w:rsid w:val="00C92B22"/>
    <w:rsid w:val="00CC1384"/>
    <w:rsid w:val="00CD3720"/>
    <w:rsid w:val="00CF1848"/>
    <w:rsid w:val="00CF5C2F"/>
    <w:rsid w:val="00D04BCF"/>
    <w:rsid w:val="00D11A56"/>
    <w:rsid w:val="00D12A1A"/>
    <w:rsid w:val="00D143D9"/>
    <w:rsid w:val="00D15F32"/>
    <w:rsid w:val="00D30C95"/>
    <w:rsid w:val="00D51C15"/>
    <w:rsid w:val="00D5511B"/>
    <w:rsid w:val="00D766F1"/>
    <w:rsid w:val="00DB3041"/>
    <w:rsid w:val="00DD2E17"/>
    <w:rsid w:val="00DE25E2"/>
    <w:rsid w:val="00DF7D88"/>
    <w:rsid w:val="00E257C8"/>
    <w:rsid w:val="00E3424D"/>
    <w:rsid w:val="00E40A10"/>
    <w:rsid w:val="00E41512"/>
    <w:rsid w:val="00E4519A"/>
    <w:rsid w:val="00E67E3A"/>
    <w:rsid w:val="00E853D5"/>
    <w:rsid w:val="00E92E19"/>
    <w:rsid w:val="00E9773B"/>
    <w:rsid w:val="00EA6F42"/>
    <w:rsid w:val="00EC13A3"/>
    <w:rsid w:val="00EC7C85"/>
    <w:rsid w:val="00ED2CBE"/>
    <w:rsid w:val="00F066C7"/>
    <w:rsid w:val="00F125EE"/>
    <w:rsid w:val="00F12E98"/>
    <w:rsid w:val="00F22029"/>
    <w:rsid w:val="00F515FB"/>
    <w:rsid w:val="00F630EA"/>
    <w:rsid w:val="00F7007E"/>
    <w:rsid w:val="00F73193"/>
    <w:rsid w:val="00F74F95"/>
    <w:rsid w:val="00F80705"/>
    <w:rsid w:val="00F82E1E"/>
    <w:rsid w:val="00F878C6"/>
    <w:rsid w:val="00FA1481"/>
    <w:rsid w:val="00FA5B46"/>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uiPriority w:val="99"/>
    <w:rsid w:val="00405336"/>
    <w:rPr>
      <w:sz w:val="20"/>
    </w:rPr>
  </w:style>
  <w:style w:type="character" w:customStyle="1" w:styleId="CommentTextChar">
    <w:name w:val="Comment Text Char"/>
    <w:basedOn w:val="DefaultParagraphFont"/>
    <w:link w:val="CommentText"/>
    <w:uiPriority w:val="99"/>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uiPriority w:val="99"/>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mpbesl@med.unc.edu"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12.PNG"/><Relationship Id="rId10" Type="http://schemas.openxmlformats.org/officeDocument/2006/relationships/hyperlink" Target="mailto:brenton.hoffman@duke.edu" TargetMode="External"/><Relationship Id="rId19" Type="http://schemas.openxmlformats.org/officeDocument/2006/relationships/image" Target="media/image8.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14</Pages>
  <Words>1264</Words>
  <Characters>7208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8456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Chirasani, Venkata Reddy</cp:lastModifiedBy>
  <cp:revision>18</cp:revision>
  <cp:lastPrinted>2018-01-11T19:53:00Z</cp:lastPrinted>
  <dcterms:created xsi:type="dcterms:W3CDTF">2021-06-16T21:37:00Z</dcterms:created>
  <dcterms:modified xsi:type="dcterms:W3CDTF">2022-12-01T15:54:00Z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